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33C58F3">
      <w:pPr>
        <w:pStyle w:val="style0"/>
        <w:adjustRightInd w:val="false"/>
        <w:spacing w:before="240" w:lineRule="exact" w:line="380"/>
        <w:rPr>
          <w:rFonts w:eastAsia="隶书"/>
          <w:color w:val="auto"/>
          <w:spacing w:val="80"/>
          <w:sz w:val="48"/>
          <w:szCs w:val="48"/>
        </w:rPr>
      </w:pPr>
      <w:r>
        <w:rPr>
          <w:color w:val="auto"/>
          <w:highlight w:val="none"/>
        </w:rPr>
        <w:sym w:font="Wingdings 2" w:char="52"/>
      </w:r>
      <w:r>
        <w:rPr>
          <w:rFonts w:ascii="Times New Roman" w:cs="Times New Roman" w:eastAsia="宋体" w:hAnsi="宋体" w:hint="eastAsia"/>
          <w:color w:val="auto"/>
          <w:highlight w:val="none"/>
          <w:lang w:val="en-US" w:eastAsia="zh-CN"/>
        </w:rPr>
        <w:t>毕业论文</w:t>
      </w:r>
      <w:r>
        <w:rPr>
          <w:rFonts w:hint="eastAsia"/>
          <w:color w:val="auto"/>
          <w:highlight w:val="none"/>
          <w:lang w:val="en-US" w:eastAsia="zh-CN"/>
        </w:rPr>
        <w:t xml:space="preserve">  </w:t>
      </w:r>
      <w:r>
        <w:rPr>
          <w:rFonts w:hint="eastAsia"/>
          <w:color w:val="auto"/>
          <w:highlight w:val="none"/>
          <w:lang w:val="en-US" w:eastAsia="zh-CN"/>
        </w:rPr>
        <w:sym w:font="Wingdings 2" w:char="a3"/>
      </w:r>
      <w:r>
        <w:rPr>
          <w:rFonts w:ascii="Times New Roman" w:cs="Times New Roman" w:eastAsia="宋体" w:hAnsi="宋体" w:hint="eastAsia"/>
          <w:color w:val="auto"/>
          <w:highlight w:val="none"/>
          <w:lang w:val="en-US" w:eastAsia="zh-CN"/>
        </w:rPr>
        <w:t>毕业设计</w:t>
      </w:r>
    </w:p>
    <w:p w14:paraId="19023A90">
      <w:pPr>
        <w:pStyle w:val="style0"/>
        <w:widowControl/>
        <w:spacing w:before="360" w:after="160"/>
        <w:jc w:val="center"/>
        <w:rPr>
          <w:color w:val="auto"/>
        </w:rPr>
      </w:pPr>
      <w:r>
        <w:rPr>
          <w:rFonts w:ascii="Times New Roman" w:cs="Times New Roman" w:eastAsia="华文新魏" w:hAnsi="Times New Roman"/>
          <w:b/>
          <w:i w:val="false"/>
          <w:color w:val="auto"/>
          <w:sz w:val="72"/>
        </w:rPr>
        <w:t>哈尔滨工业大学深圳校区</w:t>
      </w:r>
    </w:p>
    <w:p w14:paraId="00CA2375">
      <w:pPr>
        <w:pStyle w:val="style0"/>
        <w:widowControl/>
        <w:spacing w:after="1160"/>
        <w:jc w:val="center"/>
        <w:rPr>
          <w:color w:val="auto"/>
        </w:rPr>
      </w:pPr>
      <w:r>
        <w:rPr>
          <w:rFonts w:ascii="Times New Roman" w:cs="Times New Roman" w:eastAsia="华文新魏" w:hAnsi="Times New Roman"/>
          <w:b/>
          <w:i w:val="false"/>
          <w:color w:val="auto"/>
          <w:sz w:val="64"/>
        </w:rPr>
        <w:t>毕业论文（设计）开题报告</w:t>
      </w:r>
    </w:p>
    <w:tbl>
      <w:tblPr>
        <w:tblStyle w:val="style105"/>
        <w:tblW w:w="0" w:type="auto"/>
        <w:jc w:val="center"/>
        <w:tblLayout w:type="fixed"/>
        <w:tblCellMar>
          <w:top w:w="0" w:type="dxa"/>
          <w:left w:w="108" w:type="dxa"/>
          <w:bottom w:w="0" w:type="dxa"/>
          <w:right w:w="108" w:type="dxa"/>
        </w:tblCellMar>
      </w:tblPr>
      <w:tblGrid>
        <w:gridCol w:w="1952"/>
        <w:gridCol w:w="6354"/>
      </w:tblGrid>
      <w:tr w14:paraId="7981E216">
        <w:trPr>
          <w:trHeight w:val="805" w:hRule="atLeast"/>
          <w:jc w:val="center"/>
        </w:trPr>
        <w:tc>
          <w:tcPr>
            <w:tcW w:w="1952" w:type="dxa"/>
            <w:tcBorders>
              <w:top w:val="nil"/>
              <w:left w:val="nil"/>
              <w:bottom w:val="nil"/>
              <w:right w:val="nil"/>
            </w:tcBorders>
            <w:tcMar>
              <w:top w:w="130" w:type="dxa"/>
              <w:left w:w="60" w:type="dxa"/>
              <w:bottom w:w="130" w:type="dxa"/>
              <w:right w:w="60" w:type="dxa"/>
            </w:tcMar>
            <w:vAlign w:val="center"/>
          </w:tcPr>
          <w:p w14:paraId="1F66F350">
            <w:pPr>
              <w:pStyle w:val="style0"/>
              <w:jc w:val="right"/>
              <w:rPr>
                <w:color w:val="auto"/>
              </w:rPr>
            </w:pPr>
            <w:r>
              <w:rPr>
                <w:rFonts w:ascii="Times New Roman" w:cs="Times New Roman" w:eastAsia="黑体" w:hAnsi="Times New Roman"/>
                <w:b w:val="false"/>
                <w:i w:val="false"/>
                <w:color w:val="auto"/>
                <w:sz w:val="36"/>
              </w:rPr>
              <w:t>题    目：</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0E40BC7E">
            <w:pPr>
              <w:pStyle w:val="style0"/>
              <w:jc w:val="center"/>
              <w:rPr>
                <w:color w:val="auto"/>
              </w:rPr>
            </w:pPr>
            <w:r>
              <w:rPr>
                <w:rFonts w:ascii="Times New Roman" w:cs="Times New Roman" w:eastAsia="宋体" w:hAnsi="Times New Roman"/>
                <w:b w:val="false"/>
                <w:i w:val="false"/>
                <w:color w:val="auto"/>
                <w:sz w:val="30"/>
              </w:rPr>
              <w:t>多孔铜的制备及其在瞬态液相连接中的应用</w:t>
            </w:r>
          </w:p>
        </w:tc>
      </w:tr>
      <w:tr w14:paraId="47CE270A">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6A2B349B">
            <w:pPr>
              <w:pStyle w:val="style0"/>
              <w:jc w:val="right"/>
              <w:rPr>
                <w:color w:val="auto"/>
              </w:rPr>
            </w:pPr>
            <w:r>
              <w:rPr>
                <w:rFonts w:ascii="Times New Roman" w:cs="Times New Roman" w:eastAsia="黑体" w:hAnsi="Times New Roman"/>
                <w:b w:val="false"/>
                <w:i w:val="false"/>
                <w:color w:val="auto"/>
                <w:sz w:val="30"/>
              </w:rPr>
              <w:t>姓    名：</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637D32D1">
            <w:pPr>
              <w:pStyle w:val="style0"/>
              <w:jc w:val="center"/>
              <w:rPr>
                <w:color w:val="auto"/>
              </w:rPr>
            </w:pPr>
            <w:r>
              <w:rPr>
                <w:rFonts w:ascii="Times New Roman" w:cs="Times New Roman" w:eastAsia="宋体" w:hAnsi="Times New Roman"/>
                <w:b w:val="false"/>
                <w:i w:val="false"/>
                <w:color w:val="auto"/>
                <w:sz w:val="30"/>
              </w:rPr>
              <w:t>刘启航</w:t>
            </w:r>
          </w:p>
        </w:tc>
      </w:tr>
      <w:tr w14:paraId="38031763">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003C467A">
            <w:pPr>
              <w:pStyle w:val="style0"/>
              <w:jc w:val="right"/>
              <w:rPr>
                <w:color w:val="auto"/>
              </w:rPr>
            </w:pPr>
            <w:r>
              <w:rPr>
                <w:rFonts w:ascii="Times New Roman" w:cs="Times New Roman" w:eastAsia="黑体" w:hAnsi="Times New Roman"/>
                <w:b w:val="false"/>
                <w:i w:val="false"/>
                <w:color w:val="auto"/>
                <w:sz w:val="30"/>
              </w:rPr>
              <w:t>学    号：</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594D2EEF">
            <w:pPr>
              <w:pStyle w:val="style0"/>
              <w:jc w:val="center"/>
              <w:rPr>
                <w:rFonts w:eastAsia="宋体" w:hint="default"/>
                <w:color w:val="auto"/>
                <w:lang w:val="en-US" w:eastAsia="zh-CN"/>
              </w:rPr>
            </w:pPr>
            <w:r>
              <w:rPr>
                <w:rFonts w:ascii="Times New Roman" w:cs="Times New Roman" w:eastAsia="宋体" w:hAnsi="Times New Roman" w:hint="eastAsia"/>
                <w:b w:val="false"/>
                <w:i w:val="false"/>
                <w:color w:val="auto"/>
                <w:sz w:val="30"/>
                <w:lang w:val="en-US" w:eastAsia="zh-CN"/>
              </w:rPr>
              <w:t>2023316103</w:t>
            </w:r>
          </w:p>
        </w:tc>
      </w:tr>
      <w:tr w14:paraId="36F2DC5E">
        <w:tblPrEx/>
        <w:trPr>
          <w:trHeight w:val="597" w:hRule="atLeast"/>
          <w:jc w:val="center"/>
        </w:trPr>
        <w:tc>
          <w:tcPr>
            <w:tcW w:w="1952" w:type="dxa"/>
            <w:tcBorders>
              <w:top w:val="nil"/>
              <w:left w:val="nil"/>
              <w:bottom w:val="nil"/>
              <w:right w:val="nil"/>
            </w:tcBorders>
            <w:tcMar>
              <w:top w:w="130" w:type="dxa"/>
              <w:left w:w="60" w:type="dxa"/>
              <w:bottom w:w="130" w:type="dxa"/>
              <w:right w:w="60" w:type="dxa"/>
            </w:tcMar>
            <w:vAlign w:val="center"/>
          </w:tcPr>
          <w:p w14:paraId="73DB0F04">
            <w:pPr>
              <w:pStyle w:val="style0"/>
              <w:jc w:val="right"/>
              <w:rPr>
                <w:color w:val="auto"/>
              </w:rPr>
            </w:pPr>
            <w:r>
              <w:rPr>
                <w:rFonts w:ascii="Times New Roman" w:cs="Times New Roman" w:eastAsia="黑体" w:hAnsi="Times New Roman"/>
                <w:b w:val="false"/>
                <w:i w:val="false"/>
                <w:color w:val="auto"/>
                <w:sz w:val="30"/>
              </w:rPr>
              <w:t>学    院：</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38EF74FB">
            <w:pPr>
              <w:pStyle w:val="style0"/>
              <w:jc w:val="center"/>
              <w:rPr>
                <w:rFonts w:eastAsia="宋体" w:hint="default"/>
                <w:color w:val="auto"/>
                <w:lang w:val="en-US" w:eastAsia="zh-CN"/>
              </w:rPr>
            </w:pPr>
            <w:r>
              <w:rPr>
                <w:rFonts w:ascii="Times New Roman" w:cs="Times New Roman" w:eastAsia="宋体" w:hAnsi="Times New Roman" w:hint="eastAsia"/>
                <w:b w:val="false"/>
                <w:i w:val="false"/>
                <w:color w:val="auto"/>
                <w:sz w:val="30"/>
                <w:lang w:val="en-US" w:eastAsia="zh-CN"/>
              </w:rPr>
              <w:t>深圳校区材料科学与工程学院</w:t>
            </w:r>
          </w:p>
        </w:tc>
      </w:tr>
      <w:tr w14:paraId="6A3012D8">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037CA4AC">
            <w:pPr>
              <w:pStyle w:val="style0"/>
              <w:jc w:val="right"/>
              <w:rPr>
                <w:color w:val="auto"/>
              </w:rPr>
            </w:pPr>
            <w:r>
              <w:rPr>
                <w:rFonts w:ascii="Times New Roman" w:cs="Times New Roman" w:eastAsia="黑体" w:hAnsi="Times New Roman"/>
                <w:b w:val="false"/>
                <w:i w:val="false"/>
                <w:color w:val="auto"/>
                <w:sz w:val="30"/>
              </w:rPr>
              <w:t>专    业：</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77B3E189">
            <w:pPr>
              <w:pStyle w:val="style0"/>
              <w:jc w:val="center"/>
              <w:rPr>
                <w:color w:val="auto"/>
              </w:rPr>
            </w:pPr>
            <w:r>
              <w:rPr>
                <w:rFonts w:ascii="Times New Roman" w:cs="Times New Roman" w:eastAsia="宋体" w:hAnsi="Times New Roman"/>
                <w:b w:val="false"/>
                <w:i w:val="false"/>
                <w:color w:val="auto"/>
                <w:sz w:val="30"/>
              </w:rPr>
              <w:t>材料科学与工程</w:t>
            </w:r>
          </w:p>
        </w:tc>
      </w:tr>
      <w:tr w14:paraId="6C337AB2">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44B01563">
            <w:pPr>
              <w:pStyle w:val="style0"/>
              <w:jc w:val="right"/>
              <w:rPr>
                <w:color w:val="auto"/>
              </w:rPr>
            </w:pPr>
            <w:r>
              <w:rPr>
                <w:rFonts w:ascii="Times New Roman" w:cs="Times New Roman" w:eastAsia="黑体" w:hAnsi="Times New Roman"/>
                <w:b w:val="false"/>
                <w:i w:val="false"/>
                <w:color w:val="auto"/>
                <w:sz w:val="30"/>
              </w:rPr>
              <w:t>指导教师：</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5D28B5E9">
            <w:pPr>
              <w:pStyle w:val="style0"/>
              <w:jc w:val="center"/>
              <w:rPr>
                <w:color w:val="auto"/>
              </w:rPr>
            </w:pPr>
            <w:r>
              <w:rPr>
                <w:rFonts w:ascii="Times New Roman" w:cs="Times New Roman" w:eastAsia="宋体" w:hAnsi="Times New Roman"/>
                <w:b w:val="false"/>
                <w:i w:val="false"/>
                <w:color w:val="auto"/>
                <w:sz w:val="30"/>
              </w:rPr>
              <w:t>陈宏涛</w:t>
            </w:r>
          </w:p>
        </w:tc>
      </w:tr>
      <w:tr w14:paraId="7586ED22">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091AC571">
            <w:pPr>
              <w:pStyle w:val="style0"/>
              <w:jc w:val="right"/>
              <w:rPr>
                <w:color w:val="auto"/>
              </w:rPr>
            </w:pPr>
            <w:r>
              <w:rPr>
                <w:rFonts w:ascii="Times New Roman" w:cs="Times New Roman" w:eastAsia="黑体" w:hAnsi="Times New Roman"/>
                <w:b w:val="false"/>
                <w:i w:val="false"/>
                <w:color w:val="auto"/>
                <w:sz w:val="30"/>
              </w:rPr>
              <w:t>日    期：</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314C8DEB">
            <w:pPr>
              <w:pStyle w:val="style0"/>
              <w:jc w:val="center"/>
              <w:rPr>
                <w:rFonts w:eastAsia="宋体" w:hint="default"/>
                <w:color w:val="auto"/>
                <w:lang w:val="en-US" w:eastAsia="zh-CN"/>
              </w:rPr>
            </w:pPr>
            <w:r>
              <w:rPr>
                <w:rFonts w:ascii="Times New Roman" w:cs="Times New Roman" w:eastAsia="宋体" w:hAnsi="Times New Roman"/>
                <w:b w:val="false"/>
                <w:i w:val="false"/>
                <w:color w:val="auto"/>
                <w:sz w:val="30"/>
              </w:rPr>
              <w:t>2026年</w:t>
            </w:r>
            <w:r>
              <w:rPr>
                <w:rFonts w:cs="Times New Roman" w:hint="eastAsia"/>
                <w:b w:val="false"/>
                <w:i w:val="false"/>
                <w:color w:val="auto"/>
                <w:sz w:val="30"/>
                <w:lang w:val="en-US" w:eastAsia="zh-CN"/>
              </w:rPr>
              <w:t>10</w:t>
            </w:r>
            <w:r>
              <w:rPr>
                <w:rFonts w:ascii="Times New Roman" w:cs="Times New Roman" w:eastAsia="宋体" w:hAnsi="Times New Roman"/>
                <w:b w:val="false"/>
                <w:i w:val="false"/>
                <w:color w:val="auto"/>
                <w:sz w:val="30"/>
              </w:rPr>
              <w:t>月</w:t>
            </w:r>
            <w:r>
              <w:rPr>
                <w:rFonts w:cs="Times New Roman" w:hint="eastAsia"/>
                <w:b w:val="false"/>
                <w:i w:val="false"/>
                <w:color w:val="auto"/>
                <w:sz w:val="30"/>
                <w:lang w:val="en-US" w:eastAsia="zh-CN"/>
              </w:rPr>
              <w:t>8日</w:t>
            </w:r>
          </w:p>
        </w:tc>
      </w:tr>
    </w:tbl>
    <w:p w14:paraId="2C40135C">
      <w:pPr>
        <w:pStyle w:val="style0"/>
        <w:widowControl/>
        <w:rPr>
          <w:color w:val="auto"/>
        </w:rPr>
        <w:sectPr>
          <w:headerReference w:type="default" r:id="rId4"/>
          <w:footerReference w:type="default" r:id="rId5"/>
          <w:pgSz w:w="11906" w:h="16838" w:orient="portrait"/>
          <w:pgMar w:top="1440" w:right="1800" w:bottom="1440" w:left="1800" w:header="0" w:footer="1304" w:gutter="0"/>
          <w:cols w:space="720" w:num="1"/>
          <w:docGrid w:linePitch="360" w:charSpace="0"/>
        </w:sectPr>
      </w:pPr>
    </w:p>
    <w:commentRangeStart w:id="1"/>
    <w:p w14:paraId="37A5A647">
      <w:pPr>
        <w:pStyle w:val="style0"/>
        <w:widowControl w:val="false"/>
        <w:adjustRightInd w:val="false"/>
        <w:snapToGrid w:val="false"/>
        <w:spacing w:before="391" w:beforeLines="100" w:after="312" w:afterLines="80" w:lineRule="auto" w:line="288"/>
        <w:jc w:val="center"/>
        <w:rPr>
          <w:rFonts w:cs="Times New Roman" w:eastAsia="黑体"/>
          <w:kern w:val="2"/>
          <w:sz w:val="36"/>
          <w:szCs w:val="36"/>
          <w:lang w:eastAsia="zh-CN"/>
        </w:rPr>
      </w:pPr>
      <w:r>
        <w:rPr>
          <w:rFonts w:cs="Times New Roman" w:eastAsia="黑体"/>
          <w:kern w:val="2"/>
          <w:sz w:val="36"/>
          <w:szCs w:val="36"/>
          <w:lang w:eastAsia="zh-CN"/>
        </w:rPr>
        <w:t>目  录</w:t>
      </w:r>
    </w:p>
    <w:p w14:paraId="6DFC3C99">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1  课题背景及研究的目的和意义</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1</w:t>
      </w:r>
    </w:p>
    <w:p w14:paraId="6253B495">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1.1  课题背景</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w:t>
      </w:r>
    </w:p>
    <w:p w14:paraId="76670444">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1.2  研究的目的和意义</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w:t>
      </w:r>
    </w:p>
    <w:p w14:paraId="337AA953">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2  国内外研究现状及分析</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4</w:t>
      </w:r>
    </w:p>
    <w:p w14:paraId="43F0E234">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2.1  国内外研究现状</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4</w:t>
      </w:r>
    </w:p>
    <w:p w14:paraId="295BBFF3">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2.2  国内外文献综述及简析</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4</w:t>
      </w:r>
    </w:p>
    <w:p w14:paraId="79FDFEF9">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2.2.1  SiC高温封装与TLP互连技术</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4</w:t>
      </w:r>
    </w:p>
    <w:p w14:paraId="4502B73F">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2.2.2  Cu-Sn瞬态液相反应与IMC生长</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5</w:t>
      </w:r>
    </w:p>
    <w:p w14:paraId="618390BF">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2.2.3  多孔Cu制备及孔结构调控</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6</w:t>
      </w:r>
    </w:p>
    <w:p w14:paraId="1D961F96">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2.2.4  多孔Cu辅助瞬态液相连接</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7</w:t>
      </w:r>
    </w:p>
    <w:p w14:paraId="290F30DF">
      <w:pPr>
        <w:pStyle w:val="style0"/>
        <w:widowControl/>
        <w:tabs>
          <w:tab w:val="right" w:leader="dot" w:pos="8164"/>
        </w:tabs>
        <w:spacing w:before="0" w:after="0" w:lineRule="auto" w:line="288"/>
        <w:ind w:left="794"/>
        <w:rPr>
          <w:rFonts w:ascii="Times New Roman" w:cs="Times New Roman" w:eastAsia="宋体" w:hAnsi="Times New Roman"/>
          <w:b w:val="false"/>
          <w:i w:val="false"/>
          <w:color w:val="auto"/>
          <w:sz w:val="24"/>
        </w:rPr>
      </w:pPr>
      <w:r>
        <w:rPr>
          <w:rFonts w:ascii="Times New Roman" w:cs="Times New Roman" w:eastAsia="宋体" w:hAnsi="Times New Roman"/>
          <w:b w:val="false"/>
          <w:i w:val="false"/>
          <w:color w:val="auto"/>
          <w:sz w:val="24"/>
        </w:rPr>
        <w:t>2.2.5  Ag/Ag</w:t>
      </w:r>
      <w:r>
        <w:rPr>
          <w:rFonts w:ascii="Times New Roman" w:cs="Times New Roman" w:eastAsia="宋体" w:hAnsi="Times New Roman"/>
          <w:b w:val="false"/>
          <w:i w:val="false"/>
          <w:color w:val="auto"/>
          <w:sz w:val="24"/>
          <w:vertAlign w:val="subscript"/>
        </w:rPr>
        <w:t>3Sn</w:t>
      </w:r>
      <w:r>
        <w:rPr>
          <w:rFonts w:ascii="Times New Roman" w:cs="Times New Roman" w:eastAsia="宋体" w:hAnsi="Times New Roman"/>
          <w:b w:val="false"/>
          <w:i w:val="false"/>
          <w:color w:val="auto"/>
          <w:sz w:val="24"/>
        </w:rPr>
        <w:t>调控与高温时效</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9</w:t>
      </w:r>
    </w:p>
    <w:p w14:paraId="1674BBFE">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2.2.6  器件级热可靠性与现有研究不足</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9</w:t>
      </w:r>
    </w:p>
    <w:p w14:paraId="2AEF9659">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3  主要研究内容及研究方案</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11</w:t>
      </w:r>
    </w:p>
    <w:p w14:paraId="35190696">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3.1  研究内容</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11</w:t>
      </w:r>
    </w:p>
    <w:p w14:paraId="279ABC34">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3.1.1  文献综述与SAPC体系研究现状调研</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11</w:t>
      </w:r>
    </w:p>
    <w:p w14:paraId="6BD765AA">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3.1.2  多孔Cu制备工艺参数优化实验</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11</w:t>
      </w:r>
    </w:p>
    <w:p w14:paraId="7DDF2C69">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3.1.3  微观组织表征与IMC生长动力学分析</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12</w:t>
      </w:r>
    </w:p>
    <w:p w14:paraId="56CF0433">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3.1.4  剪切强度测试与断口失效模式分析</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12</w:t>
      </w:r>
    </w:p>
    <w:p w14:paraId="73FF9B9A">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3.1.5  高温时效可靠性实验与寿命预测</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12</w:t>
      </w:r>
    </w:p>
    <w:p w14:paraId="51C34E05">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3.1.6  SiC器件封装工艺调试与电学性能测试</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13</w:t>
      </w:r>
    </w:p>
    <w:p w14:paraId="7335E8B1">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3.1.7  功率循环可靠性测试与热阻提取</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13</w:t>
      </w:r>
    </w:p>
    <w:p w14:paraId="1C488344">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3.1.8  工艺-组织-性能关系的数据整理与图表</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13</w:t>
      </w:r>
    </w:p>
    <w:p w14:paraId="588803C1">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3.2  研究方案</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14</w:t>
      </w:r>
    </w:p>
    <w:p w14:paraId="43993B34">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3.2.1  总体技术路线</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14</w:t>
      </w:r>
    </w:p>
    <w:p w14:paraId="34096B23">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3.2.2  多孔Cu制备与工艺筛选</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15</w:t>
      </w:r>
    </w:p>
    <w:p w14:paraId="7FA2F89D">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3.2.3  连接接头组织与力学性能评价</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16</w:t>
      </w:r>
    </w:p>
    <w:p w14:paraId="37DC9009">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3.2.4  高温时效与动力学分析</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16</w:t>
      </w:r>
    </w:p>
    <w:p w14:paraId="688E64BB">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3.2.5  SiC器件封装与功率循环评价</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17</w:t>
      </w:r>
    </w:p>
    <w:p w14:paraId="02E9D71C">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3.2.6  数据分析与质量控制</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18</w:t>
      </w:r>
    </w:p>
    <w:p w14:paraId="4F5F7ED3">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4  进度安排及预期目标</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19</w:t>
      </w:r>
    </w:p>
    <w:p w14:paraId="501AEFCC">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4.1  进度安排</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19</w:t>
      </w:r>
    </w:p>
    <w:p w14:paraId="565515C8">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4.2  预期目标</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20</w:t>
      </w:r>
    </w:p>
    <w:p w14:paraId="1CB923DF">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5  已具备和所需的条件和经费</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21</w:t>
      </w:r>
    </w:p>
    <w:p w14:paraId="4C1BE5EB">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5.1  实验室条件和经费保障</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21</w:t>
      </w:r>
    </w:p>
    <w:p w14:paraId="075A176E">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5.2  所需条件和经费</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21</w:t>
      </w:r>
    </w:p>
    <w:p w14:paraId="4D206D9A">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6  预计困难及解决方案</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22</w:t>
      </w:r>
    </w:p>
    <w:p w14:paraId="7E39F50E">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6.1  预计困难与技术难点</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22</w:t>
      </w:r>
    </w:p>
    <w:p w14:paraId="31AA6F2A">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6.2  解决方案</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22</w:t>
      </w:r>
    </w:p>
    <w:p w14:paraId="6FE25FEE">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参考文献</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24</w:t>
      </w:r>
    </w:p>
    <w:commentRangeEnd w:id="1"/>
    <w:p w14:paraId="7117D06A">
      <w:pPr>
        <w:pStyle w:val="style0"/>
        <w:widowControl/>
        <w:rPr>
          <w:b w:val="false"/>
          <w:bCs/>
          <w:color w:val="auto"/>
        </w:rPr>
        <w:sectPr>
          <w:headerReference w:type="default" r:id="rId6"/>
          <w:footerReference w:type="default" r:id="rId7"/>
          <w:pgSz w:w="11906" w:h="16838" w:orient="portrait"/>
          <w:pgMar w:top="2154" w:right="1701" w:bottom="1701" w:left="1701" w:header="1361" w:footer="1304" w:gutter="0"/>
          <w:pgNumType w:fmt="upperRoman" w:start="1"/>
          <w:cols w:space="720" w:num="1"/>
          <w:docGrid w:linePitch="360" w:charSpace="0"/>
        </w:sectPr>
      </w:pPr>
      <w:r>
        <w:rPr/>
        <w:commentReference w:id="1"/>
      </w:r>
    </w:p>
    <w:p w14:paraId="0332CBF1">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1  课题背景及研究的目的和意义</w:t>
      </w:r>
    </w:p>
    <w:p w14:paraId="53A8B13B">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1.1  课题背景</w:t>
      </w:r>
    </w:p>
    <w:p w14:paraId="2D01C7AF">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目前，电力电子器件不断朝着高功率密度、高集成度和小型化方向发展，芯片工作温度、功率循环幅度以及局部热流密度随之升高。以SiC、GaN为代表的宽禁带半导体具有较高的击穿电场、较快的电子饱和速率和较好的高温服役能力，已逐渐应用于新能源汽车、轨道交通、航空航天和新能源电力系统等领域</w:t>
      </w:r>
      <w:r>
        <w:rPr>
          <w:vertAlign w:val="superscript"/>
        </w:rPr>
        <w:t>[1]</w:t>
      </w:r>
      <w:r>
        <w:t>。然而，半导体器件性能的提升也对封装互连材料提出了更高要求。互连层不仅承担芯片与基板之间的机械连接作用，还需要实现电流传输和热量导出，其可靠性直接影响器件的使用寿命。</w:t>
      </w:r>
    </w:p>
    <w:p w14:paraId="54C8C48B">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在高温和功率循环条件下，芯片、互连层和基板之间的热膨胀系数不匹配会导致界面产生周期性热应力，进而引发焊点蠕变、疲劳开裂、界面脱层和孔洞扩展等</w:t>
      </w:r>
      <w:commentRangeStart w:id="2"/>
      <w:r>
        <w:t>失效</w:t>
      </w:r>
      <w:r>
        <w:rPr>
          <w:vertAlign w:val="superscript"/>
        </w:rPr>
        <w:t>[29]</w:t>
      </w:r>
      <w:r>
        <w:t>。传统</w:t>
      </w:r>
      <w:commentRangeEnd w:id="2"/>
      <w:r>
        <w:rPr/>
        <w:commentReference w:id="2"/>
      </w:r>
      <w:r>
        <w:t>Sn基钎料具有工艺成熟、成本较低和润湿性较好的特点，但其熔点和高温强度相对较低，在高温服役过程中容易发生软化、蠕变甚至重熔</w:t>
      </w:r>
      <w:r>
        <w:rPr>
          <w:vertAlign w:val="superscript"/>
        </w:rPr>
        <w:t>[2]</w:t>
      </w:r>
      <w:r>
        <w:t>。AuSn等高可靠性钎料虽然具有较高的耐热性和良好的导电、导热性能，但其连接温度较高、材料成本昂贵，限制了其在大面积和规模化封装中的应用。因此，高功率电子器件的互连材料通常需要满足以下基本要求：</w:t>
      </w:r>
    </w:p>
    <w:p w14:paraId="6D6C1C11">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（1）连接温度应尽可能低，以减少加工过程中对芯片、基板和金属化层造成的热损伤；</w:t>
      </w:r>
    </w:p>
    <w:p w14:paraId="2D2A84C0">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（2）连接完成后应具有较高的再熔温度和高温稳定性，保证互连层在器件服役温度下不发生重熔和明显软化；</w:t>
      </w:r>
    </w:p>
    <w:p w14:paraId="799CB312">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（3）互连层应同时具备良好的导电、导热和力学性能，并能够缓解不同材料之间的热应力和残余应力。</w:t>
      </w:r>
    </w:p>
    <w:p w14:paraId="5AF62179">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 xml:space="preserve">为满足上述要求，瞬态液相连接（Transient Liquid Phase </w:t>
      </w:r>
      <w:r>
        <w:rPr>
          <w:highlight w:val="none"/>
        </w:rPr>
        <w:t>Bonding</w:t>
      </w:r>
      <w:r>
        <w:t>，TLP）技术受到了广泛关注。TLP连接通常采用低熔点金属或合金作为中间层，在连接温度下形成液相，随后通过液相与基体之间的元素扩散和等温凝固，形成熔点高于连接温度的金属间化合物或固溶体接头</w:t>
      </w:r>
      <w:r>
        <w:rPr>
          <w:vertAlign w:val="superscript"/>
        </w:rPr>
        <w:t>[2]</w:t>
      </w:r>
      <w:r>
        <w:t>。因此，该技术具有“低温连接、高温服役”的特点，已被用于金属、陶瓷及功率电子器件的连接。相关综述表明，TLP连接的主要过程包括中间层熔化、基体溶解、等温凝固和接头均匀化，其最终接头的耐热温度可高于实际连接温度。</w:t>
      </w:r>
    </w:p>
    <w:p w14:paraId="0492B6EA">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然而，传统TLP连接仍存在一些问题。一方面，液相的等温凝固主要依靠固态扩散完成，通常需要较长的保温时间，难以满足高效率封装工艺的要求；另一方面，连接过程中容易形成Cu-Sn等金属间化合物，过厚或连续分布的金属间化合物会使接头变脆</w:t>
      </w:r>
      <w:r>
        <w:rPr>
          <w:vertAlign w:val="superscript"/>
        </w:rPr>
        <w:t>[3]</w:t>
      </w:r>
      <w:r>
        <w:t>。同时，界面反应、液相收缩以及扩散不均匀还可能导致孔洞形成，降低接头的长期可靠性</w:t>
      </w:r>
      <w:r>
        <w:rPr>
          <w:highlight w:val="yellow"/>
          <w:vertAlign w:val="superscript"/>
        </w:rPr>
        <w:t>[7]</w:t>
      </w:r>
      <w:r>
        <w:t>。因此，如何在缩短连接时间的同时，控制金属间化合物的生成，并改善接头的应力承载能力，成为瞬态液相连接技术进一步应用需要解决的问题。</w:t>
      </w:r>
    </w:p>
    <w:p w14:paraId="452A1C7D">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多孔铜具有较高的比表面积、良好的导电导热性能、较低的材料成本以及可调控的孔隙结构</w:t>
      </w:r>
      <w:r>
        <w:rPr>
          <w:vertAlign w:val="superscript"/>
        </w:rPr>
        <w:t>[11]</w:t>
      </w:r>
      <w:r>
        <w:t>。多孔金属的孔径、孔隙率、孔形貌和孔道连通性会显著影响其力学、热学和传质性能；目前</w:t>
      </w:r>
      <w:commentRangeStart w:id="3"/>
      <w:r>
        <w:t>常见的制备方法包括模板法、占位剂法、烧结法、脱合金法、电沉积法和增材制造等</w:t>
      </w:r>
      <w:r>
        <w:rPr>
          <w:vertAlign w:val="superscript"/>
        </w:rPr>
        <w:t>[12]</w:t>
      </w:r>
      <w:commentRangeEnd w:id="3"/>
      <w:r>
        <w:rPr/>
        <w:commentReference w:id="3"/>
      </w:r>
      <w:r>
        <w:t>。将多孔铜作为瞬态液相连接的中间层，可以增加铜骨架与Sn基液相之间的反应面积，为液相浸润、渗流和元素扩散提供通道，从而加快Sn的消耗和Cu-Sn金属间化合物的形成，缩短等温凝固时间</w:t>
      </w:r>
      <w:r>
        <w:rPr>
          <w:vertAlign w:val="superscript"/>
        </w:rPr>
        <w:t>[14]</w:t>
      </w:r>
      <w:r>
        <w:t>。</w:t>
      </w:r>
    </w:p>
    <w:p w14:paraId="380EA86F">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与此同时，多孔铜并非简单的致密铜替代材料。其具有一定的压缩变形能力和应力缓冲能力，可以在连接层内部形成金属骨架，降低热膨胀失配引起的局部应力集中</w:t>
      </w:r>
      <w:r>
        <w:rPr>
          <w:vertAlign w:val="superscript"/>
        </w:rPr>
        <w:t>[13]</w:t>
      </w:r>
      <w:r>
        <w:t>。连接完成后，若能够合理控制孔隙结构和液相填充程度，则有望形成多孔铜骨架与金属间化合物组成的复合接头，在保持较高导电、导热能力的同时改善接头的韧性和抗热疲劳性能。相反，孔隙率过高、孔径分布不均或液相填充不足，也可能造成未填充孔洞和局部缺陷。因此，多孔铜的制备工艺、孔隙结构以及其与Sn基液相之间的反应行为，需要进行系统研究。</w:t>
      </w:r>
    </w:p>
    <w:p w14:paraId="5300674E">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1.2  研究的目的和意义</w:t>
      </w:r>
    </w:p>
    <w:p w14:paraId="6181F3F6">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为满足高功率电子器件对低温连接、高温服役和高可靠性互连结构的需求，本课题拟开展多孔铜的制备及其在瞬态液相连接中的应用研究。通过调控多孔铜的孔隙率、孔径、孔壁厚度和孔道连通性，建立多孔铜结构参数与其导电、导热、力学及润湿性能之间的关系，为多孔铜中间层的可控制备提供基础。</w:t>
      </w:r>
    </w:p>
    <w:p w14:paraId="5308DFD1">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本课题拟以多孔Cu制备为起点，围绕“多孔结构—焊料浸渗—Cu-Sn/Ag-Sn反应—接头强度—高温时效—SiC器件功率循环”建立连续的研究链条。前期首先完成SAC305焊料与多孔Cu组成的复合互连体系（以下简称SAPC）及相邻技术路线的文献综述，明确孔隙率、孔径、连通性、焊料填充状态、IMC组成和热可靠性等指标的物理含义；随后在实验条件允许的范围内优化多孔Cu制备参数，减少批次间孔结构差异；在接头阶段结合SEM/EDS、XRD、图像定量和剪切/断口分析，判断回流及高温时效过程中组织变化与力学性能之间的对应关系；最后把筛选后的互连材料用于SiC器件封装，通过I-V、电热参数和功率循环观察材料级规律能否延伸到器件级。</w:t>
      </w:r>
    </w:p>
    <w:p w14:paraId="7F9D8A19">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此外，本课题还将对多孔铜瞬态液相接头的剪切强度、断裂行为、导电导热性能以及高温和热循环可靠性进行评价，探讨多孔金属骨架对连接层应力缓冲和裂纹扩展的影响机制。通过优化多孔铜制备参数和瞬态液相连接工艺，获得兼具较低连接温度、较高服役温度、良好导电导热性能和抗热疲劳能力的复合互连结构，为SiC、GaN等宽禁带半导体器件的高可靠性封装提供材料和工艺参考。</w:t>
      </w:r>
    </w:p>
    <w:p w14:paraId="28132E75">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p>
    <w:p w14:paraId="670BE8B0">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2  国内外研究现状及分析</w:t>
      </w:r>
    </w:p>
    <w:p w14:paraId="71C860CE">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2.1  国内外研究现状</w:t>
      </w:r>
    </w:p>
    <w:p w14:paraId="720310D6">
      <w:pPr>
        <w:pStyle w:val="style0"/>
        <w:bidi w:val="false"/>
        <w:ind w:firstLine="480" w:firstLineChars="200"/>
        <w:rPr>
          <w:lang w:val="en-US" w:eastAsia="zh-CN"/>
        </w:rPr>
      </w:pPr>
      <w:r>
        <w:rPr>
          <w:lang w:val="en-US" w:eastAsia="en-US"/>
        </w:rPr>
        <w:t>近年来，国内外学者围绕多孔金属的制备、孔结构调控及其在电子封装中的应用开展了大量研究。多孔金属具有通孔和半通孔结构，兼具金属材料的导电、导热和力学性能，在电极、传感和过滤等领域得到应用。现有研究主要集中于多孔Cu</w:t>
      </w:r>
      <w:commentRangeStart w:id="4"/>
      <w:r>
        <w:rPr>
          <w:lang w:val="en-US" w:eastAsia="en-US"/>
        </w:rPr>
        <w:t>的制备与中间层设计、界面反应与IMC生长、接头力学性能及高温可靠性等方面。国外相关研究开展较早，国内则逐渐重视多孔Cu在瞬态液相连接和高温电子封装中的应用。</w:t>
      </w:r>
      <w:commentRangeEnd w:id="4"/>
      <w:r>
        <w:rPr/>
        <w:commentReference w:id="4"/>
      </w:r>
      <w:r>
        <w:rPr>
          <w:lang w:val="en-US" w:eastAsia="en-US"/>
        </w:rPr>
        <w:t>下面将从多孔Cu制备、TLP连接、接头性能及可靠性等方面进行综述。</w:t>
      </w:r>
      <w:bookmarkStart w:id="0" w:name="_GoBack"/>
      <w:bookmarkEnd w:id="0"/>
    </w:p>
    <w:p w14:paraId="0509F89B">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2.1.1  多孔Cu制备与Cu基中间层设计的研究</w:t>
      </w:r>
    </w:p>
    <w:p w14:paraId="5EA65A58">
      <w:pPr>
        <w:pStyle w:val="style4125"/>
        <w:keepNext/>
        <w:keepLines/>
        <w:pageBreakBefore w:val="false"/>
        <w:widowControl/>
        <w:kinsoku/>
        <w:wordWrap/>
        <w:overflowPunct/>
        <w:topLinePunct w:val="false"/>
        <w:autoSpaceDE/>
        <w:autoSpaceDN/>
        <w:bidi w:val="false"/>
        <w:adjustRightInd/>
        <w:snapToGrid/>
        <w:spacing w:after="0" w:lineRule="auto" w:line="300"/>
        <w:ind w:firstLine="482"/>
        <w:jc w:val="both"/>
        <w:textAlignment w:val="auto"/>
        <w:rPr>
          <w:color w:val="auto"/>
        </w:rPr>
      </w:pPr>
      <w:r>
        <w:rPr>
          <w:color w:val="auto"/>
        </w:rPr>
        <w:t>Su</w:t>
      </w:r>
      <w:commentRangeStart w:id="5"/>
      <w:r>
        <w:rPr>
          <w:color w:val="auto"/>
        </w:rPr>
        <w:t>等以</w:t>
      </w:r>
      <w:commentRangeEnd w:id="5"/>
      <w:r>
        <w:rPr/>
        <w:commentReference w:id="5"/>
      </w:r>
      <w:r>
        <w:rPr>
          <w:color w:val="auto"/>
        </w:rPr>
        <w:t>Cu₄₀Al₆₀合金为前驱体，将其置于1.45 mol/L盐酸溶液中，在80 ℃水浴条件下脱合金12 h，制得平均孔径为320 nm的纳米多孔Cu（NPC）片，其制备及连接流程如图2-1所示</w:t>
      </w:r>
      <w:r>
        <w:rPr>
          <w:vertAlign w:val="superscript"/>
        </w:rPr>
        <w:t>[15]</w:t>
      </w:r>
      <w:r>
        <w:rPr>
          <w:color w:val="auto"/>
        </w:rPr>
        <w:t>。研究采用SAC305（Sn-3.0Ag-0.5Cu）焊料填充NPC孔道，在240 ℃、5 MPa条件下回流10 min，实现Cu/Cu-Sn金属间</w:t>
      </w:r>
      <w:commentRangeStart w:id="6"/>
      <w:r>
        <w:rPr>
          <w:color w:val="auto"/>
        </w:rPr>
        <w:t>化合物（IMCs）</w:t>
      </w:r>
      <w:commentRangeEnd w:id="6"/>
      <w:r>
        <w:rPr/>
        <w:commentReference w:id="6"/>
      </w:r>
      <w:r>
        <w:rPr>
          <w:color w:val="auto"/>
        </w:rPr>
        <w:t>/Cu互连，说明该尺度的Cu骨架可在上述工艺时间内参与焊料反应并形成连接层。该接头的平均电阻率为13.38 μΩ·cm，</w:t>
      </w:r>
      <w:r>
        <w:rPr>
          <w:color w:val="auto"/>
          <w:highlight w:val="yellow"/>
        </w:rPr>
        <w:t>结合图中由合金薄片、NPC中间层到焊后互连层的制备过程，表明该方法能够兼顾片状材料装配和Cu-Sn反应连接</w:t>
      </w:r>
      <w:r>
        <w:rPr>
          <w:color w:val="auto"/>
        </w:rPr>
        <w:t>，为纳米多孔Cu中间层的制备与应用提供了实验依据。</w:t>
      </w:r>
    </w:p>
    <w:p w14:paraId="3023DA88">
      <w:pPr>
        <w:pStyle w:val="style4126"/>
        <w:jc w:val="both"/>
        <w:rPr>
          <w:color w:val="auto"/>
        </w:rPr>
      </w:pPr>
      <w:r>
        <w:rPr>
          <w:color w:val="auto"/>
        </w:rPr>
        <w:drawing>
          <wp:inline distL="0" distT="0" distB="0" distR="0">
            <wp:extent cx="5478145" cy="2749550"/>
            <wp:effectExtent l="0" t="0" r="8255" b="6350"/>
            <wp:docPr id="1026" name="Figure 2-1" descr="图2-1  纳米多孔Cu片的脱合金制备及SAC305填充连接流程[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Figure 2-1"/>
                    <pic:cNvPicPr/>
                  </pic:nvPicPr>
                  <pic:blipFill>
                    <a:blip r:embed="rId8" cstate="print"/>
                    <a:srcRect l="0" t="0" r="0" b="0"/>
                    <a:stretch/>
                  </pic:blipFill>
                  <pic:spPr>
                    <a:xfrm rot="0">
                      <a:off x="0" y="0"/>
                      <a:ext cx="5478145" cy="2749550"/>
                    </a:xfrm>
                    <a:prstGeom prst="rect"/>
                    <a:ln>
                      <a:noFill/>
                    </a:ln>
                  </pic:spPr>
                </pic:pic>
              </a:graphicData>
            </a:graphic>
          </wp:inline>
        </w:drawing>
      </w:r>
    </w:p>
    <w:p w14:paraId="4C7F3473">
      <w:pPr>
        <w:pStyle w:val="style4127"/>
        <w:rPr>
          <w:color w:val="auto"/>
          <w:vertAlign w:val="superscript"/>
        </w:rPr>
      </w:pPr>
      <w:r>
        <w:rPr>
          <w:color w:val="auto"/>
        </w:rPr>
        <w:t>图2-1  纳米多孔Cu片的脱合金制备及SAC305填充连接流程</w:t>
      </w:r>
    </w:p>
    <w:commentRangeStart w:id="7"/>
    <w:p w14:paraId="41811E19">
      <w:pPr>
        <w:pStyle w:val="style4127"/>
        <w:keepNext w:val="false"/>
        <w:keepLines/>
        <w:pageBreakBefore w:val="false"/>
        <w:widowControl/>
        <w:kinsoku/>
        <w:wordWrap/>
        <w:overflowPunct/>
        <w:topLinePunct w:val="false"/>
        <w:autoSpaceDE/>
        <w:autoSpaceDN/>
        <w:bidi w:val="false"/>
        <w:adjustRightInd/>
        <w:snapToGrid/>
        <w:spacing w:after="0" w:lineRule="auto" w:line="284"/>
        <w:ind w:firstLine="480" w:firstLineChars="200"/>
        <w:jc w:val="both"/>
        <w:textAlignment w:val="auto"/>
        <w:rPr>
          <w:color w:val="auto"/>
          <w:sz w:val="24"/>
          <w:szCs w:val="24"/>
        </w:rPr>
      </w:pPr>
      <w:r>
        <w:rPr>
          <w:color w:val="auto"/>
          <w:sz w:val="24"/>
          <w:szCs w:val="24"/>
        </w:rPr>
        <w:t>在Cu基中间层设计方面，Wang等采用表面涂覆In的致密Cu薄片连接化学镀Ni/浸Au（ENIG）处理的Cu圆片，如图2-2所示，中间薄片的平面尺寸为8 mm×8 mm、厚度为120 μm，图中截面显示Cu薄片两侧均存在In涂层</w:t>
      </w:r>
      <w:r>
        <w:rPr>
          <w:vertAlign w:val="superscript"/>
        </w:rPr>
        <w:t>[16]</w:t>
      </w:r>
      <w:r>
        <w:rPr>
          <w:color w:val="auto"/>
          <w:sz w:val="24"/>
          <w:szCs w:val="24"/>
        </w:rPr>
        <w:t>。连接过程中，In涂层被消耗，薄片两侧形成含δ-(Cu,In)、Ni₂₈In₇₂和AuIn₂的IMC连接层；随连接温度与保温时间增加，AuIn₂逐渐消耗，其他两种反应相粗化，同时连接层缺陷减少，接头剪切强度由16.9 MPa提高至38.0 MPa。按照上述报告值计算，强度增加21.1 MPa、约为初始值的2.25倍，但断裂仍表现出脆性特征且断裂位置基本不变，说明该Cu/In体系的缺陷减少能够提高承载能力，而强度提高并未同时改变其脆性断裂特征。</w:t>
      </w:r>
      <w:commentRangeEnd w:id="7"/>
      <w:r>
        <w:rPr/>
        <w:commentReference w:id="7"/>
      </w:r>
    </w:p>
    <w:p w14:paraId="3687788C">
      <w:pPr>
        <w:pStyle w:val="style4126"/>
        <w:rPr>
          <w:color w:val="auto"/>
        </w:rPr>
      </w:pPr>
      <w:r>
        <w:rPr>
          <w:color w:val="auto"/>
        </w:rPr>
        <w:drawing>
          <wp:inline distL="0" distT="0" distB="0" distR="0">
            <wp:extent cx="4730750" cy="3200400"/>
            <wp:effectExtent l="0" t="0" r="6350" b="0"/>
            <wp:docPr id="1027" name="Figure 2-2" descr="图2-2  In涂层Cu薄片及TLP连接结构：（a）涂层薄片截面；（b）试样装配示意；（c）上下连接层示意[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Figure 2-2"/>
                    <pic:cNvPicPr/>
                  </pic:nvPicPr>
                  <pic:blipFill>
                    <a:blip r:embed="rId9" cstate="print"/>
                    <a:srcRect l="0" t="0" r="0" b="0"/>
                    <a:stretch/>
                  </pic:blipFill>
                  <pic:spPr>
                    <a:xfrm rot="0">
                      <a:off x="0" y="0"/>
                      <a:ext cx="4730750" cy="3200400"/>
                    </a:xfrm>
                    <a:prstGeom prst="rect"/>
                    <a:ln>
                      <a:noFill/>
                    </a:ln>
                  </pic:spPr>
                </pic:pic>
              </a:graphicData>
            </a:graphic>
          </wp:inline>
        </w:drawing>
      </w:r>
    </w:p>
    <w:p w14:paraId="654842D0">
      <w:pPr>
        <w:pStyle w:val="style4127"/>
        <w:rPr>
          <w:color w:val="auto"/>
          <w:vertAlign w:val="superscript"/>
        </w:rPr>
      </w:pPr>
      <w:r>
        <w:rPr>
          <w:color w:val="auto"/>
        </w:rPr>
        <w:t>图2-2  In涂层Cu薄片及TLP连接结构：（a）涂层薄片截面；（b）试样装配示意；（c）上下连接层示意</w:t>
      </w:r>
      <w:r>
        <w:rPr>
          <w:vertAlign w:val="superscript"/>
        </w:rPr>
        <w:t>[16]</w:t>
      </w:r>
    </w:p>
    <w:p w14:paraId="2CAA34DF">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2.1.2  多孔Cu辅助TLP连接的界面反应与组织</w:t>
      </w:r>
    </w:p>
    <w:p w14:paraId="0F44A32C">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Xiong等采用Sn-58Bi焊料（SB）与多孔Cu（P-Cu）构建Cu/SB/P-Cu/SB/Cu夹层结构，并在甲酸气氛中开展瞬态液相连接（TLP）研究，其装配方式如图2-3所示</w:t>
      </w:r>
      <w:r>
        <w:rPr>
          <w:vertAlign w:val="superscript"/>
        </w:rPr>
        <w:t>[17]</w:t>
      </w:r>
      <w:r>
        <w:t>。其中，上部Cu试样的尺寸为4 mm×4 mm、厚度为2 mm；下部Cu基板的尺寸为12 mm×20 mm、厚度同样为2 mm。示意结构中，多孔Cu中间层及其两侧焊膏层的厚度均为0.5 mm。与单侧添加焊料的方式相比，该结构在多孔Cu两侧设置焊料，使焊料熔化后能够从两个方向进入孔道，为多孔骨架与液态焊料的接触和反应提供条件。</w:t>
      </w:r>
    </w:p>
    <w:p w14:paraId="374194B1">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在连接过程中，液态焊料需要先润湿多孔Cu表面，再沿相互连通的孔道铺展和填充，随后与Cu骨架发生界面反应并形成金属间化合物（IMC）。作者认为，多孔Cu较大的比表面积是促进润湿、铺展和IMC形成的重要因素。基于这一结构特点，研究进一步从连接温度、连接时间、施加压力以及是否使用Pt催化剂四类工艺因素出发，考察接头的形成行为。其中，温度和时间影响焊料熔化后的反应过程，压力则同时关系到焊料与多孔Cu的接触状态及多孔骨架的受力情况。研究报告表明，适当加压有助于提高接头强度，但压力过高会对接头造成损伤。因此，对于图中厚度为0.5 mm的多孔Cu中间层，工艺优化不能只关注焊料能否进入孔道，还需要考虑骨架在受压时能否保持完整，以及焊料填充与界面反应是否充分。该研究说明，多孔Cu参与TLP连接时，孔道填充、界面反应和压力控制相互关联，为后续设计多孔Cu中间层及确定连接参数提供了参考。</w:t>
      </w:r>
    </w:p>
    <w:p w14:paraId="797FE8B8">
      <w:pPr>
        <w:pStyle w:val="style4126"/>
        <w:rPr>
          <w:color w:val="auto"/>
        </w:rPr>
      </w:pPr>
      <w:r>
        <w:rPr/>
        <w:drawing>
          <wp:inline distL="0" distT="0" distB="0" distR="0">
            <wp:extent cx="5391150" cy="3353435"/>
            <wp:effectExtent l="0" t="0" r="6350" b="12065"/>
            <wp:docPr id="1028" name="New 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New picture"/>
                    <pic:cNvPicPr/>
                  </pic:nvPicPr>
                  <pic:blipFill>
                    <a:blip r:embed="rId10" cstate="print"/>
                    <a:srcRect l="0" t="0" r="0" b="17840"/>
                    <a:stretch/>
                  </pic:blipFill>
                  <pic:spPr>
                    <a:xfrm rot="0">
                      <a:off x="0" y="0"/>
                      <a:ext cx="5391150" cy="3353435"/>
                    </a:xfrm>
                    <a:prstGeom prst="rect"/>
                    <a:ln>
                      <a:noFill/>
                    </a:ln>
                  </pic:spPr>
                </pic:pic>
              </a:graphicData>
            </a:graphic>
          </wp:inline>
        </w:drawing>
      </w:r>
    </w:p>
    <w:p w14:paraId="60DFC081">
      <w:pPr>
        <w:pStyle w:val="style4127"/>
        <w:rPr>
          <w:color w:val="auto"/>
          <w:vertAlign w:val="superscript"/>
        </w:rPr>
      </w:pPr>
      <w:r>
        <w:rPr>
          <w:color w:val="auto"/>
        </w:rPr>
        <w:t>图2-3  Cu/SB/P-Cu/SB/Cu连接试样：（a）试样布置；（b）夹层结构及尺寸；（c）焊料进入多孔Cu的</w:t>
      </w:r>
      <w:commentRangeStart w:id="8"/>
      <w:r>
        <w:rPr>
          <w:color w:val="auto"/>
          <w:highlight w:val="yellow"/>
        </w:rPr>
        <w:t>示意图</w:t>
      </w:r>
      <w:commentRangeEnd w:id="8"/>
      <w:r>
        <w:rPr/>
        <w:commentReference w:id="8"/>
      </w:r>
    </w:p>
    <w:p w14:paraId="03BF0DAC">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Kim等将莲花型多孔Cu作为TLP连接中间层，在300 ℃、0.1 MPa条件下研究保温时间对界面反应及剪切性能的影响，图2-4展示了不同连接时间下的截面组织</w:t>
      </w:r>
      <w:r>
        <w:rPr>
          <w:vertAlign w:val="superscript"/>
        </w:rPr>
        <w:t>[18]</w:t>
      </w:r>
      <w:r>
        <w:t>。图中标识了Cu骨架、富Sn区、</w:t>
      </w:r>
      <w:r>
        <w:rPr>
          <w:highlight w:val="yellow"/>
        </w:rPr>
        <w:t>Cu₆Sn₅和Cu₃Sn，作者</w:t>
      </w:r>
      <w:commentRangeStart w:id="9"/>
      <w:r>
        <w:rPr>
          <w:highlight w:val="yellow"/>
        </w:rPr>
        <w:t>指出</w:t>
      </w:r>
      <w:commentRangeEnd w:id="9"/>
      <w:r>
        <w:rPr/>
        <w:commentReference w:id="9"/>
      </w:r>
      <w:r>
        <w:rPr>
          <w:highlight w:val="yellow"/>
        </w:rPr>
        <w:t>Cu₃Sn</w:t>
      </w:r>
      <w:r>
        <w:t>层随连接时间延长而增厚，在不超过120 min的研究范围内，莲花型多孔Cu接头的剪切强度高于传统TLP接头，原因是多孔结构对裂纹扩展的阻碍提高了断裂阻力。当连接时间进入180 min及更长阶段时，过量IMC生成引起孔内材料的体积收缩，产生拉应力并导致空洞形成；图中后期截面的局部空洞与这一解释相符，说明300 ℃下延长保温时间需要兼顾界面反应程度和反应收缩缺陷。</w:t>
      </w:r>
    </w:p>
    <w:p w14:paraId="47724BBA">
      <w:pPr>
        <w:pStyle w:val="style4126"/>
        <w:jc w:val="both"/>
        <w:rPr>
          <w:color w:val="auto"/>
        </w:rPr>
      </w:pPr>
      <w:r>
        <w:rPr>
          <w:sz w:val="24"/>
        </w:rPr>
      </w:r>
      <w:r>
        <w:rPr>
          <w:sz w:val="24"/>
        </w:rPr>
      </w:r>
      <w:r>
        <w:rPr>
          <w:sz w:val="24"/>
        </w:rPr>
      </w:r>
      <w:r>
        <w:rPr>
          <w:sz w:val="24"/>
        </w:rPr>
        <mc:AlternateContent>
          <mc:Choice Requires="wpg">
            <w:drawing>
              <wp:inline distL="0" distT="0" distB="0" distR="0">
                <wp:extent cx="5358765" cy="1251585"/>
                <wp:effectExtent l="0" t="0" r="635" b="5715"/>
                <wp:docPr id="1029" name="组合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358765" cy="1251585"/>
                          <a:chOff x="3046" y="157364"/>
                          <a:chExt cx="8439" cy="1971"/>
                        </a:xfrm>
                      </wpg:grpSpPr>
                      <pic:pic xmlns:pic="http://schemas.openxmlformats.org/drawingml/2006/picture">
                        <pic:nvPicPr>
                          <pic:cNvPr id="3" name="Image"/>
                          <pic:cNvPicPr/>
                        </pic:nvPicPr>
                        <pic:blipFill>
                          <a:blip r:embed="rId11" cstate="print"/>
                          <a:srcRect l="0" t="0" r="0" b="50227"/>
                          <a:stretch/>
                        </pic:blipFill>
                        <pic:spPr>
                          <a:xfrm rot="0">
                            <a:off x="3046" y="157364"/>
                            <a:ext cx="4141" cy="1970"/>
                          </a:xfrm>
                          <a:prstGeom prst="rect"/>
                          <a:ln>
                            <a:noFill/>
                          </a:ln>
                        </pic:spPr>
                      </pic:pic>
                      <pic:pic xmlns:pic="http://schemas.openxmlformats.org/drawingml/2006/picture">
                        <pic:nvPicPr>
                          <pic:cNvPr id="3" name="Image"/>
                          <pic:cNvPicPr/>
                        </pic:nvPicPr>
                        <pic:blipFill>
                          <a:blip r:embed="rId11" cstate="print"/>
                          <a:srcRect l="0" t="50227" r="0" b="0"/>
                          <a:stretch/>
                        </pic:blipFill>
                        <pic:spPr>
                          <a:xfrm rot="0">
                            <a:off x="7193" y="157365"/>
                            <a:ext cx="4293" cy="1970"/>
                          </a:xfrm>
                          <a:prstGeom prst="rect"/>
                          <a:ln>
                            <a:noFill/>
                          </a:ln>
                        </pic:spPr>
                      </pic:pic>
                    </wpg:wgp>
                  </a:graphicData>
                </a:graphic>
              </wp:inline>
            </w:drawing>
          </mc:Choice>
          <mc:Fallback>
            <w:pict>
              <v:group id="1029" filled="f" stroked="f" style="margin-left:0.0pt;margin-top:0.0pt;width:421.95pt;height:98.55pt;mso-wrap-distance-left:0.0pt;mso-wrap-distance-right:0.0pt;visibility:visible;" coordsize="8439,1971" coordorigin="3046,157364">
                <v:shape id="1030" type="#_x0000_t75" filled="f" stroked="f" style="position:absolute;left:3046;top:157364;width:4141;height:1970;z-index:2;mso-position-horizontal-relative:page;mso-position-vertical-relative:page;mso-width-relative:page;mso-height-relative:page;visibility:visible;">
                  <v:imagedata r:id="rId11" cropbottom="32916f" embosscolor="white" o:title=""/>
                  <v:stroke on="f"/>
                  <v:fill/>
                </v:shape>
                <v:shape id="1031" type="#_x0000_t75" filled="f" stroked="f" style="position:absolute;left:7193;top:157365;width:4293;height:1970;z-index:3;mso-position-horizontal-relative:page;mso-position-vertical-relative:page;mso-width-relative:page;mso-height-relative:page;visibility:visible;">
                  <v:imagedata r:id="rId11" croptop="32916f" embosscolor="white" o:title=""/>
                  <v:stroke on="f"/>
                  <v:fill/>
                </v:shape>
                <w10:anchorlock/>
                <v:fill rotate="true"/>
              </v:group>
            </w:pict>
          </mc:Fallback>
        </mc:AlternateContent>
      </w:r>
      <w:r>
        <w:rPr>
          <w:sz w:val="24"/>
        </w:rPr>
      </w:r>
      <w:r>
        <w:rPr>
          <w:sz w:val="24"/>
        </w:rPr>
      </w:r>
    </w:p>
    <w:p w14:paraId="2C882F17">
      <w:pPr>
        <w:pStyle w:val="style4127"/>
        <w:rPr>
          <w:vertAlign w:val="superscript"/>
        </w:rPr>
      </w:pPr>
      <w:r>
        <w:rPr>
          <w:color w:val="auto"/>
        </w:rPr>
        <w:t>图2-4  莲花型多孔Cu中间层TLP接头在不同连接时间下的截面</w:t>
      </w:r>
      <w:r>
        <w:rPr>
          <w:color w:val="auto"/>
          <w:highlight w:val="yellow"/>
        </w:rPr>
        <w:t>SEM形貌</w:t>
      </w:r>
      <w:r>
        <w:rPr>
          <w:rFonts w:hint="eastAsia"/>
          <w:color w:val="auto"/>
          <w:highlight w:val="yellow"/>
          <w:lang w:eastAsia="zh-CN"/>
        </w:rPr>
        <w:t>（</w:t>
      </w:r>
      <w:r>
        <w:rPr>
          <w:color w:val="auto"/>
          <w:highlight w:val="yellow"/>
        </w:rPr>
        <w:t>图中</w:t>
      </w:r>
      <w:commentRangeStart w:id="10"/>
      <w:r>
        <w:rPr>
          <w:color w:val="auto"/>
          <w:highlight w:val="yellow"/>
        </w:rPr>
        <w:t>标尺</w:t>
      </w:r>
      <w:commentRangeEnd w:id="10"/>
      <w:r>
        <w:rPr/>
        <w:commentReference w:id="10"/>
      </w:r>
      <w:r>
        <w:rPr>
          <w:color w:val="auto"/>
          <w:highlight w:val="yellow"/>
        </w:rPr>
        <w:t>均为50 μm</w:t>
      </w:r>
      <w:r>
        <w:rPr>
          <w:rFonts w:hint="eastAsia"/>
          <w:color w:val="auto"/>
          <w:highlight w:val="yellow"/>
          <w:lang w:eastAsia="zh-CN"/>
        </w:rPr>
        <w:t>）</w:t>
      </w:r>
      <w:r>
        <w:rPr>
          <w:vertAlign w:val="superscript"/>
        </w:rPr>
        <w:t>[18]</w:t>
      </w:r>
    </w:p>
    <w:p w14:paraId="5A1E11C7">
      <w:pPr>
        <w:pStyle w:val="style4127"/>
        <w:jc w:val="left"/>
        <w:rPr>
          <w:rFonts w:ascii="Times New Roman" w:cs="Times New Roman" w:eastAsia="黑体" w:hAnsi="Times New Roman" w:hint="eastAsia"/>
          <w:b w:val="false"/>
          <w:bCs/>
          <w:color w:val="auto"/>
          <w:kern w:val="2"/>
          <w:sz w:val="28"/>
          <w:szCs w:val="32"/>
          <w:lang w:val="en-US" w:bidi="ar-SA" w:eastAsia="zh-CN"/>
        </w:rPr>
      </w:pPr>
      <w:r>
        <w:rPr>
          <w:rFonts w:ascii="Times New Roman" w:cs="Times New Roman" w:eastAsia="黑体" w:hAnsi="Times New Roman" w:hint="eastAsia"/>
          <w:b w:val="false"/>
          <w:bCs/>
          <w:color w:val="auto"/>
          <w:kern w:val="2"/>
          <w:sz w:val="28"/>
          <w:szCs w:val="32"/>
          <w:lang w:val="en-US" w:bidi="ar-SA" w:eastAsia="zh-CN"/>
        </w:rPr>
        <w:t>2.1.3  接头力学性能与失效模式的相关研究Su</w:t>
      </w:r>
    </w:p>
    <w:p w14:paraId="359A8336">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lang w:val="en-US" w:eastAsia="en-US"/>
        </w:rPr>
      </w:pPr>
      <w:r>
        <w:rPr>
          <w:rFonts w:ascii="Times New Roman" w:cs="宋体" w:eastAsia="宋体" w:hAnsi="Times New Roman"/>
          <w:color w:val="auto"/>
          <w:kern w:val="0"/>
          <w:sz w:val="24"/>
          <w:szCs w:val="22"/>
          <w:lang w:val="en-US" w:bidi="ar-SA" w:eastAsia="en-US"/>
        </w:rPr>
        <w:t>Su等</w:t>
      </w:r>
      <w:r>
        <w:rPr>
          <w:rFonts w:ascii="Times New Roman" w:cs="宋体" w:eastAsia="宋体" w:hAnsi="Times New Roman" w:hint="eastAsia"/>
          <w:color w:val="auto"/>
          <w:kern w:val="0"/>
          <w:sz w:val="24"/>
          <w:szCs w:val="22"/>
          <w:lang w:val="en-US" w:bidi="ar-SA" w:eastAsia="zh-CN"/>
        </w:rPr>
        <w:t>在制备多孔铜完成以后（见2.1.1多孔铜制备的研究），</w:t>
      </w:r>
      <w:r>
        <w:rPr>
          <w:rFonts w:ascii="Times New Roman" w:cs="宋体" w:eastAsia="宋体" w:hAnsi="Times New Roman"/>
          <w:color w:val="auto"/>
          <w:kern w:val="0"/>
          <w:sz w:val="24"/>
          <w:szCs w:val="22"/>
          <w:lang w:val="en-US" w:bidi="ar-SA" w:eastAsia="en-US"/>
        </w:rPr>
        <w:t>对NPC/SAC305形成的连接层进行了剪切测试，报告的平均剪切强度为37.68 MPa，最高测得值为57.38 MPa，并进一步考察了200 ℃下时效15 d过</w:t>
      </w:r>
      <w:r>
        <w:rPr>
          <w:lang w:val="en-US" w:eastAsia="en-US"/>
        </w:rPr>
        <w:t>程中的强度变化，如图2-5所示</w:t>
      </w:r>
      <w:r>
        <w:rPr>
          <w:vertAlign w:val="superscript"/>
        </w:rPr>
        <w:t>[15]</w:t>
      </w:r>
      <w:r>
        <w:rPr>
          <w:lang w:val="en-US" w:eastAsia="en-US"/>
        </w:rPr>
        <w:t>。按图中均值数据点估读，时效5、10和15 d后的剪切强度分别约为32、31和35 MPa，即均值先降低、随后回升；以15 d估读值35 MPa和初始报告值37.68 MPa</w:t>
      </w:r>
      <w:commentRangeStart w:id="11"/>
      <w:r>
        <w:rPr>
          <w:lang w:val="en-US" w:eastAsia="en-US"/>
        </w:rPr>
        <w:t>计算，强度保持率约为93%，该比例属于据图计算的近似值。图中各时效组的误差范围存在重叠，因此这组数据支持接头在200 ℃、15 d条件下仍具有约35 MPa的平均承载水平，但均值的波动本身不足以证明各组差异具有统计显著性。</w:t>
      </w:r>
    </w:p>
    <w:p w14:paraId="36E8EA6F">
      <w:pPr>
        <w:pStyle w:val="style4126"/>
        <w:jc w:val="center"/>
        <w:rPr>
          <w:color w:val="auto"/>
        </w:rPr>
      </w:pPr>
      <w:r>
        <w:rPr>
          <w:color w:val="auto"/>
        </w:rPr>
        <w:drawing>
          <wp:inline distL="0" distT="0" distB="0" distR="0">
            <wp:extent cx="3446145" cy="2241550"/>
            <wp:effectExtent l="0" t="0" r="8255" b="6350"/>
            <wp:docPr id="1033" name="Figure 2-5" descr="图2-5  NPC/SAC305连接层在200 ℃下时效0、5、10和15 d后的剪切强度[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Figure 2-5"/>
                    <pic:cNvPicPr/>
                  </pic:nvPicPr>
                  <pic:blipFill>
                    <a:blip r:embed="rId12" cstate="print"/>
                    <a:srcRect l="0" t="0" r="0" b="0"/>
                    <a:stretch/>
                  </pic:blipFill>
                  <pic:spPr>
                    <a:xfrm rot="0">
                      <a:off x="0" y="0"/>
                      <a:ext cx="3446145" cy="2241550"/>
                    </a:xfrm>
                    <a:prstGeom prst="rect"/>
                    <a:ln>
                      <a:noFill/>
                    </a:ln>
                  </pic:spPr>
                </pic:pic>
              </a:graphicData>
            </a:graphic>
          </wp:inline>
        </w:drawing>
      </w:r>
    </w:p>
    <w:p w14:paraId="53D1B345">
      <w:pPr>
        <w:pStyle w:val="style4127"/>
        <w:rPr>
          <w:color w:val="auto"/>
          <w:vertAlign w:val="superscript"/>
        </w:rPr>
      </w:pPr>
      <w:r>
        <w:rPr>
          <w:color w:val="auto"/>
        </w:rPr>
        <w:t>图2-5  NPC/SAC305连接层在200 ℃下时效0、5、10和15 d后的剪切强度</w:t>
      </w:r>
      <w:commentRangeEnd w:id="11"/>
      <w:r>
        <w:rPr/>
        <w:commentReference w:id="11"/>
      </w:r>
    </w:p>
    <w:p w14:paraId="6EC3CBE5">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color w:val="auto"/>
        </w:rPr>
      </w:pPr>
      <w:r>
        <w:rPr>
          <w:lang w:val="en-US" w:eastAsia="en-US"/>
        </w:rPr>
        <w:t>为分析多孔Cu/Sn-58Bi接头的缺陷与失效行为，Xiong等采用Sn-58Bi焊料（SB）和多孔Cu（P-Cu）构建Cu/SB/P-Cu/SB/Cu夹层，并比较了200 ℃和300 ℃连接试样的断口及截面组织，装配结构见2.1.2节，观察结果见图2-6</w:t>
      </w:r>
      <w:r>
        <w:rPr>
          <w:vertAlign w:val="superscript"/>
        </w:rPr>
        <w:t>[17]</w:t>
      </w:r>
      <w:r>
        <w:rPr>
          <w:lang w:val="en-US" w:eastAsia="en-US"/>
        </w:rPr>
        <w:t>。200 ℃试样的断口中可见未填充孔，说明部分液态焊料未能充分进入多孔Cu孔道。这些区域减少了焊料与Cu骨架的有效接触，也可能成为受力时的局部薄弱位置。</w:t>
      </w:r>
      <w:r>
        <w:rPr>
          <w:highlight w:val="yellow"/>
          <w:lang w:val="en-US" w:eastAsia="en-US"/>
        </w:rPr>
        <w:t>图2-6（b）的标尺为10 μm，展示局部孔道未填充的情况；图2-6（c）、（d）的标尺均为200 μm，可用于观察较大视场内的孔洞分布。</w:t>
      </w:r>
      <w:r>
        <w:rPr>
          <w:lang w:val="en-US" w:eastAsia="en-US"/>
        </w:rPr>
        <w:t>两个温度下的截面均标出了孔洞位置，因此不能仅凭某一处断口判断整体连接质量，还需结合不同尺度的截面组织，分析孔洞的位置和分布。</w:t>
      </w:r>
      <w:r>
        <w:rPr>
          <w:highlight w:val="yellow"/>
          <w:lang w:val="en-US" w:eastAsia="en-US"/>
        </w:rPr>
        <w:t>作者同时报告，</w:t>
      </w:r>
      <w:r>
        <w:rPr>
          <w:lang w:val="en-US" w:eastAsia="en-US"/>
        </w:rPr>
        <w:t>连接温度由200 ℃提高至300 ℃后，金属间化合物（IMC）发生粗化，接头强度反而下降。结合孔洞观察结果可知，升温并不必然带来更充分的填充或更高的强度。该体系的性能评价需要同时考虑孔道填充、孔洞缺陷和IMC形貌，连接温度的选择也应兼顾液相进入孔道与抑制反应相过度粗化两方面。这表明温度变化对接头的影响不能仅从焊料流动或界面反应是否加快来判断，还需要关注孔道填充状态和反应产物形貌。综合断口、局部孔道及大视场截面信息可知，该体系的连接质量受到填充缺陷与IMC粗化的共同制约</w:t>
      </w:r>
      <w:r>
        <w:rPr>
          <w:highlight w:val="yellow"/>
          <w:lang w:val="en-US" w:eastAsia="en-US"/>
        </w:rPr>
        <w:t>。因此，在优化连接温度时，应同时考察液态焊料进入多孔骨架的程度、残留孔洞的分布以及IMC的生长情况，不能仅依据温度从200 ℃提高到300 ℃就推断接头强度必然增加。</w:t>
      </w:r>
    </w:p>
    <w:p w14:paraId="2A7F1502">
      <w:pPr>
        <w:pStyle w:val="style4126"/>
        <w:rPr>
          <w:color w:val="auto"/>
        </w:rPr>
      </w:pPr>
      <w:r>
        <w:rPr>
          <w:sz w:val="24"/>
        </w:rPr>
      </w:r>
      <w:r>
        <w:rPr>
          <w:sz w:val="24"/>
        </w:rPr>
      </w:r>
      <w:r>
        <w:rPr>
          <w:sz w:val="24"/>
        </w:rPr>
      </w:r>
      <w:r>
        <w:rPr>
          <w:sz w:val="24"/>
        </w:rPr>
        <mc:AlternateContent>
          <mc:Choice Requires="wpg">
            <w:drawing>
              <wp:inline distL="0" distT="0" distB="0" distR="0">
                <wp:extent cx="4094480" cy="1047750"/>
                <wp:effectExtent l="0" t="0" r="7620" b="6350"/>
                <wp:docPr id="1034" name="组合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094480" cy="1047750"/>
                          <a:chOff x="4046" y="179938"/>
                          <a:chExt cx="6448" cy="1650"/>
                        </a:xfrm>
                      </wpg:grpSpPr>
                      <pic:pic xmlns:pic="http://schemas.openxmlformats.org/drawingml/2006/picture">
                        <pic:nvPicPr>
                          <pic:cNvPr id="5" name="Image"/>
                          <pic:cNvPicPr/>
                        </pic:nvPicPr>
                        <pic:blipFill>
                          <a:blip r:embed="rId13" cstate="print"/>
                          <a:srcRect l="0" t="0" r="0" b="51829"/>
                          <a:stretch/>
                        </pic:blipFill>
                        <pic:spPr>
                          <a:xfrm rot="0">
                            <a:off x="4046" y="179938"/>
                            <a:ext cx="3358" cy="1650"/>
                          </a:xfrm>
                          <a:prstGeom prst="rect"/>
                          <a:ln>
                            <a:noFill/>
                          </a:ln>
                        </pic:spPr>
                      </pic:pic>
                      <pic:pic xmlns:pic="http://schemas.openxmlformats.org/drawingml/2006/picture">
                        <pic:nvPicPr>
                          <pic:cNvPr id="5" name="Image"/>
                          <pic:cNvPicPr/>
                        </pic:nvPicPr>
                        <pic:blipFill>
                          <a:blip r:embed="rId13" cstate="print"/>
                          <a:srcRect l="0" t="48062" r="0" b="5324"/>
                          <a:stretch/>
                        </pic:blipFill>
                        <pic:spPr>
                          <a:xfrm rot="0">
                            <a:off x="7404" y="179944"/>
                            <a:ext cx="3091" cy="1616"/>
                          </a:xfrm>
                          <a:prstGeom prst="rect"/>
                          <a:ln>
                            <a:noFill/>
                          </a:ln>
                        </pic:spPr>
                      </pic:pic>
                    </wpg:wgp>
                  </a:graphicData>
                </a:graphic>
              </wp:inline>
            </w:drawing>
          </mc:Choice>
          <mc:Fallback>
            <w:pict>
              <v:group id="1034" filled="f" stroked="f" style="margin-left:0.0pt;margin-top:0.0pt;width:322.4pt;height:82.5pt;mso-wrap-distance-left:0.0pt;mso-wrap-distance-right:0.0pt;visibility:visible;" coordsize="6448,1650" coordorigin="4046,179938">
                <v:shape id="1035" type="#_x0000_t75" filled="f" stroked="f" style="position:absolute;left:4046;top:179938;width:3358;height:1650;z-index:2;mso-position-horizontal-relative:page;mso-position-vertical-relative:page;mso-width-relative:page;mso-height-relative:page;visibility:visible;">
                  <v:imagedata r:id="rId13" cropbottom="33966f" embosscolor="white" o:title=""/>
                  <v:stroke on="f"/>
                  <v:fill/>
                </v:shape>
                <v:shape id="1036" type="#_x0000_t75" filled="f" stroked="f" style="position:absolute;left:7404;top:179944;width:3091;height:1616;z-index:3;mso-position-horizontal-relative:page;mso-position-vertical-relative:page;mso-width-relative:page;mso-height-relative:page;visibility:visible;">
                  <v:imagedata r:id="rId13" croptop="31497f" cropbottom="3489f" embosscolor="white" o:title=""/>
                  <v:stroke on="f"/>
                  <v:fill/>
                </v:shape>
                <w10:anchorlock/>
                <v:fill rotate="true"/>
              </v:group>
            </w:pict>
          </mc:Fallback>
        </mc:AlternateContent>
      </w:r>
      <w:r>
        <w:rPr>
          <w:sz w:val="24"/>
        </w:rPr>
      </w:r>
      <w:r>
        <w:rPr>
          <w:sz w:val="24"/>
        </w:rPr>
      </w:r>
    </w:p>
    <w:p w14:paraId="62CB269F">
      <w:pPr>
        <w:pStyle w:val="style4127"/>
        <w:rPr>
          <w:color w:val="auto"/>
          <w:vertAlign w:val="superscript"/>
        </w:rPr>
      </w:pPr>
      <w:r>
        <w:rPr>
          <w:color w:val="auto"/>
        </w:rPr>
        <w:t>图2-6  Sn-58Bi/多孔Cu接头的断口与截面形貌：（a）200 ℃试样断口；（b）断口局部SEM形貌；（c）200 ℃与（d）300 ℃试样</w:t>
      </w:r>
      <w:r>
        <w:rPr>
          <w:color w:val="auto"/>
          <w:highlight w:val="yellow"/>
        </w:rPr>
        <w:t>截面</w:t>
      </w:r>
    </w:p>
    <w:p w14:paraId="07E92F15">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2.1.4  高温时效与长期组织稳定性的研究</w:t>
      </w:r>
    </w:p>
    <w:p w14:paraId="132F907C">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lang w:val="en-US" w:eastAsia="en-US"/>
        </w:rPr>
      </w:pPr>
      <w:r>
        <w:rPr>
          <w:lang w:val="en-US" w:eastAsia="en-US"/>
        </w:rPr>
        <w:t>Tatsumi等采用Cu-焊料-树脂复合膏，在氮气中以250 ℃、1 min、无外加压力的工艺制得Cu-Sn瞬态液相烧结（TLPS）骨架接头，并分别在150、175和200 ℃下时效1000 h，其连接层与Cu基板界面的截面如图2-7所示</w:t>
      </w:r>
      <w:r>
        <w:rPr>
          <w:vertAlign w:val="superscript"/>
        </w:rPr>
        <w:t>[25]</w:t>
      </w:r>
      <w:r>
        <w:rPr>
          <w:lang w:val="en-US" w:eastAsia="en-US"/>
        </w:rPr>
        <w:t>。对应</w:t>
      </w:r>
      <w:r>
        <w:rPr>
          <w:highlight w:val="yellow"/>
          <w:lang w:val="en-US" w:eastAsia="en-US"/>
        </w:rPr>
        <w:t>图中1—6号区域的EDX结果，Cu含量依次为75.7、73.1、73.6、78.7、75.5和76.1 at.%，相应Sn含量为24.3、26.9、26.4、21.3、24.5和23.9 at.%，作者均判定为Cu₃Sn，支持该基板侧界面在时效后以Cu₃Sn为主要反应相的结论。</w:t>
      </w:r>
      <w:r>
        <w:rPr>
          <w:lang w:val="en-US" w:eastAsia="en-US"/>
        </w:rPr>
        <w:t>论文另报告初始平均剪切强度为22.1 MPa，三种温度下时效1000 h后分别为22.8、24.0和19.0 MPa，约变化+3%、+9%和−14%；</w:t>
      </w:r>
      <w:r>
        <w:rPr>
          <w:highlight w:val="yellow"/>
          <w:lang w:val="en-US" w:eastAsia="en-US"/>
        </w:rPr>
        <w:t>作者将其解释为</w:t>
      </w:r>
      <w:r>
        <w:rPr>
          <w:lang w:val="en-US" w:eastAsia="en-US"/>
        </w:rPr>
        <w:t>Cu₆Sn₅向Cu₃Sn转化的强化作用与Cu₃Sn/Cu界面亚微米空洞的不利作用相互竞争。因此，评价该类骨架接头的高温稳定性时，既要分析界面反应相的组成变化，也要关注空洞等缺陷的形成，不能仅根据Cu₃Sn的生成判断接头性能。</w:t>
      </w:r>
    </w:p>
    <w:p w14:paraId="58ACFBA3">
      <w:pPr>
        <w:pStyle w:val="style4126"/>
        <w:rPr>
          <w:color w:val="auto"/>
        </w:rPr>
      </w:pPr>
      <w:r>
        <w:rPr>
          <w:color w:val="auto"/>
        </w:rPr>
        <w:drawing>
          <wp:inline distL="0" distT="0" distB="0" distR="0">
            <wp:extent cx="5527040" cy="1426845"/>
            <wp:effectExtent l="0" t="0" r="10160" b="8255"/>
            <wp:docPr id="1038" name="Figure 2-7" descr="图2-7  Cu-Sn TLPS连接层与基板界面在（a）150 ℃、（b）175 ℃和（c）200 ℃下时效1000 h后的SEM形貌[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Figure 2-7"/>
                    <pic:cNvPicPr/>
                  </pic:nvPicPr>
                  <pic:blipFill>
                    <a:blip r:embed="rId14" cstate="print"/>
                    <a:srcRect l="0" t="0" r="0" b="0"/>
                    <a:stretch/>
                  </pic:blipFill>
                  <pic:spPr>
                    <a:xfrm rot="0">
                      <a:off x="0" y="0"/>
                      <a:ext cx="5527040" cy="1426845"/>
                    </a:xfrm>
                    <a:prstGeom prst="rect"/>
                    <a:ln>
                      <a:noFill/>
                    </a:ln>
                  </pic:spPr>
                </pic:pic>
              </a:graphicData>
            </a:graphic>
          </wp:inline>
        </w:drawing>
      </w:r>
    </w:p>
    <w:p w14:paraId="592E283D">
      <w:pPr>
        <w:pStyle w:val="style4127"/>
        <w:rPr>
          <w:vertAlign w:val="superscript"/>
        </w:rPr>
      </w:pPr>
      <w:r>
        <w:rPr>
          <w:color w:val="auto"/>
        </w:rPr>
        <w:t>图2-7  Cu-Sn TLPS连接层与基板界面在（a）150 ℃、（b）175 ℃和（c）200 ℃下时效1000 h后的SEM形貌</w:t>
      </w:r>
      <w:r>
        <w:rPr>
          <w:vertAlign w:val="superscript"/>
        </w:rPr>
        <w:t>[25]</w:t>
      </w:r>
    </w:p>
    <w:p w14:paraId="2357427B">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2.1.5  焊料填充状态与热冲击可靠性的相关研究</w:t>
      </w:r>
    </w:p>
    <w:p w14:paraId="00C91686">
      <w:pPr>
        <w:pStyle w:val="style4127"/>
        <w:keepNext w:val="false"/>
        <w:keepLines/>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cs="宋体" w:eastAsia="宋体" w:hAnsi="Times New Roman"/>
          <w:kern w:val="0"/>
          <w:sz w:val="24"/>
          <w:szCs w:val="22"/>
          <w:lang w:val="en-US" w:eastAsia="en-US"/>
        </w:rPr>
      </w:pPr>
      <w:r>
        <w:rPr>
          <w:rFonts w:ascii="Times New Roman" w:cs="宋体" w:eastAsia="宋体" w:hAnsi="Times New Roman"/>
          <w:kern w:val="0"/>
          <w:sz w:val="24"/>
          <w:szCs w:val="22"/>
          <w:lang w:val="en-US" w:eastAsia="en-US"/>
        </w:rPr>
        <w:t>Shin等采用SAC305焊料在265 ℃下连接莲花型多孔Cu（LPC）与Al，并以非多孔Cu接头为对照；Cu试样尺寸为5 mm×5 mm×1.5 mm，LPC的平均孔径为370±30.6 μm，孔道方向垂直于连接界面，截面结构如图2-8所示</w:t>
      </w:r>
      <w:r>
        <w:rPr>
          <w:vertAlign w:val="superscript"/>
        </w:rPr>
        <w:t>[19]</w:t>
      </w:r>
      <w:r>
        <w:rPr>
          <w:rFonts w:ascii="Times New Roman" w:cs="宋体" w:eastAsia="宋体" w:hAnsi="Times New Roman"/>
          <w:kern w:val="0"/>
          <w:sz w:val="24"/>
          <w:szCs w:val="22"/>
          <w:lang w:val="en-US" w:eastAsia="en-US"/>
        </w:rPr>
        <w:t>。研究通过改变焊料供给量得到Mode 1、Mode 2和Mode 3三种填充状态，前两种状态为部分填充，Mode 3实现100%填充，且部分填充时较小孔道优先被焊料填入</w:t>
      </w:r>
      <w:r>
        <w:rPr>
          <w:rFonts w:ascii="Times New Roman" w:cs="宋体" w:eastAsia="宋体" w:hAnsi="Times New Roman"/>
          <w:kern w:val="0"/>
          <w:sz w:val="24"/>
          <w:szCs w:val="22"/>
          <w:highlight w:val="yellow"/>
          <w:lang w:val="en-US" w:eastAsia="en-US"/>
        </w:rPr>
        <w:t>。作者报告填充率增加使接</w:t>
      </w:r>
      <w:commentRangeStart w:id="12"/>
      <w:r>
        <w:rPr>
          <w:rFonts w:ascii="Times New Roman" w:cs="宋体" w:eastAsia="宋体" w:hAnsi="Times New Roman"/>
          <w:kern w:val="0"/>
          <w:sz w:val="24"/>
          <w:szCs w:val="22"/>
          <w:highlight w:val="yellow"/>
          <w:lang w:val="en-US" w:eastAsia="en-US"/>
        </w:rPr>
        <w:t>头强度提高、延性降低</w:t>
      </w:r>
      <w:commentRangeEnd w:id="12"/>
      <w:r>
        <w:rPr/>
        <w:commentReference w:id="12"/>
      </w:r>
      <w:r>
        <w:rPr>
          <w:rFonts w:ascii="Times New Roman" w:cs="宋体" w:eastAsia="宋体" w:hAnsi="Times New Roman"/>
          <w:kern w:val="0"/>
          <w:sz w:val="24"/>
          <w:szCs w:val="22"/>
          <w:highlight w:val="yellow"/>
          <w:lang w:val="en-US" w:eastAsia="en-US"/>
        </w:rPr>
        <w:t>，100%填充接头的剪切强度与非多孔</w:t>
      </w:r>
      <w:r>
        <w:rPr>
          <w:rFonts w:ascii="Times New Roman" w:cs="宋体" w:eastAsia="宋体" w:hAnsi="Times New Roman"/>
          <w:kern w:val="0"/>
          <w:sz w:val="24"/>
          <w:szCs w:val="22"/>
          <w:lang w:val="en-US" w:eastAsia="en-US"/>
        </w:rPr>
        <w:t>Cu接头相近；结合图中孔内焊料由局部填充到贯通填充的变化，可以看出该研究通过焊料供给量调节孔内结构，实现了承载能力与变形能力的不同组合。</w:t>
      </w:r>
    </w:p>
    <w:p w14:paraId="668A85A4">
      <w:pPr>
        <w:pStyle w:val="style4126"/>
        <w:rPr>
          <w:color w:val="auto"/>
        </w:rPr>
      </w:pPr>
      <w:r>
        <w:rPr>
          <w:color w:val="auto"/>
        </w:rPr>
        <w:drawing>
          <wp:inline distL="0" distT="0" distB="0" distR="0">
            <wp:extent cx="3638550" cy="2209800"/>
            <wp:effectExtent l="0" t="0" r="6350" b="0"/>
            <wp:docPr id="1039" name="Figure 2-8" descr="图2-8  非多孔Cu及不同焊料填充状态LPC/Al接头的截面光学显微照片：（a）非多孔Cu；（b）Mode 1；（c）Mode 2；（d）Mode 3（100%填充）[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Figure 2-8"/>
                    <pic:cNvPicPr/>
                  </pic:nvPicPr>
                  <pic:blipFill>
                    <a:blip r:embed="rId15" cstate="print"/>
                    <a:srcRect l="0" t="0" r="0" b="0"/>
                    <a:stretch/>
                  </pic:blipFill>
                  <pic:spPr>
                    <a:xfrm rot="0">
                      <a:off x="0" y="0"/>
                      <a:ext cx="3638550" cy="2209800"/>
                    </a:xfrm>
                    <a:prstGeom prst="rect"/>
                    <a:ln>
                      <a:noFill/>
                    </a:ln>
                  </pic:spPr>
                </pic:pic>
              </a:graphicData>
            </a:graphic>
          </wp:inline>
        </w:drawing>
      </w:r>
    </w:p>
    <w:p w14:paraId="44C93F46">
      <w:pPr>
        <w:pStyle w:val="style4127"/>
        <w:rPr>
          <w:color w:val="auto"/>
          <w:vertAlign w:val="superscript"/>
        </w:rPr>
      </w:pPr>
      <w:r>
        <w:rPr>
          <w:color w:val="auto"/>
        </w:rPr>
        <w:t>图2-8  非多孔Cu及不同焊料填充状态LPC/Al接头的截面光学显微照片：（a）非多孔Cu；（b）Mode 1；（c）Mode 2；（d）Mode 3（100%填充）</w:t>
      </w:r>
    </w:p>
    <w:p w14:paraId="76AE7618">
      <w:pPr>
        <w:pStyle w:val="style4127"/>
        <w:keepNext w:val="false"/>
        <w:keepLines/>
        <w:pageBreakBefore w:val="false"/>
        <w:widowControl/>
        <w:kinsoku/>
        <w:wordWrap/>
        <w:overflowPunct/>
        <w:topLinePunct w:val="false"/>
        <w:autoSpaceDE/>
        <w:autoSpaceDN/>
        <w:bidi w:val="false"/>
        <w:adjustRightInd/>
        <w:snapToGrid/>
        <w:spacing w:after="0" w:lineRule="auto" w:line="300"/>
        <w:jc w:val="both"/>
        <w:textAlignment w:val="auto"/>
        <w:rPr>
          <w:color w:val="auto"/>
        </w:rPr>
      </w:pPr>
      <w:r>
        <w:rPr>
          <w:rFonts w:hint="eastAsia"/>
          <w:color w:val="auto"/>
          <w:vertAlign w:val="superscript"/>
          <w:lang w:val="en-US" w:eastAsia="zh-CN"/>
        </w:rPr>
        <w:t xml:space="preserve">             </w:t>
      </w:r>
      <w:r>
        <w:rPr>
          <w:rFonts w:ascii="Times New Roman" w:cs="宋体" w:eastAsia="宋体" w:hAnsi="Times New Roman" w:hint="eastAsia"/>
          <w:kern w:val="0"/>
          <w:sz w:val="24"/>
          <w:szCs w:val="22"/>
          <w:lang w:val="en-US" w:eastAsia="zh-CN"/>
        </w:rPr>
        <w:t>接着他</w:t>
      </w:r>
      <w:r>
        <w:rPr>
          <w:rFonts w:cs="宋体" w:hint="eastAsia"/>
          <w:kern w:val="0"/>
          <w:sz w:val="24"/>
          <w:szCs w:val="22"/>
          <w:lang w:val="en-US" w:eastAsia="zh-CN"/>
        </w:rPr>
        <w:t>与</w:t>
      </w:r>
      <w:r>
        <w:rPr>
          <w:rFonts w:ascii="Times New Roman" w:cs="宋体" w:eastAsia="宋体" w:hAnsi="Times New Roman" w:hint="eastAsia"/>
          <w:kern w:val="0"/>
          <w:sz w:val="24"/>
          <w:szCs w:val="22"/>
          <w:lang w:val="en-US" w:eastAsia="zh-CN"/>
        </w:rPr>
        <w:t>团队</w:t>
      </w:r>
      <w:r>
        <w:rPr>
          <w:rFonts w:ascii="Times New Roman" w:cs="宋体" w:eastAsia="宋体" w:hAnsi="Times New Roman"/>
          <w:kern w:val="0"/>
          <w:sz w:val="24"/>
          <w:szCs w:val="22"/>
          <w:lang w:val="en-US" w:eastAsia="en-US"/>
        </w:rPr>
        <w:t>进一步比较了不同填充状态试样剪切后的宏观形貌，如图2-9所示，非多孔Cu、Mode 1、Mode 2和Mode 3试样在图中标出的横向尺寸分别为4.85、3.89、4.18和4.29 mm，纵向标注均为5 mm。在平面尺寸同为5 mm×5 mm的试样中，Mode 1剪切后的横向尺寸最小，Mode 2和Mode 3的相应尺寸依次增大；这一形貌差异为比较孔结构参与变形的程度提供了观察依据，但不能将剪切后外形尺寸直接代入计算接头强度或均匀应变</w:t>
      </w:r>
      <w:r>
        <w:rPr>
          <w:rFonts w:cs="宋体" w:hint="eastAsia"/>
          <w:kern w:val="0"/>
          <w:sz w:val="24"/>
          <w:szCs w:val="22"/>
          <w:lang w:val="en-US" w:eastAsia="zh-CN"/>
        </w:rPr>
        <w:t>，</w:t>
      </w:r>
      <w:r>
        <w:rPr>
          <w:rFonts w:ascii="宋体" w:cs="宋体" w:eastAsia="宋体" w:hAnsi="宋体"/>
          <w:sz w:val="24"/>
          <w:szCs w:val="24"/>
        </w:rPr>
        <w:t>还需结合剪切曲线和断口形貌，才能更完整地分析填充状态对变形及失效过程的影响。该研究还报告，热冲击后LPC接头的剪切强度衰减小于非多孔Cu接头，并将这一结果归因于LPC较低的屈服强度及孔结构形成的特殊连接界面</w:t>
      </w:r>
      <w:r>
        <w:rPr>
          <w:vertAlign w:val="superscript"/>
        </w:rPr>
        <w:t>[19]</w:t>
      </w:r>
      <w:r>
        <w:rPr>
          <w:rFonts w:ascii="宋体" w:cs="宋体" w:eastAsia="宋体" w:hAnsi="宋体"/>
          <w:sz w:val="24"/>
          <w:szCs w:val="24"/>
        </w:rPr>
        <w:t>。热冲击使连接层与相邻材料反复经历温度变化，孔结构对局部变形和界面应力分布的影响因而值得关注。综合剪切后形貌与热冲击结果可见，填充程度既关系到接头的初始变形行为，也可能影响其后续服役稳定性，具体关系仍需依靠力学数据和失效位置分析加以验证。</w:t>
      </w:r>
    </w:p>
    <w:p w14:paraId="7B1A641B">
      <w:pPr>
        <w:pStyle w:val="style4126"/>
        <w:rPr>
          <w:color w:val="auto"/>
        </w:rPr>
      </w:pPr>
      <w:r>
        <w:rPr>
          <w:sz w:val="24"/>
        </w:rPr>
      </w:r>
      <w:r>
        <w:rPr>
          <w:sz w:val="24"/>
        </w:rPr>
      </w:r>
      <w:r>
        <w:rPr>
          <w:sz w:val="24"/>
        </w:rPr>
      </w:r>
      <w:r>
        <w:rPr>
          <w:sz w:val="24"/>
        </w:rPr>
        <mc:AlternateContent>
          <mc:Choice Requires="wpg">
            <w:drawing>
              <wp:inline distL="0" distT="0" distB="0" distR="0">
                <wp:extent cx="4842510" cy="1205230"/>
                <wp:effectExtent l="0" t="0" r="8890" b="1270"/>
                <wp:docPr id="1040" name="组合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842510" cy="1205230"/>
                          <a:chOff x="3516" y="212630"/>
                          <a:chExt cx="7626" cy="1898"/>
                        </a:xfrm>
                      </wpg:grpSpPr>
                      <pic:pic xmlns:pic="http://schemas.openxmlformats.org/drawingml/2006/picture">
                        <pic:nvPicPr>
                          <pic:cNvPr id="8" name="Image"/>
                          <pic:cNvPicPr/>
                        </pic:nvPicPr>
                        <pic:blipFill>
                          <a:blip r:embed="rId16" cstate="print"/>
                          <a:srcRect l="0" t="0" r="0" b="54838"/>
                          <a:stretch/>
                        </pic:blipFill>
                        <pic:spPr>
                          <a:xfrm rot="0">
                            <a:off x="3516" y="212637"/>
                            <a:ext cx="3751" cy="1872"/>
                          </a:xfrm>
                          <a:prstGeom prst="rect"/>
                          <a:ln>
                            <a:noFill/>
                          </a:ln>
                        </pic:spPr>
                      </pic:pic>
                      <pic:pic xmlns:pic="http://schemas.openxmlformats.org/drawingml/2006/picture">
                        <pic:nvPicPr>
                          <pic:cNvPr id="8" name="Image"/>
                          <pic:cNvPicPr/>
                        </pic:nvPicPr>
                        <pic:blipFill>
                          <a:blip r:embed="rId16" cstate="print"/>
                          <a:srcRect l="0" t="45285" r="0" b="8104"/>
                          <a:stretch/>
                        </pic:blipFill>
                        <pic:spPr>
                          <a:xfrm rot="0">
                            <a:off x="7392" y="212630"/>
                            <a:ext cx="3751" cy="1898"/>
                          </a:xfrm>
                          <a:prstGeom prst="rect"/>
                          <a:ln>
                            <a:noFill/>
                          </a:ln>
                        </pic:spPr>
                      </pic:pic>
                    </wpg:wgp>
                  </a:graphicData>
                </a:graphic>
              </wp:inline>
            </w:drawing>
          </mc:Choice>
          <mc:Fallback>
            <w:pict>
              <v:group id="1040" filled="f" stroked="f" style="margin-left:0.0pt;margin-top:0.0pt;width:381.3pt;height:94.9pt;mso-wrap-distance-left:0.0pt;mso-wrap-distance-right:0.0pt;visibility:visible;" coordsize="7626,1898" coordorigin="3516,212630">
                <v:shape id="1041" type="#_x0000_t75" filled="f" stroked="f" style="position:absolute;left:3516;top:212637;width:3751;height:1872;z-index:2;mso-position-horizontal-relative:page;mso-position-vertical-relative:page;mso-width-relative:page;mso-height-relative:page;visibility:visible;">
                  <v:imagedata r:id="rId16" cropbottom="35938f" embosscolor="white" o:title=""/>
                  <v:stroke on="f"/>
                  <v:fill/>
                </v:shape>
                <v:shape id="1042" type="#_x0000_t75" filled="f" stroked="f" style="position:absolute;left:7392;top:212630;width:3751;height:1898;z-index:3;mso-position-horizontal-relative:page;mso-position-vertical-relative:page;mso-width-relative:page;mso-height-relative:page;visibility:visible;">
                  <v:imagedata r:id="rId16" croptop="29677f" cropbottom="5311f" embosscolor="white" o:title=""/>
                  <v:stroke on="f"/>
                  <v:fill/>
                </v:shape>
                <w10:anchorlock/>
                <v:fill rotate="true"/>
              </v:group>
            </w:pict>
          </mc:Fallback>
        </mc:AlternateContent>
      </w:r>
      <w:r>
        <w:rPr>
          <w:sz w:val="24"/>
        </w:rPr>
      </w:r>
      <w:r>
        <w:rPr>
          <w:sz w:val="24"/>
        </w:rPr>
      </w:r>
    </w:p>
    <w:p w14:paraId="0DD16BE8">
      <w:pPr>
        <w:pStyle w:val="style4127"/>
        <w:rPr>
          <w:color w:val="auto"/>
        </w:rPr>
      </w:pPr>
      <w:r>
        <w:rPr>
          <w:color w:val="auto"/>
        </w:rPr>
        <w:t>图2-9  剪切后试样的光学显微照片：（a）非多孔Cu；（b）Mode 1；（c）Mode 2；（d）Mode 3，箭头为剪切方向</w:t>
      </w:r>
    </w:p>
    <w:p w14:paraId="5B000A5A">
      <w:pPr>
        <w:pStyle w:val="style2"/>
        <w:widowControl w:val="false"/>
        <w:snapToGrid w:val="false"/>
        <w:spacing w:before="195" w:beforeLines="50" w:after="195" w:afterLines="50" w:lineRule="auto" w:line="324"/>
        <w:jc w:val="left"/>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2.2  国内外文献综述及简析</w:t>
      </w:r>
    </w:p>
    <w:p w14:paraId="2AD859BD">
      <w:pPr>
        <w:pStyle w:val="style4122"/>
        <w:keepNext w:val="false"/>
        <w:keepLines w:val="false"/>
        <w:pageBreakBefore w:val="false"/>
        <w:widowControl/>
        <w:kinsoku/>
        <w:wordWrap/>
        <w:overflowPunct/>
        <w:topLinePunct w:val="false"/>
        <w:autoSpaceDE/>
        <w:autoSpaceDN/>
        <w:bidi w:val="false"/>
        <w:spacing w:after="0" w:lineRule="auto" w:line="300"/>
        <w:ind w:firstLine="506"/>
        <w:jc w:val="both"/>
        <w:textAlignment w:val="auto"/>
        <w:rPr>
          <w:color w:val="auto"/>
        </w:rPr>
      </w:pPr>
      <w:r>
        <w:rPr>
          <w:color w:val="auto"/>
        </w:rPr>
        <w:t>综合2.1中的国内外研究现状可知，要充分挖掘第三代半导体的潜力，就要提供与之相匹配的封装集成工艺，满足功率器件在高场、高频和高温等极端恶劣条件作用下的服役需求。通过模板法、脱合金法与造孔剂法可以获得孔隙率与孔径可调控的多孔Cu，后续可通过浸蘸纯Sn或SAC305等钎料获得多孔Cu复合钎料片，或直接在两侧放置钎料箔形成三明治结构进行焊接</w:t>
      </w:r>
      <w:r>
        <w:rPr>
          <w:vertAlign w:val="superscript"/>
        </w:rPr>
        <w:t>[14]</w:t>
      </w:r>
      <w:r>
        <w:rPr>
          <w:color w:val="auto"/>
        </w:rPr>
        <w:t>。研究表明，多孔Cu可以提高回流过程中IMC生成的速率，改善焊点断裂模式，提升焊点的力学性能、电学性能、热学性能，并显著提高焊点高温老化与热冲击下的长期服役可靠性。综合2.1所述研究现状，本课题需要解决的问题集中在以下</w:t>
      </w:r>
      <w:r>
        <w:rPr>
          <w:rFonts w:hint="eastAsia"/>
          <w:color w:val="auto"/>
          <w:lang w:val="en-US" w:eastAsia="zh-CN"/>
        </w:rPr>
        <w:t>三</w:t>
      </w:r>
      <w:r>
        <w:rPr>
          <w:color w:val="auto"/>
        </w:rPr>
        <w:t>个方面：</w:t>
      </w:r>
    </w:p>
    <w:p w14:paraId="1AC75752">
      <w:pPr>
        <w:pStyle w:val="style0"/>
        <w:keepNext w:val="false"/>
        <w:keepLines w:val="false"/>
        <w:pageBreakBefore w:val="false"/>
        <w:widowControl/>
        <w:kinsoku/>
        <w:wordWrap/>
        <w:overflowPunct/>
        <w:topLinePunct w:val="false"/>
        <w:autoSpaceDE/>
        <w:autoSpaceDN/>
        <w:bidi w:val="false"/>
        <w:spacing w:after="0" w:lineRule="auto" w:line="300"/>
        <w:ind w:firstLine="480" w:firstLineChars="200"/>
        <w:jc w:val="both"/>
        <w:textAlignment w:val="auto"/>
        <w:rPr>
          <w:color w:val="auto"/>
        </w:rPr>
      </w:pPr>
      <w:r>
        <w:rPr>
          <w:color w:val="auto"/>
        </w:rPr>
        <w:t>（1）孔结构可控性与可浸渗性之间的匹配关系尚需明确。需要建CuO/NaCl/Ag体系的成形、还原烧结和造孔剂去除窗口，定量描述孔隙率、开孔率、孔径分布及骨架完整性，并将其与SAC305浸渗完整性对应起来。</w:t>
      </w:r>
    </w:p>
    <w:p w14:paraId="340C569D">
      <w:pPr>
        <w:pStyle w:val="style0"/>
        <w:keepNext w:val="false"/>
        <w:keepLines w:val="false"/>
        <w:pageBreakBefore w:val="false"/>
        <w:widowControl/>
        <w:kinsoku/>
        <w:wordWrap/>
        <w:overflowPunct/>
        <w:topLinePunct w:val="false"/>
        <w:autoSpaceDE/>
        <w:autoSpaceDN/>
        <w:bidi w:val="false"/>
        <w:spacing w:after="0" w:lineRule="auto" w:line="300"/>
        <w:ind w:firstLine="480" w:firstLineChars="200"/>
        <w:jc w:val="both"/>
        <w:textAlignment w:val="auto"/>
        <w:rPr>
          <w:rFonts w:hint="eastAsia"/>
          <w:color w:val="auto"/>
          <w:lang w:val="en-US" w:eastAsia="zh-CN"/>
        </w:rPr>
      </w:pPr>
      <w:r>
        <w:rPr>
          <w:color w:val="auto"/>
        </w:rPr>
        <w:t>（2）多孔Cu辅助TLP反应区具有三维非均匀特征，传统单一IMC层厚度不足以描述其组织演化。需要结合SEM/EDS/XRD和图像统计，区分Cu骨架、Cu</w:t>
      </w:r>
      <w:r>
        <w:rPr>
          <w:color w:val="auto"/>
          <w:vertAlign w:val="subscript"/>
        </w:rPr>
        <w:t>6</w:t>
      </w:r>
      <w:r>
        <w:rPr>
          <w:color w:val="auto"/>
        </w:rPr>
        <w:t>Sn</w:t>
      </w:r>
      <w:r>
        <w:rPr>
          <w:color w:val="auto"/>
          <w:vertAlign w:val="subscript"/>
        </w:rPr>
        <w:t>5</w:t>
      </w:r>
      <w:r>
        <w:rPr>
          <w:color w:val="auto"/>
        </w:rPr>
        <w:t>、Cu</w:t>
      </w:r>
      <w:r>
        <w:rPr>
          <w:color w:val="auto"/>
          <w:vertAlign w:val="subscript"/>
        </w:rPr>
        <w:t>3</w:t>
      </w:r>
      <w:r>
        <w:rPr>
          <w:color w:val="auto"/>
        </w:rPr>
        <w:t>Sn、Ag</w:t>
      </w:r>
      <w:r>
        <w:rPr>
          <w:color w:val="auto"/>
          <w:vertAlign w:val="subscript"/>
        </w:rPr>
        <w:t>3</w:t>
      </w:r>
      <w:r>
        <w:rPr>
          <w:color w:val="auto"/>
        </w:rPr>
        <w:t>Sn、残余Sn和孔洞，并建立可重复的组织参数。</w:t>
      </w:r>
      <w:r>
        <w:rPr>
          <w:rFonts w:hint="eastAsia"/>
          <w:color w:val="auto"/>
          <w:lang w:val="en-US" w:eastAsia="zh-CN"/>
        </w:rPr>
        <w:t xml:space="preserve">                                                                                                                                             </w:t>
      </w:r>
    </w:p>
    <w:p w14:paraId="38435964">
      <w:pPr>
        <w:pStyle w:val="style0"/>
        <w:keepNext w:val="false"/>
        <w:keepLines w:val="false"/>
        <w:pageBreakBefore w:val="false"/>
        <w:widowControl/>
        <w:kinsoku/>
        <w:wordWrap/>
        <w:overflowPunct/>
        <w:topLinePunct w:val="false"/>
        <w:autoSpaceDE/>
        <w:autoSpaceDN/>
        <w:bidi w:val="false"/>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3</w:t>
      </w:r>
      <w:r>
        <w:rPr>
          <w:color w:val="auto"/>
        </w:rPr>
        <w:t>）材料级性能向SiC器件可靠性的传递机制仍不充分</w:t>
      </w:r>
      <w:r>
        <w:rPr>
          <w:vertAlign w:val="superscript"/>
        </w:rPr>
        <w:t>[33]</w:t>
      </w:r>
      <w:r>
        <w:rPr>
          <w:color w:val="auto"/>
        </w:rPr>
        <w:t>。需要在高温时效、热冲击和功率循环中同步测量强度、热阻、结温和I-V，并以截面失效位置验证互连层对器件退化的实际贡献。</w:t>
      </w:r>
    </w:p>
    <w:p w14:paraId="6DF486AA">
      <w:pPr>
        <w:pStyle w:val="style0"/>
        <w:keepNext w:val="false"/>
        <w:keepLines w:val="false"/>
        <w:pageBreakBefore w:val="false"/>
        <w:widowControl/>
        <w:kinsoku/>
        <w:wordWrap/>
        <w:overflowPunct/>
        <w:topLinePunct w:val="false"/>
        <w:autoSpaceDE/>
        <w:autoSpaceDN/>
        <w:bidi w:val="false"/>
        <w:spacing w:after="0" w:lineRule="auto" w:line="300"/>
        <w:ind w:firstLine="480" w:firstLineChars="200"/>
        <w:jc w:val="both"/>
        <w:textAlignment w:val="auto"/>
        <w:rPr>
          <w:color w:val="auto"/>
        </w:rPr>
      </w:pPr>
      <w:r>
        <w:rPr>
          <w:color w:val="auto"/>
        </w:rPr>
        <w:t>上述</w:t>
      </w:r>
      <w:r>
        <w:rPr>
          <w:rFonts w:hint="eastAsia"/>
          <w:color w:val="auto"/>
          <w:lang w:val="en-US" w:eastAsia="zh-CN"/>
        </w:rPr>
        <w:t>三</w:t>
      </w:r>
      <w:r>
        <w:rPr>
          <w:color w:val="auto"/>
        </w:rPr>
        <w:t>项缺口</w:t>
      </w:r>
      <w:r>
        <w:rPr>
          <w:rFonts w:hint="eastAsia"/>
          <w:color w:val="auto"/>
          <w:lang w:val="en-US" w:eastAsia="zh-CN"/>
        </w:rPr>
        <w:t>将</w:t>
      </w:r>
      <w:r>
        <w:rPr>
          <w:color w:val="auto"/>
        </w:rPr>
        <w:t>对应3.1中的材料制备、组织动力学、力学评价和可靠性/器件验证任务。</w:t>
      </w:r>
    </w:p>
    <w:p w14:paraId="6D6BED35">
      <w:pPr>
        <w:pStyle w:val="style4122"/>
        <w:keepNext w:val="false"/>
        <w:keepLines w:val="false"/>
        <w:pageBreakBefore w:val="false"/>
        <w:widowControl/>
        <w:kinsoku/>
        <w:wordWrap/>
        <w:overflowPunct/>
        <w:topLinePunct w:val="false"/>
        <w:autoSpaceDE/>
        <w:autoSpaceDN/>
        <w:bidi w:val="false"/>
        <w:spacing w:after="0" w:lineRule="auto" w:line="300"/>
        <w:ind w:firstLine="506"/>
        <w:jc w:val="both"/>
        <w:textAlignment w:val="auto"/>
        <w:rPr>
          <w:color w:val="auto"/>
        </w:rPr>
      </w:pPr>
      <w:r>
        <w:rPr>
          <w:color w:val="auto"/>
        </w:rPr>
        <w:t>根据以上的文献综述，可以发现</w:t>
      </w:r>
      <w:r>
        <w:rPr>
          <w:color w:val="auto"/>
          <w:highlight w:val="yellow"/>
        </w:rPr>
        <w:t>多</w:t>
      </w:r>
      <w:commentRangeStart w:id="13"/>
      <w:r>
        <w:rPr>
          <w:color w:val="auto"/>
          <w:highlight w:val="yellow"/>
        </w:rPr>
        <w:t>孔Cu@Sn复合焊料</w:t>
      </w:r>
      <w:commentRangeEnd w:id="13"/>
      <w:r>
        <w:rPr/>
        <w:commentReference w:id="13"/>
      </w:r>
      <w:r>
        <w:rPr>
          <w:color w:val="auto"/>
          <w:highlight w:val="yellow"/>
        </w:rPr>
        <w:t>在TLP互连焊点中表现出良好的性能。</w:t>
      </w:r>
      <w:r>
        <w:rPr>
          <w:color w:val="auto"/>
        </w:rPr>
        <w:t>本课题将以CuO粉末为坯体主材，NaCl颗粒为造孔剂，</w:t>
      </w:r>
      <w:r>
        <w:rPr>
          <w:rFonts w:hint="eastAsia"/>
          <w:color w:val="auto"/>
        </w:rPr>
        <w:t>金属粉末</w:t>
      </w:r>
      <w:r>
        <w:rPr>
          <w:color w:val="auto"/>
        </w:rPr>
        <w:t>为添加剂，通过高温还原法制备</w:t>
      </w:r>
      <w:r>
        <w:rPr>
          <w:rFonts w:hint="eastAsia"/>
          <w:color w:val="auto"/>
        </w:rPr>
        <w:t>复合</w:t>
      </w:r>
      <w:r>
        <w:rPr>
          <w:color w:val="auto"/>
        </w:rPr>
        <w:t>多孔Cu片，</w:t>
      </w:r>
      <w:r>
        <w:rPr>
          <w:rFonts w:hint="eastAsia"/>
          <w:color w:val="auto"/>
        </w:rPr>
        <w:t>并</w:t>
      </w:r>
      <w:r>
        <w:rPr>
          <w:color w:val="auto"/>
        </w:rPr>
        <w:t>与Sn结合制备出</w:t>
      </w:r>
      <w:r>
        <w:rPr>
          <w:rFonts w:hint="eastAsia"/>
          <w:color w:val="auto"/>
        </w:rPr>
        <w:t>复合</w:t>
      </w:r>
      <w:r>
        <w:rPr>
          <w:color w:val="auto"/>
        </w:rPr>
        <w:t>多孔Cu@Sn焊料片（后续称为M-Cu@Sn）</w:t>
      </w:r>
      <w:r>
        <w:rPr>
          <w:rFonts w:hint="eastAsia"/>
          <w:color w:val="auto"/>
          <w:lang w:eastAsia="zh-CN"/>
        </w:rPr>
        <w:t>。</w:t>
      </w:r>
      <w:r>
        <w:rPr>
          <w:rFonts w:hint="eastAsia"/>
          <w:color w:val="auto"/>
          <w:lang w:val="en-US" w:eastAsia="zh-CN"/>
        </w:rPr>
        <w:t>接着</w:t>
      </w:r>
      <w:r>
        <w:rPr>
          <w:color w:val="auto"/>
        </w:rPr>
        <w:t>与两侧铜基板进行焊接，对焊点进行力学、电学、热学、内部结构、界面组织、高温剪切性能等一系列性能进行研究；并</w:t>
      </w:r>
      <w:r>
        <w:rPr>
          <w:rFonts w:hint="eastAsia"/>
          <w:color w:val="auto"/>
        </w:rPr>
        <w:t>采用</w:t>
      </w:r>
      <w:r>
        <w:rPr>
          <w:color w:val="auto"/>
        </w:rPr>
        <w:t>M-Cu@Sn</w:t>
      </w:r>
      <w:r>
        <w:rPr>
          <w:rFonts w:hint="eastAsia"/>
          <w:color w:val="auto"/>
        </w:rPr>
        <w:t>作为中间层对典型SiC二极管器件进行封装，对器件</w:t>
      </w:r>
      <w:r>
        <w:rPr>
          <w:color w:val="auto"/>
        </w:rPr>
        <w:t>开展高温老化、热循环、冷热冲击等一系列可靠性试验，从而证明</w:t>
      </w:r>
      <w:r>
        <w:rPr>
          <w:rFonts w:hint="eastAsia"/>
          <w:color w:val="auto"/>
        </w:rPr>
        <w:t>复合</w:t>
      </w:r>
      <w:r>
        <w:rPr>
          <w:color w:val="auto"/>
        </w:rPr>
        <w:t>多孔Cu在TLP互连领域的优越性。</w:t>
      </w:r>
    </w:p>
    <w:p w14:paraId="216FA3DB">
      <w:pPr>
        <w:pStyle w:val="style0"/>
        <w:jc w:val="both"/>
        <w:rPr>
          <w:color w:val="auto"/>
        </w:rPr>
      </w:pPr>
    </w:p>
    <w:p w14:paraId="59ABA38F">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3  主要研究内容及研究方案</w:t>
      </w:r>
    </w:p>
    <w:p w14:paraId="6490D4C1">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3.1  研究内容</w:t>
      </w:r>
    </w:p>
    <w:commentRangeStart w:id="14"/>
    <w:p w14:paraId="3306D686">
      <w:pPr>
        <w:pStyle w:val="style0"/>
        <w:widowControl/>
        <w:spacing w:before="0" w:after="0" w:lineRule="auto" w:line="300"/>
        <w:ind w:firstLine="420"/>
        <w:jc w:val="both"/>
        <w:rPr>
          <w:color w:val="auto"/>
        </w:rPr>
      </w:pPr>
      <w:r>
        <w:rPr>
          <w:rFonts w:ascii="Times New Roman" w:cs="Times New Roman" w:eastAsia="宋体" w:hAnsi="Times New Roman"/>
          <w:b w:val="false"/>
          <w:i w:val="false"/>
          <w:color w:val="auto"/>
          <w:sz w:val="24"/>
        </w:rPr>
        <w:t>毕业设计按照任务书确定的八项任务推进。开题阶段重点完成文献调研、实验变量梳理和评价方法设计；后续</w:t>
      </w:r>
      <w:r>
        <w:rPr>
          <w:rFonts w:cs="Times New Roman" w:hint="eastAsia"/>
          <w:b w:val="false"/>
          <w:i w:val="false"/>
          <w:color w:val="auto"/>
          <w:sz w:val="24"/>
          <w:lang w:val="en-US" w:eastAsia="zh-CN"/>
        </w:rPr>
        <w:t>将通过实验采集</w:t>
      </w:r>
      <w:r>
        <w:rPr>
          <w:rFonts w:ascii="Times New Roman" w:cs="Times New Roman" w:eastAsia="宋体" w:hAnsi="Times New Roman"/>
          <w:b w:val="false"/>
          <w:i w:val="false"/>
          <w:color w:val="auto"/>
          <w:sz w:val="24"/>
        </w:rPr>
        <w:t>孔隙率、剪切强度、IMC生长参数、寿命或功率循环结果的数值。按照“材料制备—连接反应—组织性能—长期可靠性—器件验证—数据归纳”的顺序逐步</w:t>
      </w:r>
      <w:r>
        <w:rPr>
          <w:rFonts w:cs="Times New Roman" w:hint="eastAsia"/>
          <w:b w:val="false"/>
          <w:i w:val="false"/>
          <w:color w:val="auto"/>
          <w:sz w:val="24"/>
          <w:lang w:val="en-US" w:eastAsia="zh-CN"/>
        </w:rPr>
        <w:t>递进并总结</w:t>
      </w:r>
      <w:r>
        <w:rPr>
          <w:rFonts w:ascii="Times New Roman" w:cs="Times New Roman" w:eastAsia="宋体" w:hAnsi="Times New Roman"/>
          <w:b w:val="false"/>
          <w:i w:val="false"/>
          <w:color w:val="auto"/>
          <w:sz w:val="24"/>
        </w:rPr>
        <w:t>。</w:t>
      </w:r>
    </w:p>
    <w:p w14:paraId="623A7C31">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3.1.1  文献综述与SAPC体系研究现状调研</w:t>
      </w:r>
      <w:commentRangeEnd w:id="14"/>
      <w:r>
        <w:rPr/>
        <w:commentReference w:id="14"/>
      </w:r>
    </w:p>
    <w:p w14:paraId="1C7D35B1">
      <w:pPr>
        <w:pStyle w:val="style0"/>
        <w:widowControl/>
        <w:spacing w:before="0" w:after="0" w:lineRule="auto" w:line="300"/>
        <w:ind w:firstLine="420"/>
        <w:jc w:val="both"/>
        <w:rPr>
          <w:rFonts w:ascii="Times New Roman" w:cs="Times New Roman" w:eastAsia="宋体" w:hAnsi="Times New Roman"/>
          <w:b w:val="false"/>
          <w:i w:val="false"/>
          <w:color w:val="auto"/>
          <w:sz w:val="24"/>
        </w:rPr>
      </w:pPr>
      <w:r>
        <w:rPr>
          <w:rFonts w:ascii="Times New Roman" w:cs="Times New Roman" w:eastAsia="宋体" w:hAnsi="Times New Roman" w:hint="eastAsia"/>
          <w:b w:val="false"/>
          <w:i w:val="false"/>
          <w:color w:val="auto"/>
          <w:sz w:val="24"/>
        </w:rPr>
        <w:t>本部分旨在明确多孔Cu制备、SAPC体系连接以及瞬态液相连接技术的发展现状，分析当前研究中存在的主要问题，为后续实验方案的制定提供理论依据。</w:t>
      </w:r>
    </w:p>
    <w:p w14:paraId="655514AC">
      <w:pPr>
        <w:pStyle w:val="style0"/>
        <w:widowControl/>
        <w:spacing w:before="0" w:after="0" w:lineRule="auto" w:line="300"/>
        <w:ind w:firstLine="420"/>
        <w:jc w:val="both"/>
        <w:rPr>
          <w:color w:val="auto"/>
        </w:rPr>
      </w:pPr>
      <w:r>
        <w:rPr>
          <w:rFonts w:ascii="Times New Roman" w:cs="Times New Roman" w:eastAsia="宋体" w:hAnsi="Times New Roman"/>
          <w:b w:val="false"/>
          <w:i w:val="false"/>
          <w:color w:val="auto"/>
          <w:sz w:val="24"/>
        </w:rPr>
        <w:t>检索SiC高温封装、Cu-Sn TLP/TLPS、多孔Cu制备、焊料浸渗、Ag</w:t>
      </w:r>
      <w:r>
        <w:rPr>
          <w:rFonts w:ascii="Times New Roman" w:cs="Times New Roman" w:eastAsia="宋体" w:hAnsi="Times New Roman"/>
          <w:b w:val="false"/>
          <w:i w:val="false"/>
          <w:color w:val="auto"/>
          <w:sz w:val="24"/>
          <w:vertAlign w:val="subscript"/>
        </w:rPr>
        <w:t>3</w:t>
      </w:r>
      <w:r>
        <w:rPr>
          <w:rFonts w:ascii="Times New Roman" w:cs="Times New Roman" w:eastAsia="宋体" w:hAnsi="Times New Roman"/>
          <w:b w:val="false"/>
          <w:i w:val="false"/>
          <w:color w:val="auto"/>
          <w:sz w:val="24"/>
          <w:vertAlign w:val="baseline"/>
        </w:rPr>
        <w:t>Sn</w:t>
      </w:r>
      <w:r>
        <w:rPr>
          <w:rFonts w:ascii="Times New Roman" w:cs="Times New Roman" w:eastAsia="宋体" w:hAnsi="Times New Roman"/>
          <w:b w:val="false"/>
          <w:i w:val="false"/>
          <w:color w:val="auto"/>
          <w:sz w:val="24"/>
        </w:rPr>
        <w:t>、高温时效、功率循环和热阻提取等方向的国内外文献。对文献</w:t>
      </w:r>
      <w:r>
        <w:rPr>
          <w:rFonts w:cs="Times New Roman" w:hint="eastAsia"/>
          <w:b w:val="false"/>
          <w:i w:val="false"/>
          <w:color w:val="auto"/>
          <w:sz w:val="24"/>
          <w:lang w:val="en-US" w:eastAsia="zh-CN"/>
        </w:rPr>
        <w:t>的</w:t>
      </w:r>
      <w:r>
        <w:rPr>
          <w:rFonts w:ascii="Times New Roman" w:cs="Times New Roman" w:eastAsia="宋体" w:hAnsi="Times New Roman"/>
          <w:b w:val="false"/>
          <w:i w:val="false"/>
          <w:color w:val="auto"/>
          <w:sz w:val="24"/>
        </w:rPr>
        <w:t>结论</w:t>
      </w:r>
      <w:r>
        <w:rPr>
          <w:rFonts w:cs="Times New Roman" w:hint="eastAsia"/>
          <w:b w:val="false"/>
          <w:i w:val="false"/>
          <w:color w:val="auto"/>
          <w:sz w:val="24"/>
          <w:lang w:eastAsia="zh-CN"/>
        </w:rPr>
        <w:t>、</w:t>
      </w:r>
      <w:r>
        <w:rPr>
          <w:rFonts w:ascii="Times New Roman" w:cs="Times New Roman" w:eastAsia="宋体" w:hAnsi="Times New Roman"/>
          <w:b w:val="false"/>
          <w:i w:val="false"/>
          <w:color w:val="auto"/>
          <w:sz w:val="24"/>
        </w:rPr>
        <w:t>材料构型、连接温度/时间/压力、孔结构、主要IMC、测试方法与失效模式</w:t>
      </w:r>
      <w:r>
        <w:rPr>
          <w:rFonts w:cs="Times New Roman" w:hint="eastAsia"/>
          <w:b w:val="false"/>
          <w:i w:val="false"/>
          <w:color w:val="auto"/>
          <w:sz w:val="24"/>
          <w:lang w:val="en-US" w:eastAsia="zh-CN"/>
        </w:rPr>
        <w:t>进行全面行进的整理并思考解决需要优化的问题</w:t>
      </w:r>
      <w:r>
        <w:rPr>
          <w:rFonts w:ascii="Times New Roman" w:cs="Times New Roman" w:eastAsia="宋体" w:hAnsi="Times New Roman"/>
          <w:b w:val="false"/>
          <w:i w:val="false"/>
          <w:color w:val="auto"/>
          <w:sz w:val="24"/>
        </w:rPr>
        <w:t>。</w:t>
      </w:r>
    </w:p>
    <w:p w14:paraId="6079603A">
      <w:pPr>
        <w:pStyle w:val="style0"/>
        <w:widowControl/>
        <w:spacing w:before="0" w:after="0" w:lineRule="auto" w:line="300"/>
        <w:ind w:firstLine="420"/>
        <w:jc w:val="both"/>
        <w:rPr>
          <w:color w:val="auto"/>
        </w:rPr>
      </w:pPr>
      <w:r>
        <w:rPr>
          <w:rFonts w:ascii="Times New Roman" w:cs="Times New Roman" w:eastAsia="宋体" w:hAnsi="Times New Roman"/>
          <w:b w:val="false"/>
          <w:i w:val="false"/>
          <w:color w:val="auto"/>
          <w:sz w:val="24"/>
        </w:rPr>
        <w:t>文献调研的</w:t>
      </w:r>
      <w:r>
        <w:rPr>
          <w:rFonts w:cs="Times New Roman" w:hint="eastAsia"/>
          <w:b w:val="false"/>
          <w:i w:val="false"/>
          <w:color w:val="auto"/>
          <w:sz w:val="24"/>
          <w:lang w:val="en-US" w:eastAsia="zh-CN"/>
        </w:rPr>
        <w:t>输出</w:t>
      </w:r>
      <w:r>
        <w:rPr>
          <w:rFonts w:ascii="Times New Roman" w:cs="Times New Roman" w:eastAsia="宋体" w:hAnsi="Times New Roman"/>
          <w:b w:val="false"/>
          <w:i w:val="false"/>
          <w:color w:val="auto"/>
          <w:sz w:val="24"/>
        </w:rPr>
        <w:t>包括：一份按技术路线分类的文献表；一套SAPC关键变量清单；一套后续实验所需的最小表征项目。重点回答三个问题：多孔Cu应该怎样描述才足以反映其可浸渗性；Cu-Sn/Ag-Sn反应需要记录哪些组织量；器件功率循环中哪些参数能够与互连层退化建立对应。</w:t>
      </w:r>
    </w:p>
    <w:p w14:paraId="401B1729">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3.1.2  多孔Cu制备工艺参数优化实验</w:t>
      </w:r>
    </w:p>
    <w:p w14:paraId="759D7CEC">
      <w:pPr>
        <w:pStyle w:val="style0"/>
        <w:widowControl/>
        <w:spacing w:before="0" w:after="0" w:lineRule="auto" w:line="300"/>
        <w:ind w:firstLine="420"/>
        <w:jc w:val="both"/>
        <w:rPr>
          <w:rFonts w:hint="eastAsia"/>
          <w:color w:val="auto"/>
        </w:rPr>
      </w:pPr>
      <w:r>
        <w:rPr>
          <w:rFonts w:hint="eastAsia"/>
          <w:color w:val="auto"/>
        </w:rPr>
        <w:t>多孔Cu的结构状态会直接影响后续液相渗透、界面反应和接头强度，因此需要先建立稳定、可重复的制备工艺。实验中将根据所选制备方法，逐步调整原料粒径、造孔剂含量、成形压力、烧结温度、保温时间和烧结气氛等参数，制备不同孔隙结构的多孔Cu样品。通过密度、孔隙率、显微组织、尺寸稳定性、导电性能和压缩性能等测试，对各组样品进行比较，筛选出适合SAPC连接的工艺参数范围。</w:t>
      </w:r>
    </w:p>
    <w:p w14:paraId="28D9FE71">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3.1.3  微观组织表征与IMC生长动力学分析</w:t>
      </w:r>
    </w:p>
    <w:p w14:paraId="1AEC4A10">
      <w:pPr>
        <w:pStyle w:val="style0"/>
        <w:keepNext w:val="false"/>
        <w:keepLines w:val="false"/>
        <w:pageBreakBefore w:val="false"/>
        <w:widowControl/>
        <w:kinsoku/>
        <w:wordWrap/>
        <w:overflowPunct/>
        <w:topLinePunct w:val="false"/>
        <w:autoSpaceDE/>
        <w:autoSpaceDN/>
        <w:bidi w:val="false"/>
        <w:adjustRightInd/>
        <w:snapToGrid/>
        <w:spacing w:before="0" w:after="0" w:lineRule="auto" w:line="300"/>
        <w:ind w:firstLine="420"/>
        <w:jc w:val="both"/>
        <w:textAlignment w:val="auto"/>
        <w:rPr>
          <w:rFonts w:cs="Times New Roman" w:hint="eastAsia"/>
          <w:b w:val="false"/>
          <w:i w:val="false"/>
          <w:color w:val="auto"/>
          <w:sz w:val="24"/>
          <w:lang w:val="en-US" w:eastAsia="zh-CN"/>
        </w:rPr>
      </w:pPr>
      <w:r>
        <w:rPr>
          <w:rFonts w:ascii="Times New Roman" w:cs="Times New Roman" w:eastAsia="宋体" w:hAnsi="Times New Roman" w:hint="eastAsia"/>
          <w:b w:val="false"/>
          <w:i w:val="false"/>
          <w:color w:val="auto"/>
          <w:sz w:val="24"/>
        </w:rPr>
        <w:t>围绕SAPC接头在连接过程中的组织演化规律，制备不同连接温度和保温时间下的接头样品，并进行截面分析。采用X射线衍射确定反应产物，</w:t>
      </w:r>
      <w:r>
        <w:rPr>
          <w:rFonts w:ascii="Times New Roman" w:cs="Times New Roman" w:eastAsia="宋体" w:hAnsi="Times New Roman"/>
          <w:b w:val="false"/>
          <w:i w:val="false"/>
          <w:color w:val="auto"/>
          <w:sz w:val="24"/>
        </w:rPr>
        <w:t>利用SEM观察Cu骨架、焊料填充、IMC和孔洞形貌；用EDS确认局部Cu、Sn、Ag分布；用XRD辅助识别主要物相</w:t>
      </w:r>
      <w:r>
        <w:rPr>
          <w:rFonts w:cs="Times New Roman" w:hint="eastAsia"/>
          <w:b w:val="false"/>
          <w:i w:val="false"/>
          <w:color w:val="auto"/>
          <w:sz w:val="24"/>
          <w:lang w:eastAsia="zh-CN"/>
        </w:rPr>
        <w:t>，</w:t>
      </w:r>
      <w:r>
        <w:rPr>
          <w:rFonts w:ascii="Times New Roman" w:cs="Times New Roman" w:eastAsia="宋体" w:hAnsi="Times New Roman" w:hint="eastAsia"/>
          <w:b w:val="false"/>
          <w:i w:val="false"/>
          <w:color w:val="auto"/>
          <w:sz w:val="24"/>
        </w:rPr>
        <w:t>结合电子背散射衍射</w:t>
      </w:r>
      <w:r>
        <w:rPr>
          <w:rFonts w:cs="Times New Roman" w:hint="eastAsia"/>
          <w:b w:val="false"/>
          <w:i w:val="false"/>
          <w:color w:val="auto"/>
          <w:sz w:val="24"/>
          <w:lang w:eastAsia="zh-CN"/>
        </w:rPr>
        <w:t>（</w:t>
      </w:r>
      <w:r>
        <w:rPr>
          <w:rFonts w:cs="Times New Roman" w:hint="eastAsia"/>
          <w:b w:val="false"/>
          <w:i w:val="false"/>
          <w:color w:val="auto"/>
          <w:sz w:val="24"/>
          <w:lang w:val="en-US" w:eastAsia="zh-CN"/>
        </w:rPr>
        <w:t>EBSD）</w:t>
      </w:r>
      <w:r>
        <w:rPr>
          <w:rFonts w:ascii="Times New Roman" w:cs="Times New Roman" w:eastAsia="宋体" w:hAnsi="Times New Roman" w:hint="eastAsia"/>
          <w:b w:val="false"/>
          <w:i w:val="false"/>
          <w:color w:val="auto"/>
          <w:sz w:val="24"/>
        </w:rPr>
        <w:t>分析晶粒和晶体结构变化。通过对比不同反应条件下IMC层厚度和形貌的变化，研究多孔Cu结构对界面反应的影响，并根据IMC厚度与反应时间之间的关系分析其生长动力学。</w:t>
      </w:r>
    </w:p>
    <w:p w14:paraId="74019042">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3.1.4  剪切强度测试与断口失效模式分析</w:t>
      </w:r>
    </w:p>
    <w:p w14:paraId="3600B123">
      <w:pPr>
        <w:pStyle w:val="style0"/>
        <w:widowControl/>
        <w:spacing w:before="0" w:after="0" w:lineRule="auto" w:line="300"/>
        <w:ind w:firstLine="420"/>
        <w:jc w:val="both"/>
        <w:rPr>
          <w:rFonts w:ascii="Times New Roman" w:cs="Times New Roman" w:eastAsia="宋体" w:hAnsi="Times New Roman"/>
          <w:b w:val="false"/>
          <w:i w:val="false"/>
          <w:color w:val="auto"/>
          <w:sz w:val="24"/>
        </w:rPr>
      </w:pPr>
      <w:r>
        <w:rPr>
          <w:rFonts w:ascii="Times New Roman" w:cs="Times New Roman" w:eastAsia="宋体" w:hAnsi="Times New Roman"/>
          <w:b w:val="false"/>
          <w:i w:val="false"/>
          <w:color w:val="auto"/>
          <w:sz w:val="24"/>
        </w:rPr>
        <w:t>在完成</w:t>
      </w:r>
      <w:r>
        <w:rPr>
          <w:rFonts w:ascii="Times New Roman" w:cs="Times New Roman" w:eastAsia="宋体" w:hAnsi="Times New Roman"/>
          <w:b w:val="false"/>
          <w:i w:val="false"/>
          <w:color w:val="auto"/>
          <w:sz w:val="24"/>
          <w:lang w:val="en-US" w:eastAsia="zh-CN"/>
        </w:rPr>
        <w:t>SAPC</w:t>
      </w:r>
      <w:r>
        <w:rPr>
          <w:rFonts w:ascii="Times New Roman" w:cs="Times New Roman" w:eastAsia="宋体" w:hAnsi="Times New Roman"/>
          <w:b w:val="false"/>
          <w:i w:val="false"/>
          <w:color w:val="auto"/>
          <w:sz w:val="24"/>
        </w:rPr>
        <w:t>接头制备后，通过剪切实验评价其连接强度和承载能力。实验中将比较不同孔隙率、孔径以及连接温度和保温时间对剪切强度的影响，分析多孔Cu骨架和IMC组织在接头受力过程中的作用。剪切测试完成后，对断口进行宏观和微观观察，判断裂纹主要发生在界面、IMC层、多孔Cu骨架还是焊缝内部，并据此归纳不同工艺条件下的主要失效模式。</w:t>
      </w:r>
    </w:p>
    <w:p w14:paraId="270F436A">
      <w:pPr>
        <w:pStyle w:val="style0"/>
        <w:widowControl/>
        <w:spacing w:before="0" w:after="0" w:lineRule="auto" w:line="300"/>
        <w:ind w:firstLine="420"/>
        <w:jc w:val="both"/>
        <w:rPr>
          <w:color w:val="auto"/>
        </w:rPr>
      </w:pPr>
      <w:r>
        <w:rPr>
          <w:rFonts w:ascii="Times New Roman" w:cs="Times New Roman" w:eastAsia="宋体" w:hAnsi="Times New Roman"/>
          <w:b w:val="false"/>
          <w:i w:val="false"/>
          <w:color w:val="auto"/>
          <w:sz w:val="24"/>
        </w:rPr>
        <w:t>断口采用低倍全貌和高倍局部相结合的方式观察，必要时用EDS确认断裂经过的相区。拟将断裂位置分为基板/界面附近、富Sn区、Cu骨架区、Cu-Sn IMC区及混合路径等类型，并与剪切强度和回流/时效程度对应。</w:t>
      </w:r>
    </w:p>
    <w:p w14:paraId="02B7E38A">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3.1.5  高温时效可靠性实验与寿命预测</w:t>
      </w:r>
    </w:p>
    <w:p w14:paraId="30D62185">
      <w:pPr>
        <w:pStyle w:val="style0"/>
        <w:widowControl/>
        <w:spacing w:before="0" w:after="0" w:lineRule="auto" w:line="300"/>
        <w:ind w:firstLine="420"/>
        <w:jc w:val="both"/>
        <w:rPr>
          <w:rFonts w:ascii="Times New Roman" w:cs="Times New Roman" w:eastAsia="宋体" w:hAnsi="Times New Roman" w:hint="eastAsia"/>
          <w:b w:val="false"/>
          <w:i w:val="false"/>
          <w:color w:val="auto"/>
          <w:sz w:val="24"/>
          <w:lang w:val="en-US" w:eastAsia="zh-CN"/>
        </w:rPr>
      </w:pPr>
      <w:r>
        <w:rPr>
          <w:rFonts w:ascii="Times New Roman" w:cs="Times New Roman" w:eastAsia="宋体" w:hAnsi="Times New Roman" w:hint="eastAsia"/>
          <w:b w:val="false"/>
          <w:i w:val="false"/>
          <w:color w:val="auto"/>
          <w:sz w:val="24"/>
          <w:lang w:val="en-US" w:eastAsia="zh-CN"/>
        </w:rPr>
        <w:t>为了考察SAPC接头在长期高温环境中的稳定性，将对接头进行不同时间的高温时效处理，并在时效过程中分阶段取样。通过测试剪切强度、电阻、IMC厚度和界面组织变化，分析高温条件下元素扩散、IMC长大、孔洞形成和裂纹扩展等现象</w:t>
      </w:r>
      <w:r>
        <w:rPr>
          <w:vertAlign w:val="superscript"/>
        </w:rPr>
        <w:t>[22]</w:t>
      </w:r>
      <w:r>
        <w:rPr>
          <w:rFonts w:ascii="Times New Roman" w:cs="Times New Roman" w:eastAsia="宋体" w:hAnsi="Times New Roman" w:hint="eastAsia"/>
          <w:b w:val="false"/>
          <w:i w:val="false"/>
          <w:color w:val="auto"/>
          <w:sz w:val="24"/>
          <w:lang w:val="en-US" w:eastAsia="zh-CN"/>
        </w:rPr>
        <w:t>。结合接头性能随时效时间的变化趋势，判断其主要退化机制，并利用温度与性能衰减之间的关系对接头寿命进行初步预测。</w:t>
      </w:r>
    </w:p>
    <w:p w14:paraId="73EF8D1E">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3.1.6  SiC器件封装工艺调试与电学性能测试</w:t>
      </w:r>
    </w:p>
    <w:p w14:paraId="251C88C1">
      <w:pPr>
        <w:pStyle w:val="style0"/>
        <w:widowControl/>
        <w:spacing w:before="0" w:after="0" w:lineRule="auto" w:line="300"/>
        <w:ind w:firstLine="420"/>
        <w:jc w:val="both"/>
        <w:rPr>
          <w:rFonts w:ascii="Times New Roman" w:cs="Times New Roman" w:eastAsia="宋体" w:hAnsi="Times New Roman" w:hint="eastAsia"/>
          <w:b w:val="false"/>
          <w:i w:val="false"/>
          <w:color w:val="auto"/>
          <w:sz w:val="24"/>
          <w:lang w:val="en-US" w:eastAsia="zh-CN"/>
        </w:rPr>
      </w:pPr>
      <w:r>
        <w:rPr>
          <w:rFonts w:ascii="Times New Roman" w:cs="Times New Roman" w:eastAsia="宋体" w:hAnsi="Times New Roman" w:hint="eastAsia"/>
          <w:b w:val="false"/>
          <w:i w:val="false"/>
          <w:color w:val="auto"/>
          <w:sz w:val="24"/>
          <w:lang w:val="en-US" w:eastAsia="zh-CN"/>
        </w:rPr>
        <w:t>在材料和连接工艺初步优化的基础上，将SAPC体系应用于SiC器件封装。实验中对芯片和基板进行表面处理，完成多孔Cu中间层的装配，并调节连接温度、保温时间、压力、升温速率和保护气氛等工艺条件。封装完成后，通过外观检查、截面组织观察、导通测试、接触电阻测试和基本电学性能测试，判断封装层是否存在虚焊、开路、短路、孔洞或界面脱层等缺陷，从而进一步调整器件封装工艺。</w:t>
      </w:r>
    </w:p>
    <w:p w14:paraId="16447D44">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3.1.7  功率循环可靠性测试与热阻提取</w:t>
      </w:r>
    </w:p>
    <w:p w14:paraId="6C4CD209">
      <w:pPr>
        <w:pStyle w:val="style0"/>
        <w:widowControl/>
        <w:spacing w:before="0" w:after="0" w:lineRule="auto" w:line="300"/>
        <w:ind w:firstLine="420"/>
        <w:jc w:val="both"/>
        <w:rPr>
          <w:rFonts w:ascii="Times New Roman" w:cs="Times New Roman" w:eastAsia="宋体" w:hAnsi="Times New Roman"/>
          <w:b w:val="false"/>
          <w:i w:val="false"/>
          <w:color w:val="auto"/>
          <w:sz w:val="24"/>
        </w:rPr>
      </w:pPr>
      <w:r>
        <w:rPr>
          <w:rFonts w:ascii="Times New Roman" w:cs="Times New Roman" w:eastAsia="宋体" w:hAnsi="Times New Roman"/>
          <w:b w:val="false"/>
          <w:i w:val="false"/>
          <w:color w:val="auto"/>
          <w:sz w:val="24"/>
        </w:rPr>
        <w:t>为了模拟SiC器件实际工作中的周期性发热和冷却过程，将对完成封装的器件进行功率循环测试。测试过程中持续记录导通电压、漏电流、结温、壳温和热响应等参数，观察器件性能随循环过程的变化。当出现明显的电学参数漂移、温升异常、热阻增加或功能失效时，对器件进行失效分析。结合测试前后的截面组织，研究功率循环过程中裂纹、孔洞和界面脱层的形成情况，并通过热瞬态测试提取封装结构的热阻和热阻抗参数</w:t>
      </w:r>
      <w:r>
        <w:rPr>
          <w:vertAlign w:val="superscript"/>
        </w:rPr>
        <w:t>[36]</w:t>
      </w:r>
      <w:r>
        <w:rPr>
          <w:rFonts w:ascii="Times New Roman" w:cs="Times New Roman" w:eastAsia="宋体" w:hAnsi="Times New Roman"/>
          <w:b w:val="false"/>
          <w:i w:val="false"/>
          <w:color w:val="auto"/>
          <w:sz w:val="24"/>
        </w:rPr>
        <w:t>。</w:t>
      </w:r>
    </w:p>
    <w:p w14:paraId="7B2694D3">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3.2  研究方案</w:t>
      </w:r>
    </w:p>
    <w:p w14:paraId="6EF55CC8">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3.2.1  总体技术路线</w:t>
      </w:r>
    </w:p>
    <w:p w14:paraId="624F6B93">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ascii="Times New Roman" w:eastAsia="宋体" w:hAnsi="Times New Roman"/>
          <w:color w:val="auto"/>
          <w:highlight w:val="yellow"/>
        </w:rPr>
        <w:t>本课题把“配方与成形—孔结构—Sn浸渗—TLP连接—组织演化—器件可靠性”作为一条连续证据链。</w:t>
      </w:r>
      <w:r>
        <w:rPr>
          <w:rFonts w:ascii="Times New Roman" w:eastAsia="宋体" w:hAnsi="Times New Roman"/>
          <w:color w:val="auto"/>
        </w:rPr>
        <w:t>先以造孔剂质量分数、Ag添加量、烧结温度和烧结时间为自变量，建立</w:t>
      </w:r>
      <w:r>
        <w:rPr>
          <w:rFonts w:hint="eastAsia"/>
          <w:color w:val="auto"/>
          <w:lang w:val="en-US" w:eastAsia="zh-CN"/>
        </w:rPr>
        <w:t>其与</w:t>
      </w:r>
      <w:r>
        <w:rPr>
          <w:rFonts w:ascii="Times New Roman" w:eastAsia="宋体" w:hAnsi="Times New Roman"/>
          <w:color w:val="auto"/>
        </w:rPr>
        <w:t>多孔Cu的孔隙率、开孔率、收缩率和电阻率</w:t>
      </w:r>
      <w:r>
        <w:rPr>
          <w:rFonts w:hint="eastAsia"/>
          <w:color w:val="auto"/>
          <w:lang w:val="en-US" w:eastAsia="zh-CN"/>
        </w:rPr>
        <w:t>的对应关系</w:t>
      </w:r>
      <w:r>
        <w:rPr>
          <w:rFonts w:ascii="Times New Roman" w:eastAsia="宋体" w:hAnsi="Times New Roman"/>
          <w:color w:val="auto"/>
        </w:rPr>
        <w:t>；再将筛选出的孔结构作为控制变量，改变浸渗时间、连接温度、连接时间和压力，比较填充率、IMC厚度、孔洞率和剪切强度；最后以连接参数为输入，以时效后的强度保持率、热阻增量和功率循环寿命为输出。</w:t>
      </w:r>
    </w:p>
    <w:p w14:paraId="353AB587">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color w:val="auto"/>
        </w:rPr>
      </w:pPr>
      <w:r>
        <w:rPr>
          <w:rFonts w:ascii="Times New Roman" w:eastAsia="宋体" w:hAnsi="Times New Roman"/>
          <w:color w:val="auto"/>
        </w:rPr>
        <w:t>实验顺序由材料端逐步推进到器件端：第一阶段通过文献数据确定变量范围和量纲；第二阶段完成多孔Cu的配方筛选及孔结构表征；第三阶段以浸渗质量为中间判据确定TLP连接窗口；第四阶段在同一组织评价标准下开展剪切、时效和动力学分析；第五阶段将最佳连接条件迁移到SiC封装，使用电学、热学和功率循环数据验证其服役效果。</w:t>
      </w:r>
    </w:p>
    <w:p w14:paraId="2D6DBB2F">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3.2.2  多孔Cu制备与工艺筛选</w:t>
      </w:r>
    </w:p>
    <w:p w14:paraId="327E4FCD">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eastAsia="宋体" w:hint="default"/>
          <w:color w:val="auto"/>
          <w:lang w:val="en-US" w:eastAsia="zh-CN"/>
        </w:rPr>
      </w:pPr>
      <w:r>
        <w:rPr>
          <w:rFonts w:hint="eastAsia"/>
          <w:color w:val="auto"/>
          <w:lang w:val="en-US" w:eastAsia="zh-CN"/>
        </w:rPr>
        <w:t>制备多孔铜的流程如下：</w:t>
      </w:r>
    </w:p>
    <w:p w14:paraId="166A347C">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hint="eastAsia"/>
          <w:color w:val="auto"/>
          <w:lang w:val="en-US" w:eastAsia="zh-CN"/>
        </w:rPr>
      </w:pPr>
      <w:r>
        <w:rPr>
          <w:rFonts w:ascii="Times New Roman" w:eastAsia="宋体" w:hAnsi="Times New Roman"/>
          <w:color w:val="auto"/>
        </w:rPr>
        <w:t>多孔Cu制备采用CuO/NaCl/Ag复合浆料。以NaCl质量分数和Ag质量分数为主要自变量，CuO与有机载体比例、印刷厚度、升温速率和保温时间作为控制变量；孔隙率、开孔率、平均孔径、</w:t>
      </w:r>
      <w:commentRangeStart w:id="15"/>
      <w:r>
        <w:rPr>
          <w:rFonts w:ascii="Times New Roman" w:eastAsia="宋体" w:hAnsi="Times New Roman"/>
          <w:color w:val="auto"/>
        </w:rPr>
        <w:t>收缩率、抗压完整性和电阻率作为响应变量。</w:t>
      </w:r>
      <w:commentRangeEnd w:id="15"/>
      <w:r>
        <w:rPr/>
        <w:commentReference w:id="15"/>
      </w:r>
      <w:r>
        <w:rPr>
          <w:rFonts w:ascii="Times New Roman" w:eastAsia="宋体" w:hAnsi="Times New Roman"/>
          <w:color w:val="auto"/>
        </w:rPr>
        <w:t>首轮NaCl设10、15、20 wt.%，Ag设0、1、3 wt.%，烧结温度设750</w:t>
      </w:r>
      <w:r>
        <w:rPr>
          <w:rFonts w:ascii="Times New Roman" w:eastAsia="宋体" w:hAnsi="Times New Roman" w:hint="eastAsia"/>
          <w:color w:val="auto"/>
          <w:lang w:eastAsia="zh-CN"/>
        </w:rPr>
        <w:t>、</w:t>
      </w:r>
      <w:r>
        <w:rPr>
          <w:rFonts w:ascii="Times New Roman" w:eastAsia="宋体" w:hAnsi="Times New Roman"/>
          <w:color w:val="auto"/>
        </w:rPr>
        <w:t>800、850 ℃，保温时间固定60 min，氮氢气氛固定为95%N</w:t>
      </w:r>
      <w:r>
        <w:rPr>
          <w:rFonts w:ascii="Times New Roman" w:eastAsia="宋体" w:hAnsi="Times New Roman"/>
          <w:color w:val="auto"/>
          <w:vertAlign w:val="subscript"/>
        </w:rPr>
        <w:t>2</w:t>
      </w:r>
      <w:r>
        <w:rPr>
          <w:rFonts w:ascii="Times New Roman" w:eastAsia="宋体" w:hAnsi="Times New Roman"/>
          <w:color w:val="auto"/>
        </w:rPr>
        <w:t>+5%H</w:t>
      </w:r>
      <w:r>
        <w:rPr>
          <w:rFonts w:ascii="Times New Roman" w:eastAsia="宋体" w:hAnsi="Times New Roman"/>
          <w:color w:val="auto"/>
          <w:vertAlign w:val="subscript"/>
        </w:rPr>
        <w:t>2</w:t>
      </w:r>
      <w:r>
        <w:rPr>
          <w:rFonts w:ascii="Times New Roman" w:eastAsia="宋体" w:hAnsi="Times New Roman"/>
          <w:color w:val="auto"/>
        </w:rPr>
        <w:t>。每个条件制备5片，</w:t>
      </w:r>
      <w:r>
        <w:rPr>
          <w:rFonts w:ascii="Times New Roman" w:eastAsia="宋体" w:hAnsi="Times New Roman"/>
          <w:color w:val="auto"/>
          <w:highlight w:val="yellow"/>
        </w:rPr>
        <w:t>先以外观、质量损失和尺寸收缩率排除贯穿裂纹条件</w:t>
      </w:r>
      <w:r>
        <w:rPr>
          <w:rFonts w:ascii="Times New Roman" w:eastAsia="宋体" w:hAnsi="Times New Roman"/>
          <w:color w:val="auto"/>
        </w:rPr>
        <w:t>，再进入显微统计。</w:t>
      </w:r>
      <w:r>
        <w:rPr>
          <w:rFonts w:ascii="Times New Roman" w:eastAsia="宋体" w:hAnsi="Times New Roman" w:hint="eastAsia"/>
          <w:color w:val="auto"/>
        </w:rPr>
        <w:t>浆料经750 rpm混合5 min后丝网印刷，采用5 mm×5 mm×0.20 mm钢网控制成形厚度；烧结后用去离子水和无水乙醇超声去除NaCl，必要时用5%甲酸短时清洗氧化物</w:t>
      </w:r>
      <w:r>
        <w:rPr>
          <w:rFonts w:hint="eastAsia"/>
          <w:color w:val="auto"/>
          <w:lang w:eastAsia="zh-CN"/>
        </w:rPr>
        <w:t>。</w:t>
      </w:r>
    </w:p>
    <w:p w14:paraId="46161098">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hint="eastAsia"/>
          <w:color w:val="auto"/>
          <w:lang w:val="en-US" w:eastAsia="zh-CN"/>
        </w:rPr>
      </w:pPr>
      <w:r>
        <w:rPr>
          <w:rFonts w:hint="eastAsia"/>
          <w:color w:val="auto"/>
          <w:lang w:val="en-US" w:eastAsia="zh-CN"/>
        </w:rPr>
        <w:t>工艺筛选的流程如下：</w:t>
      </w:r>
    </w:p>
    <w:p w14:paraId="1D8BE3D4">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rFonts w:ascii="Times New Roman" w:cs="宋体" w:eastAsia="宋体" w:hAnsi="Times New Roman" w:hint="eastAsia"/>
          <w:color w:val="auto"/>
          <w:kern w:val="0"/>
          <w:sz w:val="24"/>
          <w:szCs w:val="22"/>
          <w:lang w:val="en-US" w:bidi="ar-SA" w:eastAsia="zh-CN"/>
        </w:rPr>
      </w:pPr>
      <w:r>
        <w:rPr>
          <w:rFonts w:ascii="Times New Roman" w:cs="宋体" w:eastAsia="宋体" w:hAnsi="Times New Roman"/>
          <w:color w:val="auto"/>
          <w:kern w:val="0"/>
          <w:sz w:val="24"/>
          <w:szCs w:val="22"/>
          <w:lang w:val="en-US" w:bidi="ar-SA" w:eastAsia="en-US"/>
        </w:rPr>
        <w:t>（1）采用X射线衍射（XRD）分析样品的物相组成。分别对实验所用CuO粉末、NaCl颗粒、CuO-NaCl混合预成型片、还原后的多孔Cu-NaCl混合片，以及经清洗后得到的多孔Cu片进行测试。通过对比各阶段的XRD图谱，分析还原与清洗过程中物相组成的变化</w:t>
      </w:r>
      <w:r>
        <w:rPr>
          <w:rFonts w:cs="宋体" w:hint="eastAsia"/>
          <w:color w:val="auto"/>
          <w:kern w:val="0"/>
          <w:sz w:val="24"/>
          <w:szCs w:val="22"/>
          <w:lang w:val="en-US" w:bidi="ar-SA" w:eastAsia="zh-CN"/>
        </w:rPr>
        <w:t>；</w:t>
      </w:r>
    </w:p>
    <w:p w14:paraId="00B5025B">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jc w:val="both"/>
        <w:textAlignment w:val="auto"/>
        <w:rPr>
          <w:rFonts w:ascii="Times New Roman" w:cs="宋体" w:eastAsia="宋体" w:hAnsi="Times New Roman" w:hint="eastAsia"/>
          <w:color w:val="auto"/>
          <w:kern w:val="0"/>
          <w:sz w:val="24"/>
          <w:szCs w:val="22"/>
          <w:lang w:val="en-US" w:bidi="ar-SA" w:eastAsia="zh-CN"/>
        </w:rPr>
      </w:pPr>
      <w:r>
        <w:rPr>
          <w:rFonts w:ascii="Times New Roman" w:cs="宋体" w:eastAsia="宋体" w:hAnsi="Times New Roman"/>
          <w:color w:val="auto"/>
          <w:kern w:val="0"/>
          <w:sz w:val="24"/>
          <w:szCs w:val="22"/>
          <w:lang w:val="en-US" w:bidi="ar-SA" w:eastAsia="en-US"/>
        </w:rPr>
        <w:t>（2）采用扫描电子显微镜（SEM）观察复合多孔Cu的表面形貌和孔结构，分别获取300 ×和3000 ×放大倍数下的显微图像。利用ImageJ软件分析不同物料比例和烧结工艺下的孔径大小、孔隙率及开孔比例。同时，采用EBSD测量多孔Cu片的晶粒取向和晶粒尺寸，统计并绘制晶粒尺寸分布图</w:t>
      </w:r>
      <w:r>
        <w:rPr>
          <w:rFonts w:cs="宋体" w:hint="eastAsia"/>
          <w:color w:val="auto"/>
          <w:kern w:val="0"/>
          <w:sz w:val="24"/>
          <w:szCs w:val="22"/>
          <w:lang w:val="en-US" w:bidi="ar-SA" w:eastAsia="zh-CN"/>
        </w:rPr>
        <w:t>；</w:t>
      </w:r>
    </w:p>
    <w:p w14:paraId="1EBE644D">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jc w:val="both"/>
        <w:textAlignment w:val="auto"/>
        <w:rPr>
          <w:rFonts w:eastAsia="宋体" w:hint="eastAsia"/>
          <w:color w:val="auto"/>
          <w:lang w:val="en-US" w:eastAsia="zh-CN"/>
        </w:rPr>
      </w:pPr>
      <w:r>
        <w:rPr>
          <w:rFonts w:ascii="Times New Roman" w:cs="宋体" w:eastAsia="宋体" w:hAnsi="Times New Roman"/>
          <w:color w:val="auto"/>
          <w:kern w:val="0"/>
          <w:sz w:val="24"/>
          <w:szCs w:val="22"/>
          <w:lang w:val="en-US" w:bidi="ar-SA" w:eastAsia="en-US"/>
        </w:rPr>
        <w:t>（3）采用三维X射线成像（3D X-Ray）重构多孔Cu内部孔结构，观察其整体三维形貌及横、纵截面。结合压汞试验测定孔隙率、孔径分布和开孔比例，分析NaCl添加比例与颗粒粒径对孔结构的影响，并验证该方法制备的多孔Cu是否具有双峰孔径分布</w:t>
      </w:r>
      <w:r>
        <w:rPr>
          <w:rFonts w:cs="宋体" w:hint="eastAsia"/>
          <w:color w:val="auto"/>
          <w:kern w:val="0"/>
          <w:sz w:val="24"/>
          <w:szCs w:val="22"/>
          <w:lang w:val="en-US" w:bidi="ar-SA" w:eastAsia="zh-CN"/>
        </w:rPr>
        <w:t>；</w:t>
      </w:r>
    </w:p>
    <w:p w14:paraId="3D9C599C">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ascii="Times New Roman" w:eastAsia="宋体" w:hAnsi="Times New Roman"/>
          <w:color w:val="auto"/>
        </w:rPr>
        <w:t>筛选采用两道判据：第一道要求孔隙率55%~80%、开孔率不低于70%、收缩率不超过15%且无贯穿裂纹；第二道要求三个截面的孔隙率变异系数不超过10%，并且四探针电阻率和3D孔道结果与二维图像相符。达到两道判据的条件</w:t>
      </w:r>
      <w:r>
        <w:rPr>
          <w:rFonts w:hint="eastAsia"/>
          <w:color w:val="auto"/>
          <w:lang w:val="en-US" w:eastAsia="zh-CN"/>
        </w:rPr>
        <w:t>后</w:t>
      </w:r>
      <w:r>
        <w:rPr>
          <w:rFonts w:ascii="Times New Roman" w:eastAsia="宋体" w:hAnsi="Times New Roman"/>
          <w:color w:val="auto"/>
        </w:rPr>
        <w:t>进入Sn浸渗</w:t>
      </w:r>
      <w:r>
        <w:rPr>
          <w:rFonts w:hint="eastAsia"/>
          <w:color w:val="auto"/>
          <w:lang w:val="en-US" w:eastAsia="zh-CN"/>
        </w:rPr>
        <w:t>环节。</w:t>
      </w:r>
    </w:p>
    <w:p w14:paraId="1143BE34">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hint="default"/>
          <w:color w:val="auto"/>
          <w:lang w:val="en-US" w:eastAsia="zh-CN"/>
        </w:rPr>
      </w:pPr>
      <w:r>
        <w:rPr>
          <w:rFonts w:ascii="Times New Roman" w:cs="Times New Roman" w:eastAsia="黑体" w:hAnsi="Times New Roman" w:hint="eastAsia"/>
          <w:b w:val="false"/>
          <w:color w:val="auto"/>
          <w:kern w:val="2"/>
          <w:szCs w:val="32"/>
          <w:lang w:eastAsia="zh-CN"/>
        </w:rPr>
        <w:t>3.2.3  连接接头组织与力学性能评价</w:t>
      </w:r>
    </w:p>
    <w:p w14:paraId="071E6C30">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1）</w:t>
      </w:r>
      <w:r>
        <w:rPr>
          <w:rFonts w:ascii="Times New Roman" w:eastAsia="宋体" w:hAnsi="Times New Roman"/>
          <w:color w:val="auto"/>
        </w:rPr>
        <w:t>连接试验以浸渗时间、连接温度、连接时间和压力为自变量，以Sn填充率、Cu</w:t>
      </w:r>
      <w:r>
        <w:rPr>
          <w:rFonts w:ascii="Times New Roman" w:eastAsia="宋体" w:hAnsi="Times New Roman"/>
          <w:color w:val="auto"/>
          <w:vertAlign w:val="subscript"/>
        </w:rPr>
        <w:t>6</w:t>
      </w:r>
      <w:r>
        <w:rPr>
          <w:rFonts w:ascii="Times New Roman" w:eastAsia="宋体" w:hAnsi="Times New Roman"/>
          <w:color w:val="auto"/>
        </w:rPr>
        <w:t>Sn</w:t>
      </w:r>
      <w:r>
        <w:rPr>
          <w:rFonts w:ascii="Times New Roman" w:eastAsia="宋体" w:hAnsi="Times New Roman"/>
          <w:color w:val="auto"/>
          <w:vertAlign w:val="subscript"/>
        </w:rPr>
        <w:t>5</w:t>
      </w:r>
      <w:r>
        <w:rPr>
          <w:rFonts w:ascii="Times New Roman" w:eastAsia="宋体" w:hAnsi="Times New Roman"/>
          <w:color w:val="auto"/>
        </w:rPr>
        <w:t>/Cu</w:t>
      </w:r>
      <w:r>
        <w:rPr>
          <w:rFonts w:ascii="Times New Roman" w:eastAsia="宋体" w:hAnsi="Times New Roman"/>
          <w:color w:val="auto"/>
          <w:vertAlign w:val="subscript"/>
        </w:rPr>
        <w:t>3</w:t>
      </w:r>
      <w:r>
        <w:rPr>
          <w:rFonts w:ascii="Times New Roman" w:eastAsia="宋体" w:hAnsi="Times New Roman"/>
          <w:color w:val="auto"/>
        </w:rPr>
        <w:t>Sn层厚度、孔洞面积分数、室温和300 ℃剪切强度为响应。首先将合格多孔Cu在250 ℃ Sn池中浸渗5、15和30 s，测量质量增量并通过SEM-EDS确定Sn在孔道中的分布；</w:t>
      </w:r>
      <w:r>
        <w:rPr>
          <w:rFonts w:hint="eastAsia"/>
          <w:color w:val="auto"/>
          <w:lang w:val="en-US" w:eastAsia="zh-CN"/>
        </w:rPr>
        <w:t>当</w:t>
      </w:r>
      <w:r>
        <w:rPr>
          <w:rFonts w:ascii="Times New Roman" w:eastAsia="宋体" w:hAnsi="Times New Roman"/>
          <w:color w:val="auto"/>
        </w:rPr>
        <w:t>填充率达到90%以上且最大孤立孔径不超过预设阈值</w:t>
      </w:r>
      <w:r>
        <w:rPr>
          <w:rFonts w:hint="eastAsia"/>
          <w:color w:val="auto"/>
          <w:lang w:val="en-US" w:eastAsia="zh-CN"/>
        </w:rPr>
        <w:t>时</w:t>
      </w:r>
      <w:r>
        <w:rPr>
          <w:rFonts w:ascii="Times New Roman" w:eastAsia="宋体" w:hAnsi="Times New Roman"/>
          <w:color w:val="auto"/>
        </w:rPr>
        <w:t>，进入热压连接</w:t>
      </w:r>
      <w:r>
        <w:rPr>
          <w:rFonts w:hint="eastAsia"/>
          <w:color w:val="auto"/>
          <w:lang w:val="en-US" w:eastAsia="zh-CN"/>
        </w:rPr>
        <w:t>环节</w:t>
      </w:r>
      <w:r>
        <w:rPr>
          <w:rFonts w:ascii="Times New Roman" w:eastAsia="宋体" w:hAnsi="Times New Roman"/>
          <w:color w:val="auto"/>
        </w:rPr>
        <w:t>。</w:t>
      </w:r>
    </w:p>
    <w:p w14:paraId="65A162D4">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hint="eastAsia"/>
          <w:color w:val="auto"/>
          <w:lang w:eastAsia="zh-CN"/>
        </w:rPr>
      </w:pPr>
      <w:r>
        <w:rPr>
          <w:rFonts w:hint="eastAsia"/>
          <w:color w:val="auto"/>
          <w:lang w:eastAsia="zh-CN"/>
        </w:rPr>
        <w:t>（</w:t>
      </w:r>
      <w:r>
        <w:rPr>
          <w:rFonts w:hint="eastAsia"/>
          <w:color w:val="auto"/>
          <w:lang w:val="en-US" w:eastAsia="zh-CN"/>
        </w:rPr>
        <w:t>2）</w:t>
      </w:r>
      <w:r>
        <w:rPr>
          <w:rFonts w:ascii="Times New Roman" w:eastAsia="宋体" w:hAnsi="Times New Roman"/>
          <w:color w:val="auto"/>
        </w:rPr>
        <w:t>热压连接采用</w:t>
      </w:r>
      <w:commentRangeStart w:id="16"/>
      <w:r>
        <w:rPr>
          <w:rFonts w:ascii="Times New Roman" w:eastAsia="宋体" w:hAnsi="Times New Roman"/>
          <w:color w:val="auto"/>
        </w:rPr>
        <w:t>240、250和260 ℃三</w:t>
      </w:r>
      <w:commentRangeEnd w:id="16"/>
      <w:r>
        <w:rPr/>
        <w:commentReference w:id="16"/>
      </w:r>
      <w:r>
        <w:rPr>
          <w:rFonts w:ascii="Times New Roman" w:eastAsia="宋体" w:hAnsi="Times New Roman"/>
          <w:color w:val="auto"/>
        </w:rPr>
        <w:t>个温度，5、10和20 min三个时间以及0.2和0.5 MPa两个压力水平；Cu/Cu和Cu/DBC搭接结构分别作为材料端和器件端的验证结构</w:t>
      </w:r>
      <w:r>
        <w:rPr>
          <w:rFonts w:hint="eastAsia"/>
          <w:color w:val="auto"/>
          <w:lang w:eastAsia="zh-CN"/>
        </w:rPr>
        <w:t>。</w:t>
      </w:r>
    </w:p>
    <w:p w14:paraId="508819C8">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color w:val="auto"/>
        </w:rPr>
      </w:pPr>
      <w:r>
        <w:rPr>
          <w:rFonts w:hint="eastAsia"/>
          <w:color w:val="auto"/>
          <w:lang w:eastAsia="zh-CN"/>
        </w:rPr>
        <w:t>（</w:t>
      </w:r>
      <w:r>
        <w:rPr>
          <w:rFonts w:hint="eastAsia"/>
          <w:color w:val="auto"/>
          <w:lang w:val="en-US" w:eastAsia="zh-CN"/>
        </w:rPr>
        <w:t>3）</w:t>
      </w:r>
      <w:r>
        <w:rPr>
          <w:rFonts w:ascii="Times New Roman" w:eastAsia="宋体" w:hAnsi="Times New Roman"/>
          <w:color w:val="auto"/>
        </w:rPr>
        <w:t>剪切试验速度为0.1 mm/min、</w:t>
      </w:r>
      <w:commentRangeStart w:id="17"/>
      <w:r>
        <w:rPr>
          <w:rFonts w:ascii="Times New Roman" w:eastAsia="宋体" w:hAnsi="Times New Roman"/>
          <w:color w:val="auto"/>
        </w:rPr>
        <w:t>刀口高度100 μm，</w:t>
      </w:r>
      <w:commentRangeEnd w:id="17"/>
      <w:r>
        <w:rPr/>
        <w:commentReference w:id="17"/>
      </w:r>
      <w:r>
        <w:rPr>
          <w:rFonts w:ascii="Times New Roman" w:eastAsia="宋体" w:hAnsi="Times New Roman"/>
          <w:color w:val="auto"/>
        </w:rPr>
        <w:t>分别测量室温和300 ℃强度，给出每个样品的单值、均值、标准差和变异系数。每个条件至少制备5个剪切样和3个截面样。</w:t>
      </w:r>
    </w:p>
    <w:p w14:paraId="4B9B3D3C">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4）</w:t>
      </w:r>
      <w:r>
        <w:rPr>
          <w:rFonts w:ascii="Times New Roman" w:eastAsia="宋体" w:hAnsi="Times New Roman"/>
          <w:color w:val="auto"/>
        </w:rPr>
        <w:t>截面经镶嵌、研磨和抛光后，SEM-EDS识别Cu</w:t>
      </w:r>
      <w:r>
        <w:rPr>
          <w:rFonts w:ascii="Times New Roman" w:eastAsia="宋体" w:hAnsi="Times New Roman"/>
          <w:color w:val="auto"/>
          <w:vertAlign w:val="subscript"/>
        </w:rPr>
        <w:t>6</w:t>
      </w:r>
      <w:r>
        <w:rPr>
          <w:rFonts w:ascii="Times New Roman" w:eastAsia="宋体" w:hAnsi="Times New Roman"/>
          <w:color w:val="auto"/>
        </w:rPr>
        <w:t>Sn</w:t>
      </w:r>
      <w:r>
        <w:rPr>
          <w:rFonts w:ascii="Times New Roman" w:eastAsia="宋体" w:hAnsi="Times New Roman"/>
          <w:color w:val="auto"/>
          <w:vertAlign w:val="subscript"/>
        </w:rPr>
        <w:t>5</w:t>
      </w:r>
      <w:r>
        <w:rPr>
          <w:rFonts w:ascii="Times New Roman" w:eastAsia="宋体" w:hAnsi="Times New Roman"/>
          <w:color w:val="auto"/>
        </w:rPr>
        <w:t>、Cu</w:t>
      </w:r>
      <w:r>
        <w:rPr>
          <w:rFonts w:ascii="Times New Roman" w:eastAsia="宋体" w:hAnsi="Times New Roman"/>
          <w:color w:val="auto"/>
          <w:vertAlign w:val="subscript"/>
        </w:rPr>
        <w:t>3</w:t>
      </w:r>
      <w:r>
        <w:rPr>
          <w:rFonts w:ascii="Times New Roman" w:eastAsia="宋体" w:hAnsi="Times New Roman"/>
          <w:color w:val="auto"/>
        </w:rPr>
        <w:t>Sn、Ag</w:t>
      </w:r>
      <w:r>
        <w:rPr>
          <w:rFonts w:ascii="Times New Roman" w:eastAsia="宋体" w:hAnsi="Times New Roman"/>
          <w:color w:val="auto"/>
          <w:vertAlign w:val="subscript"/>
        </w:rPr>
        <w:t>3</w:t>
      </w:r>
      <w:r>
        <w:rPr>
          <w:rFonts w:ascii="Times New Roman" w:eastAsia="宋体" w:hAnsi="Times New Roman"/>
          <w:color w:val="auto"/>
        </w:rPr>
        <w:t>Sn、残余Sn和孔洞，EDS采用15 kV加速电压并在同一工作距离下采集；XRD用于物相辅助确认。ImageJ在统一倍率、标尺和阈值下统计IMC厚度、面积分数、等效尺寸和孔洞率，每个截面至少测量10条界面线。若温度或压力提高导致填充率增加但IMC连续层过厚、孔洞率上升或强度离散性扩大，则回到浸渗时间或连接时间变量进行单因素复验。</w:t>
      </w:r>
    </w:p>
    <w:p w14:paraId="1F136005">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5）</w:t>
      </w:r>
      <w:r>
        <w:rPr>
          <w:rFonts w:ascii="Times New Roman" w:eastAsia="宋体" w:hAnsi="Times New Roman"/>
          <w:color w:val="auto"/>
        </w:rPr>
        <w:t>断口按基板/界面、富Sn区、Cu骨架和IMC四类位置编码，结合EDS确认裂纹路径。将断口类别与孔洞率、IMC厚度及剪切强度进行对应分析：当强度下降同时伴随界面裂纹比例和孔洞率增加时，优先判定为填充问题；当孔洞稳定而IMC厚度和脆性断口比例增加时，优先判定为反应层过度生长。</w:t>
      </w:r>
    </w:p>
    <w:p w14:paraId="50A97842">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3.2.4  高温时效与动力学分析</w:t>
      </w:r>
    </w:p>
    <w:p w14:paraId="62915ADB">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hint="default"/>
          <w:color w:val="auto"/>
          <w:lang w:val="en-US" w:eastAsia="zh-CN"/>
        </w:rPr>
      </w:pPr>
      <w:r>
        <w:rPr>
          <w:rFonts w:hint="eastAsia"/>
          <w:color w:val="auto"/>
          <w:lang w:val="en-US" w:eastAsia="zh-CN"/>
        </w:rPr>
        <w:t>本课题通过</w:t>
      </w:r>
      <w:r>
        <w:rPr>
          <w:rFonts w:ascii="Times New Roman" w:eastAsia="宋体" w:hAnsi="Times New Roman"/>
          <w:color w:val="auto"/>
        </w:rPr>
        <w:t>研究SAPC接头在高温长期服役条件下的组织演化和性能退化规律，评价其高温可靠性</w:t>
      </w:r>
      <w:r>
        <w:rPr>
          <w:rFonts w:hint="eastAsia"/>
          <w:color w:val="auto"/>
          <w:lang w:val="en-US" w:eastAsia="zh-CN"/>
        </w:rPr>
        <w:t>并预测高温使用寿命，具体流程如下：</w:t>
      </w:r>
    </w:p>
    <w:p w14:paraId="597A6FF1">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1）</w:t>
      </w:r>
      <w:r>
        <w:rPr>
          <w:rFonts w:ascii="Times New Roman" w:eastAsia="宋体" w:hAnsi="Times New Roman"/>
          <w:color w:val="auto"/>
        </w:rPr>
        <w:t>从3.2.3中选择一个强度高、离散性小且截面无贯穿孔洞的连接条件，同时保留一个较低温度或较低压力条件作为过程对照。时效温度设置250、275和300 ℃，时间节点设置0、24、100、250和500 h；每个温度和时间节点保留3个显微样和3个剪切样。温度和时间是动力学自变量，IMC厚度、孔洞率、Ag</w:t>
      </w:r>
      <w:r>
        <w:rPr>
          <w:rFonts w:ascii="Times New Roman" w:eastAsia="宋体" w:hAnsi="Times New Roman"/>
          <w:color w:val="auto"/>
          <w:vertAlign w:val="subscript"/>
        </w:rPr>
        <w:t>3</w:t>
      </w:r>
      <w:r>
        <w:rPr>
          <w:rFonts w:ascii="Times New Roman" w:eastAsia="宋体" w:hAnsi="Times New Roman"/>
          <w:color w:val="auto"/>
        </w:rPr>
        <w:t>Sn分布、剪切强度保持率和断口类型是响应变量。</w:t>
      </w:r>
    </w:p>
    <w:p w14:paraId="7A508FA8">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2）</w:t>
      </w:r>
      <w:r>
        <w:rPr>
          <w:rFonts w:ascii="Times New Roman" w:eastAsia="宋体" w:hAnsi="Times New Roman"/>
          <w:color w:val="auto"/>
        </w:rPr>
        <w:t>每个时间点统一测量Cu</w:t>
      </w:r>
      <w:r>
        <w:rPr>
          <w:rFonts w:ascii="Times New Roman" w:eastAsia="宋体" w:hAnsi="Times New Roman"/>
          <w:color w:val="auto"/>
          <w:vertAlign w:val="subscript"/>
        </w:rPr>
        <w:t>6</w:t>
      </w:r>
      <w:r>
        <w:rPr>
          <w:rFonts w:ascii="Times New Roman" w:eastAsia="宋体" w:hAnsi="Times New Roman"/>
          <w:color w:val="auto"/>
        </w:rPr>
        <w:t>Sn</w:t>
      </w:r>
      <w:r>
        <w:rPr>
          <w:rFonts w:ascii="Times New Roman" w:eastAsia="宋体" w:hAnsi="Times New Roman"/>
          <w:color w:val="auto"/>
          <w:vertAlign w:val="subscript"/>
        </w:rPr>
        <w:t>5</w:t>
      </w:r>
      <w:r>
        <w:rPr>
          <w:rFonts w:ascii="Times New Roman" w:eastAsia="宋体" w:hAnsi="Times New Roman"/>
          <w:color w:val="auto"/>
        </w:rPr>
        <w:t>、Cu</w:t>
      </w:r>
      <w:r>
        <w:rPr>
          <w:rFonts w:ascii="Times New Roman" w:eastAsia="宋体" w:hAnsi="Times New Roman"/>
          <w:color w:val="auto"/>
          <w:vertAlign w:val="subscript"/>
        </w:rPr>
        <w:t>3</w:t>
      </w:r>
      <w:r>
        <w:rPr>
          <w:rFonts w:ascii="Times New Roman" w:eastAsia="宋体" w:hAnsi="Times New Roman"/>
          <w:color w:val="auto"/>
        </w:rPr>
        <w:t>Sn总厚度、界面粗糙度、孔洞面积分数和最大孔洞尺寸，并将图像统计与剪切结果按同一编号配对。当</w:t>
      </w:r>
      <w:r>
        <w:rPr>
          <w:rFonts w:hint="eastAsia"/>
          <w:color w:val="auto"/>
          <w:lang w:val="en-US" w:eastAsia="zh-CN"/>
        </w:rPr>
        <w:t>不少于</w:t>
      </w:r>
      <w:r>
        <w:rPr>
          <w:rFonts w:ascii="Times New Roman" w:eastAsia="宋体" w:hAnsi="Times New Roman"/>
          <w:color w:val="auto"/>
        </w:rPr>
        <w:t>4个时间点呈单调变化、拟合决定系数R²≥0.90且断口机制不发生突变时，使用x²=kt形式估算IMC生长常数；在相同失效机制下取得两个以上温度的生长常数</w:t>
      </w:r>
      <w:r>
        <w:rPr>
          <w:rFonts w:hint="eastAsia"/>
          <w:color w:val="auto"/>
          <w:lang w:val="en-US" w:eastAsia="zh-CN"/>
        </w:rPr>
        <w:t>的前提下</w:t>
      </w:r>
      <w:r>
        <w:rPr>
          <w:rFonts w:ascii="Times New Roman" w:eastAsia="宋体" w:hAnsi="Times New Roman"/>
          <w:color w:val="auto"/>
        </w:rPr>
        <w:t>，进行Arrhenius拟合。</w:t>
      </w:r>
    </w:p>
    <w:p w14:paraId="1F87CF3A">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ascii="Times New Roman" w:eastAsia="宋体" w:hAnsi="Times New Roman"/>
          <w:color w:val="auto"/>
        </w:rPr>
        <w:t>寿命判据预先设定为500 h后剪切强度保持率不低于80%、孔洞面积分数增量不超过5个百分点且无贯穿裂纹。若强度下降而孔洞率不变，则重点检查IMC脆化和热应力；若孔洞率显著增加，则将时效结果反馈到浸渗和连接压力变量。</w:t>
      </w:r>
    </w:p>
    <w:p w14:paraId="21DD32B2">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3.2.5  SiC器件封装与功率循环评价</w:t>
      </w:r>
    </w:p>
    <w:p w14:paraId="7D342BED">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hint="default"/>
          <w:color w:val="auto"/>
          <w:lang w:val="en-US" w:eastAsia="zh-CN"/>
        </w:rPr>
      </w:pPr>
      <w:r>
        <w:rPr>
          <w:rFonts w:ascii="Times New Roman" w:eastAsia="宋体" w:hAnsi="Times New Roman"/>
          <w:color w:val="auto"/>
        </w:rPr>
        <w:t>器件验证以互连材料和连接工艺为自变量，</w:t>
      </w:r>
      <w:r>
        <w:rPr>
          <w:rFonts w:hint="eastAsia"/>
          <w:color w:val="auto"/>
          <w:lang w:val="en-US" w:eastAsia="zh-CN"/>
        </w:rPr>
        <w:t>确定其与</w:t>
      </w:r>
      <w:r>
        <w:rPr>
          <w:rFonts w:ascii="Times New Roman" w:eastAsia="宋体" w:hAnsi="Times New Roman"/>
          <w:color w:val="auto"/>
        </w:rPr>
        <w:t>以正向I-V、反向漏电、结温、热阻和功率循环后的失效位置</w:t>
      </w:r>
      <w:r>
        <w:rPr>
          <w:rFonts w:hint="eastAsia"/>
          <w:color w:val="auto"/>
          <w:lang w:val="en-US" w:eastAsia="zh-CN"/>
        </w:rPr>
        <w:t>的对应关系</w:t>
      </w:r>
      <w:r>
        <w:rPr>
          <w:rFonts w:ascii="Times New Roman" w:eastAsia="宋体" w:hAnsi="Times New Roman"/>
          <w:color w:val="auto"/>
        </w:rPr>
        <w:t>。</w:t>
      </w:r>
      <w:r>
        <w:rPr>
          <w:rFonts w:hint="eastAsia"/>
          <w:color w:val="auto"/>
          <w:lang w:val="en-US" w:eastAsia="zh-CN"/>
        </w:rPr>
        <w:t>具体操作如下：</w:t>
      </w:r>
    </w:p>
    <w:p w14:paraId="2FA217EB">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1）</w:t>
      </w:r>
      <w:r>
        <w:rPr>
          <w:rFonts w:ascii="Times New Roman" w:eastAsia="宋体" w:hAnsi="Times New Roman"/>
          <w:color w:val="auto"/>
        </w:rPr>
        <w:t>采用TO-247形式SiC二极管，M-Cu@Sn器件使用3.2.3确定的最佳窗口，SAC305器件采用270 ℃、3 min回流作对照，每种互连材料不少于5只。</w:t>
      </w:r>
    </w:p>
    <w:p w14:paraId="3272FEEE">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eastAsia="宋体" w:hint="eastAsia"/>
          <w:color w:val="auto"/>
          <w:lang w:val="en-US" w:eastAsia="zh-CN"/>
        </w:rPr>
      </w:pPr>
      <w:r>
        <w:rPr>
          <w:rFonts w:hint="eastAsia"/>
          <w:color w:val="auto"/>
          <w:lang w:eastAsia="zh-CN"/>
        </w:rPr>
        <w:t>（</w:t>
      </w:r>
      <w:r>
        <w:rPr>
          <w:rFonts w:hint="eastAsia"/>
          <w:color w:val="auto"/>
          <w:lang w:val="en-US" w:eastAsia="zh-CN"/>
        </w:rPr>
        <w:t>2）</w:t>
      </w:r>
      <w:r>
        <w:rPr>
          <w:rFonts w:ascii="Times New Roman" w:eastAsia="宋体" w:hAnsi="Times New Roman"/>
          <w:color w:val="auto"/>
        </w:rPr>
        <w:t>先用激光热导仪、密度天平和差热分析获得热扩散系数、密度和比热，计算互连层热导率，再用四探针测量电阻率。</w:t>
      </w:r>
      <w:commentRangeStart w:id="19"/>
      <w:r>
        <w:rPr>
          <w:rFonts w:ascii="Times New Roman" w:eastAsia="宋体" w:hAnsi="Times New Roman"/>
          <w:color w:val="auto"/>
        </w:rPr>
        <w:t>公开大面积TLP接头在室温和200 ℃的热导率分别为112.3和102.6 W·</w:t>
      </w:r>
      <w:commentRangeStart w:id="18"/>
      <w:r>
        <w:rPr>
          <w:rFonts w:ascii="Times New Roman" w:eastAsia="宋体" w:hAnsi="Times New Roman"/>
          <w:color w:val="auto"/>
        </w:rPr>
        <w:t>m⁻¹·K⁻¹，</w:t>
      </w:r>
      <w:commentRangeEnd w:id="18"/>
      <w:r>
        <w:rPr/>
        <w:commentReference w:id="18"/>
      </w:r>
      <w:r>
        <w:rPr>
          <w:rFonts w:ascii="Times New Roman" w:eastAsia="宋体" w:hAnsi="Times New Roman"/>
          <w:color w:val="auto"/>
        </w:rPr>
        <w:t>可用于检查测试量级和温度修正</w:t>
      </w:r>
      <w:r>
        <w:rPr>
          <w:vertAlign w:val="superscript"/>
        </w:rPr>
        <w:t>[20]</w:t>
      </w:r>
      <w:r>
        <w:rPr>
          <w:rFonts w:ascii="Times New Roman" w:eastAsia="宋体" w:hAnsi="Times New Roman"/>
          <w:color w:val="auto"/>
        </w:rPr>
        <w:t>。</w:t>
      </w:r>
      <w:commentRangeEnd w:id="19"/>
      <w:r>
        <w:rPr/>
        <w:commentReference w:id="19"/>
      </w:r>
      <w:r>
        <w:rPr>
          <w:rFonts w:ascii="Times New Roman" w:eastAsia="宋体" w:hAnsi="Times New Roman"/>
          <w:color w:val="auto"/>
        </w:rPr>
        <w:t>器件初始筛选在25、175和215 ℃测试正向导通与反向漏电I-V，每个温度重复3次</w:t>
      </w:r>
      <w:r>
        <w:rPr>
          <w:rFonts w:hint="eastAsia"/>
          <w:color w:val="auto"/>
          <w:lang w:eastAsia="zh-CN"/>
        </w:rPr>
        <w:t>。</w:t>
      </w:r>
    </w:p>
    <w:p w14:paraId="4D099EAF">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cs="Times New Roman" w:eastAsia="黑体" w:hAnsi="Times New Roman" w:hint="eastAsia"/>
          <w:b w:val="false"/>
          <w:color w:val="auto"/>
          <w:kern w:val="2"/>
          <w:szCs w:val="32"/>
          <w:lang w:eastAsia="zh-CN"/>
        </w:rPr>
      </w:pPr>
      <w:r>
        <w:rPr>
          <w:rFonts w:hint="eastAsia"/>
          <w:color w:val="auto"/>
          <w:lang w:eastAsia="zh-CN"/>
        </w:rPr>
        <w:t>（</w:t>
      </w:r>
      <w:r>
        <w:rPr>
          <w:rFonts w:hint="eastAsia"/>
          <w:color w:val="auto"/>
          <w:lang w:val="en-US" w:eastAsia="zh-CN"/>
        </w:rPr>
        <w:t>3）</w:t>
      </w:r>
      <w:r>
        <w:rPr>
          <w:rFonts w:ascii="Times New Roman" w:eastAsia="宋体" w:hAnsi="Times New Roman"/>
          <w:color w:val="auto"/>
        </w:rPr>
        <w:t>热瞬态系统记录初始以及200 ℃高温储存300、600和900 h后的结温和热阻；功率循环设置0、5000、10000、20000和30000次节点，按照额定电流和平台温度窗口施加周期电流，并在每个节点测量I-V、温敏参数、结温和热阻。</w:t>
      </w:r>
    </w:p>
    <w:p w14:paraId="479D1ED0">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4  进度安排及预期目标</w:t>
      </w:r>
    </w:p>
    <w:p w14:paraId="175A7A7A">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both"/>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4.1  进度安排</w:t>
      </w:r>
    </w:p>
    <w:p w14:paraId="407A5381">
      <w:pPr>
        <w:pStyle w:val="style77"/>
        <w:keepNext w:val="false"/>
        <w:keepLines w:val="false"/>
        <w:pageBreakBefore w:val="false"/>
        <w:widowControl w:val="false"/>
        <w:kinsoku/>
        <w:wordWrap/>
        <w:overflowPunct/>
        <w:topLinePunct w:val="false"/>
        <w:autoSpaceDE/>
        <w:autoSpaceDN/>
        <w:bidi w:val="false"/>
        <w:adjustRightInd w:val="false"/>
        <w:snapToGrid w:val="false"/>
        <w:spacing w:after="0" w:lineRule="auto" w:line="300"/>
        <w:ind w:firstLine="480" w:firstLineChars="200"/>
        <w:jc w:val="both"/>
        <w:textAlignment w:val="auto"/>
        <w:rPr>
          <w:rFonts w:cs="Calibri" w:hint="eastAsia"/>
          <w:kern w:val="2"/>
          <w:sz w:val="21"/>
          <w:szCs w:val="21"/>
          <w:lang w:val="en-US" w:eastAsia="zh-CN"/>
        </w:rPr>
      </w:pPr>
      <w:r>
        <w:rPr>
          <w:rFonts w:ascii="Times New Roman" w:cs="Times New Roman" w:eastAsia="宋体" w:hAnsi="Times New Roman" w:hint="eastAsia"/>
          <w:kern w:val="2"/>
          <w:sz w:val="24"/>
          <w:szCs w:val="24"/>
          <w:lang w:val="en-US" w:bidi="ar-SA" w:eastAsia="zh-CN"/>
        </w:rPr>
        <w:t>课题周期为2026年9月20日至2027年5月31日。考虑高温时效和功率循环持续时间较长，部分任务采用并行方式推进，但器件级测试必须建立在材料接头工艺已经基本稳定的基础上。具体安排如下</w:t>
      </w:r>
      <w:r>
        <w:rPr>
          <w:rFonts w:ascii="Times New Roman" w:cs="Times New Roman" w:eastAsia="宋体" w:hAnsi="Times New Roman"/>
          <w:b w:val="false"/>
          <w:i w:val="false"/>
          <w:color w:val="auto"/>
          <w:sz w:val="24"/>
        </w:rPr>
        <w:t>：</w:t>
      </w:r>
    </w:p>
    <w:p w14:paraId="3021150F">
      <w:pPr>
        <w:pStyle w:val="style0"/>
        <w:widowControl/>
        <w:snapToGrid w:val="false"/>
        <w:spacing w:before="195" w:beforeLines="50" w:after="0" w:lineRule="auto" w:line="360"/>
        <w:jc w:val="center"/>
        <w:contextualSpacing/>
        <w:rPr>
          <w:rFonts w:cs="Calibri" w:hint="default"/>
          <w:kern w:val="2"/>
          <w:sz w:val="21"/>
          <w:szCs w:val="21"/>
          <w:lang w:val="en-US" w:eastAsia="zh-CN"/>
        </w:rPr>
      </w:pPr>
      <w:r>
        <w:rPr>
          <w:rFonts w:cs="Calibri" w:hint="eastAsia"/>
          <w:kern w:val="2"/>
          <w:sz w:val="21"/>
          <w:szCs w:val="21"/>
          <w:lang w:val="en-US" w:eastAsia="zh-CN"/>
        </w:rPr>
        <w:t>表4-1课题进度及主要工作</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58"/>
        <w:gridCol w:w="4342"/>
      </w:tblGrid>
      <w:tr w14:paraId="57BF7FB4">
        <w:trPr>
          <w:jc w:val="center"/>
        </w:trPr>
        <w:tc>
          <w:tcPr>
            <w:tcW w:w="4358" w:type="dxa"/>
            <w:tcBorders>
              <w:top w:val="single" w:sz="12" w:space="0" w:color="000000"/>
              <w:left w:val="nil"/>
              <w:bottom w:val="single" w:sz="6" w:space="0" w:color="000000"/>
              <w:right w:val="nil"/>
            </w:tcBorders>
            <w:shd w:val="clear" w:color="auto" w:fill="ffffff"/>
            <w:tcMar>
              <w:top w:w="80" w:type="dxa"/>
              <w:left w:w="90" w:type="dxa"/>
              <w:bottom w:w="80" w:type="dxa"/>
              <w:right w:w="90" w:type="dxa"/>
            </w:tcMar>
            <w:vAlign w:val="center"/>
          </w:tcPr>
          <w:p w14:paraId="4A9AFCD8">
            <w:pPr>
              <w:pStyle w:val="style0"/>
              <w:spacing w:after="0" w:lineRule="auto" w:line="240"/>
              <w:jc w:val="center"/>
              <w:rPr>
                <w:rFonts w:ascii="Times New Roman" w:cs="Times New Roman" w:eastAsia="黑体" w:hAnsi="Times New Roman"/>
                <w:b/>
                <w:i w:val="false"/>
                <w:color w:val="auto"/>
                <w:sz w:val="20"/>
              </w:rPr>
            </w:pPr>
            <w:r>
              <w:rPr>
                <w:rFonts w:ascii="Times New Roman" w:cs="Times New Roman" w:eastAsia="黑体" w:hAnsi="Times New Roman"/>
                <w:b w:val="false"/>
                <w:bCs/>
                <w:i w:val="false"/>
                <w:color w:val="auto"/>
                <w:sz w:val="20"/>
              </w:rPr>
              <w:t>时间</w:t>
            </w:r>
          </w:p>
        </w:tc>
        <w:tc>
          <w:tcPr>
            <w:tcW w:w="4326" w:type="dxa"/>
            <w:tcBorders>
              <w:top w:val="single" w:sz="12" w:space="0" w:color="000000"/>
              <w:left w:val="nil"/>
              <w:bottom w:val="single" w:sz="6" w:space="0" w:color="000000"/>
              <w:right w:val="nil"/>
            </w:tcBorders>
            <w:shd w:val="clear" w:color="auto" w:fill="ffffff"/>
            <w:tcMar>
              <w:top w:w="80" w:type="dxa"/>
              <w:left w:w="90" w:type="dxa"/>
              <w:bottom w:w="80" w:type="dxa"/>
              <w:right w:w="90" w:type="dxa"/>
            </w:tcMar>
            <w:vAlign w:val="center"/>
          </w:tcPr>
          <w:p w14:paraId="0C228429">
            <w:pPr>
              <w:pStyle w:val="style0"/>
              <w:spacing w:after="0" w:lineRule="auto" w:line="240"/>
              <w:jc w:val="center"/>
              <w:rPr>
                <w:rFonts w:ascii="Times New Roman" w:cs="Times New Roman" w:eastAsia="黑体" w:hAnsi="Times New Roman"/>
                <w:b/>
                <w:i w:val="false"/>
                <w:color w:val="auto"/>
                <w:sz w:val="20"/>
              </w:rPr>
            </w:pPr>
            <w:r>
              <w:rPr>
                <w:rFonts w:ascii="Times New Roman" w:cs="Times New Roman" w:eastAsia="黑体" w:hAnsi="Times New Roman"/>
                <w:b w:val="false"/>
                <w:bCs/>
                <w:i w:val="false"/>
                <w:color w:val="auto"/>
                <w:sz w:val="20"/>
              </w:rPr>
              <w:t>主要工作</w:t>
            </w:r>
          </w:p>
        </w:tc>
      </w:tr>
      <w:tr w14:paraId="402C3D80">
        <w:tblPrEx/>
        <w:trPr>
          <w:jc w:val="center"/>
        </w:trPr>
        <w:tc>
          <w:tcPr>
            <w:tcW w:w="4358" w:type="dxa"/>
            <w:tcBorders>
              <w:top w:val="single" w:sz="6" w:space="0" w:color="000000"/>
              <w:left w:val="nil"/>
              <w:bottom w:val="nil"/>
              <w:right w:val="nil"/>
            </w:tcBorders>
            <w:shd w:val="clear" w:color="auto" w:fill="ffffff"/>
            <w:tcMar>
              <w:top w:w="80" w:type="dxa"/>
              <w:left w:w="90" w:type="dxa"/>
              <w:bottom w:w="80" w:type="dxa"/>
              <w:right w:w="90" w:type="dxa"/>
            </w:tcMar>
            <w:vAlign w:val="center"/>
          </w:tcPr>
          <w:p w14:paraId="6B8FBC92">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2026.09.20—10.15</w:t>
            </w:r>
          </w:p>
        </w:tc>
        <w:tc>
          <w:tcPr>
            <w:tcW w:w="4326" w:type="dxa"/>
            <w:tcBorders>
              <w:top w:val="single" w:sz="6" w:space="0" w:color="000000"/>
              <w:left w:val="nil"/>
              <w:bottom w:val="nil"/>
              <w:right w:val="nil"/>
            </w:tcBorders>
            <w:shd w:val="clear" w:color="auto" w:fill="ffffff"/>
            <w:tcMar>
              <w:top w:w="80" w:type="dxa"/>
              <w:left w:w="90" w:type="dxa"/>
              <w:bottom w:w="80" w:type="dxa"/>
              <w:right w:w="90" w:type="dxa"/>
            </w:tcMar>
            <w:vAlign w:val="center"/>
          </w:tcPr>
          <w:p w14:paraId="6A662003">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文献调研；完成开题报告；建立多孔Cu、Cu/Sn TLP、Ag3Sn、SiC封装可靠性文献库。</w:t>
            </w:r>
          </w:p>
        </w:tc>
      </w:tr>
      <w:tr w14:paraId="356C7B71">
        <w:tblPrEx/>
        <w:trPr>
          <w:trHeight w:val="1356" w:hRule="atLeast"/>
          <w:jc w:val="center"/>
        </w:trPr>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4CAA63FC">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2026.10.16—12.31</w:t>
            </w:r>
          </w:p>
          <w:p w14:paraId="4DF2BDCA">
            <w:pPr>
              <w:pStyle w:val="style0"/>
              <w:spacing w:before="0" w:after="0" w:lineRule="auto" w:line="240"/>
              <w:jc w:val="left"/>
              <w:rPr>
                <w:rFonts w:ascii="Times New Roman" w:cs="Times New Roman" w:eastAsia="宋体" w:hAnsi="Times New Roman"/>
                <w:b w:val="false"/>
                <w:i w:val="false"/>
                <w:color w:val="auto"/>
                <w:sz w:val="20"/>
              </w:rPr>
            </w:pPr>
          </w:p>
        </w:tc>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337F9DF2">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熟悉浆料配制、丝网印刷、还原烧结、NaCl去除和SAC305渗透；开展工艺参数对比。完成SEM/EDS、XRD、孔结构表征及IMC厚度/相组成统计；开展生长动力学初步拟合。</w:t>
            </w:r>
          </w:p>
          <w:p w14:paraId="2FCC4C56">
            <w:pPr>
              <w:pStyle w:val="style0"/>
              <w:spacing w:before="0" w:after="0" w:lineRule="auto" w:line="240"/>
              <w:jc w:val="left"/>
              <w:rPr>
                <w:rFonts w:ascii="Times New Roman" w:cs="Times New Roman" w:eastAsia="宋体" w:hAnsi="Times New Roman"/>
                <w:b w:val="false"/>
                <w:i w:val="false"/>
                <w:color w:val="auto"/>
                <w:sz w:val="20"/>
              </w:rPr>
            </w:pPr>
          </w:p>
        </w:tc>
      </w:tr>
      <w:tr w14:paraId="405EA46E">
        <w:tblPrEx/>
        <w:trPr>
          <w:trHeight w:val="1356" w:hRule="atLeast"/>
          <w:jc w:val="center"/>
        </w:trPr>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07FF4C92">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2027.01.01—03.20</w:t>
            </w:r>
          </w:p>
          <w:p w14:paraId="09396604">
            <w:pPr>
              <w:pStyle w:val="style0"/>
              <w:spacing w:before="0" w:after="0" w:lineRule="auto" w:line="240"/>
              <w:jc w:val="left"/>
              <w:rPr>
                <w:rFonts w:ascii="Times New Roman" w:cs="Times New Roman" w:eastAsia="宋体" w:hAnsi="Times New Roman"/>
                <w:b w:val="false"/>
                <w:i w:val="false"/>
                <w:color w:val="auto"/>
                <w:sz w:val="20"/>
              </w:rPr>
            </w:pPr>
          </w:p>
        </w:tc>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16D3E76F">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室温/高温剪切测试；结合断口与截面识别塑性区、IMC脆断区、孔洞和界面失效。开展高温时效可靠性试验；按节点完成组织和力学性能表征及退化趋势分析。</w:t>
            </w:r>
          </w:p>
          <w:p w14:paraId="269A1967">
            <w:pPr>
              <w:pStyle w:val="style0"/>
              <w:spacing w:before="0" w:after="0" w:lineRule="auto" w:line="240"/>
              <w:jc w:val="left"/>
              <w:rPr>
                <w:rFonts w:ascii="Times New Roman" w:cs="Times New Roman" w:eastAsia="宋体" w:hAnsi="Times New Roman"/>
                <w:b w:val="false"/>
                <w:i w:val="false"/>
                <w:color w:val="auto"/>
                <w:sz w:val="20"/>
              </w:rPr>
            </w:pPr>
          </w:p>
        </w:tc>
      </w:tr>
      <w:tr w14:paraId="3B68E801">
        <w:tblPrEx/>
        <w:trPr>
          <w:trHeight w:val="1356" w:hRule="atLeast"/>
          <w:jc w:val="center"/>
        </w:trPr>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1AFAF2E5">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2027.03.21—04.30</w:t>
            </w:r>
          </w:p>
          <w:p w14:paraId="5A1FAC8E">
            <w:pPr>
              <w:pStyle w:val="style0"/>
              <w:spacing w:before="0" w:after="0" w:lineRule="auto" w:line="240"/>
              <w:jc w:val="left"/>
              <w:rPr>
                <w:rFonts w:ascii="Times New Roman" w:cs="Times New Roman" w:eastAsia="宋体" w:hAnsi="Times New Roman"/>
                <w:b w:val="false"/>
                <w:i w:val="false"/>
                <w:color w:val="auto"/>
                <w:sz w:val="20"/>
              </w:rPr>
            </w:pPr>
          </w:p>
        </w:tc>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2B663744">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SiC器件封装工艺调试；完成不同温度下I-V测试。开展功率循环；在5000、10000、15000次节点提取结温/热阻并进行截面分析。</w:t>
            </w:r>
          </w:p>
          <w:p w14:paraId="38E0E8D4">
            <w:pPr>
              <w:pStyle w:val="style0"/>
              <w:spacing w:before="0" w:after="0" w:lineRule="auto" w:line="240"/>
              <w:jc w:val="left"/>
              <w:rPr>
                <w:rFonts w:ascii="Times New Roman" w:cs="Times New Roman" w:eastAsia="宋体" w:hAnsi="Times New Roman"/>
                <w:b w:val="false"/>
                <w:i w:val="false"/>
                <w:color w:val="auto"/>
                <w:sz w:val="20"/>
              </w:rPr>
            </w:pPr>
          </w:p>
        </w:tc>
      </w:tr>
      <w:tr w14:paraId="7BFDC523">
        <w:tblPrEx/>
        <w:trPr>
          <w:jc w:val="center"/>
        </w:trPr>
        <w:tc>
          <w:tcPr>
            <w:tcW w:w="4358" w:type="dxa"/>
            <w:tcBorders>
              <w:top w:val="nil"/>
              <w:left w:val="nil"/>
              <w:bottom w:val="nil"/>
              <w:right w:val="nil"/>
            </w:tcBorders>
            <w:shd w:val="clear" w:color="auto" w:fill="ffffff"/>
            <w:tcMar>
              <w:top w:w="80" w:type="dxa"/>
              <w:left w:w="90" w:type="dxa"/>
              <w:bottom w:w="80" w:type="dxa"/>
              <w:right w:w="90" w:type="dxa"/>
            </w:tcMar>
            <w:vAlign w:val="center"/>
          </w:tcPr>
          <w:p w14:paraId="2F663CB2">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2027.05.01—05.15</w:t>
            </w:r>
          </w:p>
        </w:tc>
        <w:tc>
          <w:tcPr>
            <w:tcW w:w="4326" w:type="dxa"/>
            <w:tcBorders>
              <w:top w:val="nil"/>
              <w:left w:val="nil"/>
              <w:bottom w:val="nil"/>
              <w:right w:val="nil"/>
            </w:tcBorders>
            <w:shd w:val="clear" w:color="auto" w:fill="ffffff"/>
            <w:tcMar>
              <w:top w:w="80" w:type="dxa"/>
              <w:left w:w="90" w:type="dxa"/>
              <w:bottom w:w="80" w:type="dxa"/>
              <w:right w:w="90" w:type="dxa"/>
            </w:tcMar>
            <w:vAlign w:val="center"/>
          </w:tcPr>
          <w:p w14:paraId="2926FAFD">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统一整理工艺、组织、力学、电学和热学数据，完成论文初稿。</w:t>
            </w:r>
          </w:p>
        </w:tc>
      </w:tr>
      <w:tr w14:paraId="3A1F3847">
        <w:tblPrEx/>
        <w:trPr>
          <w:jc w:val="center"/>
        </w:trPr>
        <w:tc>
          <w:tcPr>
            <w:tcW w:w="4358"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385B2921">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2027.05.16—05.31</w:t>
            </w:r>
          </w:p>
        </w:tc>
        <w:tc>
          <w:tcPr>
            <w:tcW w:w="4326"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66876CE9">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论文修改定稿、补充重复性验证、查重和答辩准备。</w:t>
            </w:r>
          </w:p>
        </w:tc>
      </w:tr>
    </w:tbl>
    <w:p w14:paraId="168E45D7">
      <w:pPr>
        <w:pStyle w:val="style0"/>
        <w:widowControl/>
        <w:spacing w:before="0" w:after="0" w:lineRule="auto" w:line="300"/>
        <w:ind w:firstLine="420"/>
        <w:jc w:val="both"/>
        <w:rPr>
          <w:rFonts w:ascii="Times New Roman" w:cs="Times New Roman" w:eastAsia="宋体" w:hAnsi="Times New Roman"/>
          <w:b w:val="false"/>
          <w:i w:val="false"/>
          <w:color w:val="auto"/>
          <w:sz w:val="24"/>
        </w:rPr>
      </w:pPr>
    </w:p>
    <w:p w14:paraId="428B140B">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4.2  预期目标</w:t>
      </w:r>
    </w:p>
    <w:p w14:paraId="3798DE50">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rFonts w:ascii="Times New Roman" w:cs="Times New Roman" w:eastAsia="宋体" w:hAnsi="Times New Roman"/>
          <w:b w:val="false"/>
          <w:i w:val="false"/>
          <w:color w:val="auto"/>
          <w:sz w:val="24"/>
        </w:rPr>
      </w:pPr>
      <w:r>
        <w:rPr>
          <w:rFonts w:cs="Times New Roman" w:hint="eastAsia"/>
          <w:b w:val="false"/>
          <w:i w:val="false"/>
          <w:color w:val="auto"/>
          <w:sz w:val="24"/>
          <w:lang w:eastAsia="zh-CN"/>
        </w:rPr>
        <w:t>（</w:t>
      </w:r>
      <w:r>
        <w:rPr>
          <w:rFonts w:ascii="Times New Roman" w:cs="Times New Roman" w:eastAsia="宋体" w:hAnsi="Times New Roman"/>
          <w:b w:val="false"/>
          <w:i w:val="false"/>
          <w:color w:val="auto"/>
          <w:sz w:val="24"/>
        </w:rPr>
        <w:t>1）完成以外文文献为主、国内文献为补充的SAPC及相邻技术路线综述，梳理多孔Cu制备、焊料浸渗和Cu-Sn界面反应的研究进展，比较不同孔结构与连接工艺对接头性能的影响，归纳多孔Cu辅助TLP连接的技术优势及主要可靠性问题，为后续实验设计提供依据。</w:t>
      </w:r>
    </w:p>
    <w:p w14:paraId="7BD1BCBE">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hint="eastAsia"/>
          <w:b w:val="false"/>
          <w:i w:val="false"/>
          <w:color w:val="auto"/>
          <w:sz w:val="24"/>
          <w:lang w:val="en-US" w:eastAsia="zh-CN"/>
        </w:rPr>
        <w:t>（</w:t>
      </w:r>
      <w:r>
        <w:rPr>
          <w:rFonts w:ascii="Times New Roman" w:cs="Times New Roman" w:eastAsia="宋体" w:hAnsi="Times New Roman"/>
          <w:b w:val="false"/>
          <w:i w:val="false"/>
          <w:color w:val="auto"/>
          <w:sz w:val="24"/>
        </w:rPr>
        <w:t>2）建立可重复的多孔Cu制备流程和质量筛选规则，获得能够进行SAC305浸渗和后续连接的多孔Cu预制层，并对孔结构和成形完整性进行定量或半定量描述。</w:t>
      </w:r>
    </w:p>
    <w:p w14:paraId="54BD082B">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（3）完成SAPC接头的主要相组成和显微组织表征，获得不同连接/时效条件下的IMC、孔洞和裂纹信息；在数据充分时建立合理的IMC生长描述模型。</w:t>
      </w:r>
    </w:p>
    <w:p w14:paraId="4C1C30FE">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（4）完成代表性接头的室温和高温剪切及断口分析，形成强度—断裂位置—显微组织的对应证据，而不是只给出单一强度数值。</w:t>
      </w:r>
    </w:p>
    <w:p w14:paraId="33F081EA">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（5）完成高温时效节点测试，并在明确失效判据和数据质量满足要求时开展寿命或性能保持预测。</w:t>
      </w:r>
    </w:p>
    <w:p w14:paraId="1E5EA975">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（6）完成SiC器件封装、温度相关I-V测试和功率循环，获得结温、热阻及循环后互连层组织数据，用于评价SAPC的器件级适用性。</w:t>
      </w:r>
    </w:p>
    <w:p w14:paraId="01E8261B">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（7）形成统一的数据表、显微组织图、统计图和技术路线图，完成本科毕业设计论文及答辩材料。</w:t>
      </w:r>
    </w:p>
    <w:p w14:paraId="34E254BF">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5  已具备和所需的条件和经费</w:t>
      </w:r>
    </w:p>
    <w:p w14:paraId="2405A08D">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5.1  实验室条件和经费保障</w:t>
      </w:r>
    </w:p>
    <w:p w14:paraId="3F917B51">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505"/>
        <w:jc w:val="both"/>
        <w:textAlignment w:val="auto"/>
        <w:rPr>
          <w:bCs/>
        </w:rPr>
      </w:pPr>
      <w:r>
        <w:rPr>
          <w:rFonts w:hint="eastAsia"/>
        </w:rPr>
        <w:t>本课题主要在信息楼和实训中心开展，实验室有机械搅拌器、灵敏pH计、数显电子天平、真空干燥箱、超声波清洗机、液压式压片机、高精度立式平面丝印机、伺服真空压力机、金相磨抛机、金相显微镜、体式显微镜、台式X射线衍射仪、激光导热仪、同步热分析仪、四探针电导率测试仪、可焊性测试仪、推拉力测试机、维氏硬度计、BET比表面积测试仪、循环疲劳试验机系统和马弗炉等设备，同时与工业与信息化部电子第五研究所展开合作，研究所拥有高温剪切机、热瞬态测试系统等设备。实验室药品齐全，可通过伊诺凯和阿拉丁的药品公司对药品进行补充。因此，实验室设备和药品均满足实验条件，实验经费充足。</w:t>
      </w:r>
    </w:p>
    <w:p w14:paraId="58DD0B8F">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5.2  所需条件和经费</w:t>
      </w:r>
    </w:p>
    <w:p w14:paraId="780C41E8">
      <w:pPr>
        <w:pStyle w:val="style77"/>
        <w:adjustRightInd w:val="false"/>
        <w:snapToGrid w:val="false"/>
        <w:spacing w:after="0" w:lineRule="auto" w:line="288"/>
        <w:ind w:firstLine="480" w:firstLineChars="200"/>
        <w:rPr>
          <w:rFonts w:ascii="ＭＳ 明朝" w:eastAsia="ＭＳ 明朝" w:hAnsi="ＭＳ 明朝"/>
        </w:rPr>
      </w:pPr>
      <w:r>
        <w:rPr>
          <w:rFonts w:ascii="ＭＳ 明朝" w:eastAsia="ＭＳ 明朝" w:hAnsi="ＭＳ 明朝" w:hint="eastAsia"/>
        </w:rPr>
        <w:t>实验室经费充足，开展实验需要用到以下实验药品和设备：</w:t>
      </w:r>
    </w:p>
    <w:p w14:paraId="78D13360">
      <w:pPr>
        <w:pStyle w:val="style0"/>
        <w:widowControl/>
        <w:snapToGrid w:val="false"/>
        <w:spacing w:before="195" w:beforeLines="50" w:lineRule="auto" w:line="300"/>
        <w:jc w:val="center"/>
        <w:contextualSpacing/>
        <w:rPr>
          <w:rFonts w:cs="Calibri"/>
          <w:sz w:val="21"/>
          <w:szCs w:val="21"/>
        </w:rPr>
      </w:pPr>
      <w:r>
        <w:rPr>
          <w:rFonts w:cs="Calibri" w:hint="eastAsia"/>
          <w:sz w:val="21"/>
          <w:szCs w:val="21"/>
        </w:rPr>
        <w:t>表</w:t>
      </w:r>
      <w:r>
        <w:rPr>
          <w:rFonts w:cs="Calibri" w:hint="eastAsia"/>
          <w:sz w:val="21"/>
          <w:szCs w:val="21"/>
          <w:lang w:val="en-US" w:eastAsia="zh-CN"/>
        </w:rPr>
        <w:t>5</w:t>
      </w:r>
      <w:r>
        <w:rPr>
          <w:rFonts w:cs="Calibri"/>
          <w:sz w:val="21"/>
          <w:szCs w:val="21"/>
        </w:rPr>
        <w:t>-1  本</w:t>
      </w:r>
      <w:r>
        <w:rPr>
          <w:rFonts w:cs="Calibri" w:hint="eastAsia"/>
          <w:sz w:val="21"/>
          <w:szCs w:val="21"/>
        </w:rPr>
        <w:t>课题</w:t>
      </w:r>
      <w:r>
        <w:rPr>
          <w:rFonts w:cs="Calibri"/>
          <w:sz w:val="21"/>
          <w:szCs w:val="21"/>
        </w:rPr>
        <w:t>使用的实验材料及药品</w:t>
      </w:r>
    </w:p>
    <w:tbl>
      <w:tblPr>
        <w:tblStyle w:val="style105"/>
        <w:tblW w:w="0" w:type="auto"/>
        <w:jc w:val="center"/>
        <w:tblBorders>
          <w:top w:val="single" w:sz="12" w:space="0" w:color="auto"/>
          <w:left w:val="none" w:sz="0" w:space="0" w:color="auto"/>
          <w:bottom w:val="single" w:sz="12" w:space="0" w:color="auto"/>
          <w:right w:val="none" w:sz="0" w:space="0" w:color="auto"/>
          <w:insideH w:val="none" w:sz="0" w:space="0" w:color="auto"/>
          <w:insideV w:val="single" w:sz="2" w:space="0" w:color="auto"/>
        </w:tblBorders>
        <w:tblLayout w:type="fixed"/>
        <w:tblCellMar>
          <w:top w:w="0" w:type="dxa"/>
          <w:left w:w="108" w:type="dxa"/>
          <w:bottom w:w="0" w:type="dxa"/>
          <w:right w:w="108" w:type="dxa"/>
        </w:tblCellMar>
      </w:tblPr>
      <w:tblGrid>
        <w:gridCol w:w="1843"/>
        <w:gridCol w:w="1985"/>
        <w:gridCol w:w="1275"/>
        <w:gridCol w:w="3401"/>
      </w:tblGrid>
      <w:tr w14:paraId="49F791EC">
        <w:trPr>
          <w:cantSplit/>
          <w:trHeight w:val="454" w:hRule="exact"/>
          <w:jc w:val="center"/>
        </w:trPr>
        <w:tc>
          <w:tcPr>
            <w:tcW w:w="1843" w:type="dxa"/>
            <w:tcBorders>
              <w:top w:val="single" w:sz="12" w:space="0" w:color="auto"/>
              <w:bottom w:val="single" w:sz="2" w:space="0" w:color="auto"/>
              <w:right w:val="nil"/>
            </w:tcBorders>
            <w:vAlign w:val="center"/>
          </w:tcPr>
          <w:p w14:paraId="083B7648">
            <w:pPr>
              <w:pStyle w:val="style0"/>
              <w:adjustRightInd w:val="false"/>
              <w:snapToGrid w:val="false"/>
              <w:spacing w:lineRule="auto" w:line="300"/>
              <w:jc w:val="center"/>
              <w:contextualSpacing/>
              <w:rPr>
                <w:rFonts w:cs="Calibri"/>
                <w:sz w:val="21"/>
                <w:szCs w:val="21"/>
              </w:rPr>
            </w:pPr>
            <w:r>
              <w:rPr>
                <w:rFonts w:cs="Calibri"/>
                <w:sz w:val="21"/>
                <w:szCs w:val="21"/>
              </w:rPr>
              <w:t>药品名称</w:t>
            </w:r>
          </w:p>
        </w:tc>
        <w:tc>
          <w:tcPr>
            <w:tcW w:w="1985" w:type="dxa"/>
            <w:tcBorders>
              <w:top w:val="single" w:sz="12" w:space="0" w:color="auto"/>
              <w:left w:val="nil"/>
              <w:bottom w:val="single" w:sz="2" w:space="0" w:color="auto"/>
              <w:right w:val="nil"/>
            </w:tcBorders>
            <w:vAlign w:val="center"/>
          </w:tcPr>
          <w:p w14:paraId="152B3EA6">
            <w:pPr>
              <w:pStyle w:val="style0"/>
              <w:adjustRightInd w:val="false"/>
              <w:snapToGrid w:val="false"/>
              <w:spacing w:lineRule="auto" w:line="300"/>
              <w:jc w:val="center"/>
              <w:contextualSpacing/>
              <w:rPr>
                <w:rFonts w:cs="Calibri"/>
                <w:sz w:val="21"/>
                <w:szCs w:val="21"/>
              </w:rPr>
            </w:pPr>
            <w:r>
              <w:rPr>
                <w:rFonts w:cs="Calibri"/>
                <w:sz w:val="21"/>
                <w:szCs w:val="21"/>
              </w:rPr>
              <w:t>药品化学式</w:t>
            </w:r>
          </w:p>
        </w:tc>
        <w:tc>
          <w:tcPr>
            <w:tcW w:w="1275" w:type="dxa"/>
            <w:tcBorders>
              <w:top w:val="single" w:sz="12" w:space="0" w:color="auto"/>
              <w:left w:val="nil"/>
              <w:bottom w:val="single" w:sz="2" w:space="0" w:color="auto"/>
              <w:right w:val="nil"/>
            </w:tcBorders>
            <w:vAlign w:val="center"/>
          </w:tcPr>
          <w:p w14:paraId="12D63636">
            <w:pPr>
              <w:pStyle w:val="style0"/>
              <w:adjustRightInd w:val="false"/>
              <w:snapToGrid w:val="false"/>
              <w:spacing w:lineRule="auto" w:line="300"/>
              <w:jc w:val="center"/>
              <w:contextualSpacing/>
              <w:rPr>
                <w:rFonts w:cs="Calibri"/>
                <w:sz w:val="21"/>
                <w:szCs w:val="21"/>
              </w:rPr>
            </w:pPr>
            <w:r>
              <w:rPr>
                <w:rFonts w:cs="Calibri"/>
                <w:sz w:val="21"/>
                <w:szCs w:val="21"/>
              </w:rPr>
              <w:t>药品纯度</w:t>
            </w:r>
          </w:p>
        </w:tc>
        <w:tc>
          <w:tcPr>
            <w:tcW w:w="3401" w:type="dxa"/>
            <w:tcBorders>
              <w:top w:val="single" w:sz="12" w:space="0" w:color="auto"/>
              <w:left w:val="nil"/>
              <w:bottom w:val="single" w:sz="2" w:space="0" w:color="auto"/>
              <w:right w:val="nil"/>
            </w:tcBorders>
            <w:vAlign w:val="center"/>
          </w:tcPr>
          <w:p w14:paraId="4B51299E">
            <w:pPr>
              <w:pStyle w:val="style0"/>
              <w:adjustRightInd w:val="false"/>
              <w:snapToGrid w:val="false"/>
              <w:spacing w:lineRule="auto" w:line="300"/>
              <w:jc w:val="center"/>
              <w:contextualSpacing/>
              <w:rPr>
                <w:rFonts w:cs="Calibri"/>
                <w:sz w:val="21"/>
                <w:szCs w:val="21"/>
              </w:rPr>
            </w:pPr>
            <w:r>
              <w:rPr>
                <w:rFonts w:cs="Calibri"/>
                <w:sz w:val="21"/>
                <w:szCs w:val="21"/>
              </w:rPr>
              <w:t>药品来源</w:t>
            </w:r>
          </w:p>
        </w:tc>
      </w:tr>
      <w:tr w14:paraId="56AC5BD4">
        <w:tblPrEx/>
        <w:trPr>
          <w:cantSplit/>
          <w:trHeight w:val="454" w:hRule="exact"/>
          <w:jc w:val="center"/>
        </w:trPr>
        <w:tc>
          <w:tcPr>
            <w:tcW w:w="1843" w:type="dxa"/>
            <w:tcBorders>
              <w:right w:val="nil"/>
            </w:tcBorders>
            <w:vAlign w:val="center"/>
          </w:tcPr>
          <w:p w14:paraId="5849E88D">
            <w:pPr>
              <w:pStyle w:val="style0"/>
              <w:adjustRightInd w:val="false"/>
              <w:snapToGrid w:val="false"/>
              <w:spacing w:lineRule="auto" w:line="300"/>
              <w:jc w:val="center"/>
              <w:contextualSpacing/>
              <w:rPr>
                <w:rFonts w:cs="Calibri"/>
                <w:sz w:val="21"/>
                <w:szCs w:val="21"/>
              </w:rPr>
            </w:pPr>
            <w:r>
              <w:rPr>
                <w:rFonts w:cs="Calibri"/>
                <w:sz w:val="21"/>
                <w:szCs w:val="21"/>
              </w:rPr>
              <w:t>氯化钠</w:t>
            </w:r>
          </w:p>
        </w:tc>
        <w:tc>
          <w:tcPr>
            <w:tcW w:w="1985" w:type="dxa"/>
            <w:tcBorders>
              <w:left w:val="nil"/>
              <w:right w:val="nil"/>
            </w:tcBorders>
            <w:vAlign w:val="center"/>
          </w:tcPr>
          <w:p w14:paraId="1BB2D796">
            <w:pPr>
              <w:pStyle w:val="style0"/>
              <w:adjustRightInd w:val="false"/>
              <w:snapToGrid w:val="false"/>
              <w:spacing w:lineRule="auto" w:line="300"/>
              <w:jc w:val="center"/>
              <w:contextualSpacing/>
              <w:rPr>
                <w:rFonts w:cs="Calibri"/>
                <w:sz w:val="21"/>
                <w:szCs w:val="21"/>
              </w:rPr>
            </w:pPr>
            <w:r>
              <w:rPr>
                <w:rFonts w:cs="Calibri"/>
                <w:sz w:val="21"/>
                <w:szCs w:val="21"/>
              </w:rPr>
              <w:t>NaCl</w:t>
            </w:r>
          </w:p>
        </w:tc>
        <w:tc>
          <w:tcPr>
            <w:tcW w:w="1275" w:type="dxa"/>
            <w:tcBorders>
              <w:left w:val="nil"/>
              <w:right w:val="nil"/>
            </w:tcBorders>
            <w:vAlign w:val="center"/>
          </w:tcPr>
          <w:p w14:paraId="737F7861">
            <w:pPr>
              <w:pStyle w:val="style0"/>
              <w:adjustRightInd w:val="false"/>
              <w:snapToGrid w:val="false"/>
              <w:spacing w:lineRule="auto" w:line="300"/>
              <w:jc w:val="center"/>
              <w:contextualSpacing/>
              <w:rPr>
                <w:rFonts w:cs="Calibri"/>
                <w:sz w:val="21"/>
                <w:szCs w:val="21"/>
              </w:rPr>
            </w:pPr>
            <w:r>
              <w:rPr>
                <w:rFonts w:cs="Calibri"/>
                <w:sz w:val="21"/>
                <w:szCs w:val="21"/>
              </w:rPr>
              <w:t>AR,99%</w:t>
            </w:r>
          </w:p>
        </w:tc>
        <w:tc>
          <w:tcPr>
            <w:tcW w:w="3401" w:type="dxa"/>
            <w:tcBorders>
              <w:left w:val="nil"/>
              <w:right w:val="nil"/>
            </w:tcBorders>
            <w:vAlign w:val="center"/>
          </w:tcPr>
          <w:p w14:paraId="71A9F523">
            <w:pPr>
              <w:pStyle w:val="style0"/>
              <w:adjustRightInd w:val="false"/>
              <w:snapToGrid w:val="false"/>
              <w:spacing w:lineRule="auto" w:line="300"/>
              <w:jc w:val="center"/>
              <w:contextualSpacing/>
              <w:rPr>
                <w:rFonts w:cs="Calibri"/>
                <w:sz w:val="21"/>
                <w:szCs w:val="21"/>
              </w:rPr>
            </w:pPr>
            <w:r>
              <w:rPr>
                <w:rFonts w:cs="Calibri"/>
                <w:sz w:val="21"/>
                <w:szCs w:val="21"/>
              </w:rPr>
              <w:t>伊诺凯科技有限公司</w:t>
            </w:r>
          </w:p>
        </w:tc>
      </w:tr>
      <w:tr w14:paraId="3588F78C">
        <w:tblPrEx/>
        <w:trPr>
          <w:cantSplit/>
          <w:trHeight w:val="454" w:hRule="exact"/>
          <w:jc w:val="center"/>
        </w:trPr>
        <w:tc>
          <w:tcPr>
            <w:tcW w:w="1843" w:type="dxa"/>
            <w:tcBorders>
              <w:right w:val="nil"/>
            </w:tcBorders>
            <w:vAlign w:val="center"/>
          </w:tcPr>
          <w:p w14:paraId="7936CEED">
            <w:pPr>
              <w:pStyle w:val="style0"/>
              <w:adjustRightInd w:val="false"/>
              <w:snapToGrid w:val="false"/>
              <w:spacing w:lineRule="auto" w:line="300"/>
              <w:jc w:val="center"/>
              <w:contextualSpacing/>
              <w:rPr>
                <w:rFonts w:cs="Calibri"/>
                <w:sz w:val="21"/>
                <w:szCs w:val="21"/>
              </w:rPr>
            </w:pPr>
            <w:r>
              <w:rPr>
                <w:rFonts w:cs="Calibri"/>
                <w:sz w:val="21"/>
                <w:szCs w:val="21"/>
              </w:rPr>
              <w:t>氧化铜</w:t>
            </w:r>
          </w:p>
        </w:tc>
        <w:tc>
          <w:tcPr>
            <w:tcW w:w="1985" w:type="dxa"/>
            <w:tcBorders>
              <w:left w:val="nil"/>
              <w:right w:val="nil"/>
            </w:tcBorders>
            <w:vAlign w:val="center"/>
          </w:tcPr>
          <w:p w14:paraId="6570DB4A">
            <w:pPr>
              <w:pStyle w:val="style0"/>
              <w:adjustRightInd w:val="false"/>
              <w:snapToGrid w:val="false"/>
              <w:spacing w:lineRule="auto" w:line="300"/>
              <w:jc w:val="center"/>
              <w:contextualSpacing/>
              <w:rPr>
                <w:rFonts w:cs="Calibri"/>
                <w:sz w:val="21"/>
                <w:szCs w:val="21"/>
              </w:rPr>
            </w:pPr>
            <w:r>
              <w:rPr>
                <w:rFonts w:cs="Calibri"/>
                <w:sz w:val="21"/>
                <w:szCs w:val="21"/>
              </w:rPr>
              <w:t>CuO</w:t>
            </w:r>
          </w:p>
        </w:tc>
        <w:tc>
          <w:tcPr>
            <w:tcW w:w="1275" w:type="dxa"/>
            <w:tcBorders>
              <w:left w:val="nil"/>
              <w:right w:val="nil"/>
            </w:tcBorders>
            <w:vAlign w:val="center"/>
          </w:tcPr>
          <w:p w14:paraId="32D7A619">
            <w:pPr>
              <w:pStyle w:val="style0"/>
              <w:adjustRightInd w:val="false"/>
              <w:snapToGrid w:val="false"/>
              <w:spacing w:lineRule="auto" w:line="300"/>
              <w:jc w:val="center"/>
              <w:contextualSpacing/>
              <w:rPr>
                <w:rFonts w:cs="Calibri"/>
                <w:sz w:val="21"/>
                <w:szCs w:val="21"/>
              </w:rPr>
            </w:pPr>
            <w:r>
              <w:rPr>
                <w:rFonts w:cs="Calibri"/>
                <w:sz w:val="21"/>
                <w:szCs w:val="21"/>
              </w:rPr>
              <w:t>AR,99%</w:t>
            </w:r>
          </w:p>
        </w:tc>
        <w:tc>
          <w:tcPr>
            <w:tcW w:w="3401" w:type="dxa"/>
            <w:tcBorders>
              <w:left w:val="nil"/>
              <w:right w:val="nil"/>
            </w:tcBorders>
            <w:vAlign w:val="center"/>
          </w:tcPr>
          <w:p w14:paraId="4AF2767F">
            <w:pPr>
              <w:pStyle w:val="style0"/>
              <w:adjustRightInd w:val="false"/>
              <w:snapToGrid w:val="false"/>
              <w:spacing w:lineRule="auto" w:line="300"/>
              <w:jc w:val="center"/>
              <w:contextualSpacing/>
              <w:rPr>
                <w:rFonts w:cs="Calibri"/>
                <w:sz w:val="21"/>
                <w:szCs w:val="21"/>
              </w:rPr>
            </w:pPr>
            <w:r>
              <w:rPr>
                <w:rFonts w:cs="Calibri"/>
                <w:sz w:val="21"/>
                <w:szCs w:val="21"/>
              </w:rPr>
              <w:t>中冶新材料科技有限公司</w:t>
            </w:r>
          </w:p>
        </w:tc>
      </w:tr>
      <w:tr w14:paraId="36A4DB74">
        <w:tblPrEx/>
        <w:trPr>
          <w:cantSplit/>
          <w:trHeight w:val="454" w:hRule="exact"/>
          <w:jc w:val="center"/>
        </w:trPr>
        <w:tc>
          <w:tcPr>
            <w:tcW w:w="1843" w:type="dxa"/>
            <w:tcBorders>
              <w:right w:val="nil"/>
            </w:tcBorders>
            <w:vAlign w:val="center"/>
          </w:tcPr>
          <w:p w14:paraId="16992C3C">
            <w:pPr>
              <w:pStyle w:val="style0"/>
              <w:adjustRightInd w:val="false"/>
              <w:snapToGrid w:val="false"/>
              <w:spacing w:lineRule="auto" w:line="300"/>
              <w:jc w:val="center"/>
              <w:contextualSpacing/>
              <w:rPr>
                <w:rFonts w:cs="Calibri"/>
                <w:sz w:val="21"/>
                <w:szCs w:val="21"/>
              </w:rPr>
            </w:pPr>
            <w:r>
              <w:rPr>
                <w:rFonts w:cs="Calibri"/>
                <w:sz w:val="21"/>
                <w:szCs w:val="21"/>
              </w:rPr>
              <w:t>无水乙醇</w:t>
            </w:r>
          </w:p>
        </w:tc>
        <w:tc>
          <w:tcPr>
            <w:tcW w:w="1985" w:type="dxa"/>
            <w:tcBorders>
              <w:left w:val="nil"/>
              <w:right w:val="nil"/>
            </w:tcBorders>
            <w:vAlign w:val="center"/>
          </w:tcPr>
          <w:p w14:paraId="6715D05C">
            <w:pPr>
              <w:pStyle w:val="style0"/>
              <w:adjustRightInd w:val="false"/>
              <w:snapToGrid w:val="false"/>
              <w:spacing w:lineRule="auto" w:line="300"/>
              <w:jc w:val="center"/>
              <w:contextualSpacing/>
              <w:rPr>
                <w:rFonts w:cs="Calibri"/>
                <w:sz w:val="21"/>
                <w:szCs w:val="21"/>
              </w:rPr>
            </w:pPr>
            <w:r>
              <w:rPr>
                <w:rFonts w:cs="Calibri"/>
                <w:sz w:val="21"/>
                <w:szCs w:val="21"/>
              </w:rPr>
              <w:t>C</w:t>
            </w:r>
            <w:r>
              <w:rPr>
                <w:rFonts w:cs="Calibri"/>
                <w:sz w:val="21"/>
                <w:szCs w:val="21"/>
                <w:vertAlign w:val="subscript"/>
              </w:rPr>
              <w:t>2</w:t>
            </w:r>
            <w:r>
              <w:rPr>
                <w:rFonts w:cs="Calibri"/>
                <w:sz w:val="21"/>
                <w:szCs w:val="21"/>
              </w:rPr>
              <w:t>H</w:t>
            </w:r>
            <w:r>
              <w:rPr>
                <w:rFonts w:cs="Calibri"/>
                <w:sz w:val="21"/>
                <w:szCs w:val="21"/>
                <w:vertAlign w:val="subscript"/>
              </w:rPr>
              <w:t>5</w:t>
            </w:r>
            <w:r>
              <w:rPr>
                <w:rFonts w:cs="Calibri"/>
                <w:sz w:val="21"/>
                <w:szCs w:val="21"/>
              </w:rPr>
              <w:t>OH</w:t>
            </w:r>
          </w:p>
        </w:tc>
        <w:tc>
          <w:tcPr>
            <w:tcW w:w="1275" w:type="dxa"/>
            <w:tcBorders>
              <w:left w:val="nil"/>
              <w:right w:val="nil"/>
            </w:tcBorders>
            <w:vAlign w:val="center"/>
          </w:tcPr>
          <w:p w14:paraId="5B8285B1">
            <w:pPr>
              <w:pStyle w:val="style0"/>
              <w:adjustRightInd w:val="false"/>
              <w:snapToGrid w:val="false"/>
              <w:spacing w:lineRule="auto" w:line="300"/>
              <w:jc w:val="center"/>
              <w:contextualSpacing/>
              <w:rPr>
                <w:rFonts w:cs="Calibri"/>
                <w:sz w:val="21"/>
                <w:szCs w:val="21"/>
              </w:rPr>
            </w:pPr>
            <w:r>
              <w:rPr>
                <w:rFonts w:cs="Calibri"/>
                <w:sz w:val="21"/>
                <w:szCs w:val="21"/>
              </w:rPr>
              <w:t>AR,99%</w:t>
            </w:r>
          </w:p>
        </w:tc>
        <w:tc>
          <w:tcPr>
            <w:tcW w:w="3401" w:type="dxa"/>
            <w:tcBorders>
              <w:left w:val="nil"/>
              <w:right w:val="nil"/>
            </w:tcBorders>
            <w:vAlign w:val="center"/>
          </w:tcPr>
          <w:p w14:paraId="1873342B">
            <w:pPr>
              <w:pStyle w:val="style0"/>
              <w:adjustRightInd w:val="false"/>
              <w:snapToGrid w:val="false"/>
              <w:spacing w:lineRule="auto" w:line="300"/>
              <w:jc w:val="center"/>
              <w:contextualSpacing/>
              <w:rPr>
                <w:rFonts w:cs="Calibri"/>
                <w:sz w:val="21"/>
                <w:szCs w:val="21"/>
              </w:rPr>
            </w:pPr>
            <w:r>
              <w:rPr>
                <w:rFonts w:cs="Calibri"/>
                <w:sz w:val="21"/>
                <w:szCs w:val="21"/>
              </w:rPr>
              <w:t>安徽安特食品股份有限公司</w:t>
            </w:r>
          </w:p>
        </w:tc>
      </w:tr>
      <w:tr w14:paraId="328CA551">
        <w:tblPrEx/>
        <w:trPr>
          <w:cantSplit/>
          <w:trHeight w:val="454" w:hRule="exact"/>
          <w:jc w:val="center"/>
        </w:trPr>
        <w:tc>
          <w:tcPr>
            <w:tcW w:w="1843" w:type="dxa"/>
            <w:tcBorders>
              <w:right w:val="nil"/>
            </w:tcBorders>
            <w:vAlign w:val="center"/>
          </w:tcPr>
          <w:p w14:paraId="4985FFE8">
            <w:pPr>
              <w:pStyle w:val="style0"/>
              <w:adjustRightInd w:val="false"/>
              <w:snapToGrid w:val="false"/>
              <w:spacing w:lineRule="auto" w:line="300"/>
              <w:jc w:val="center"/>
              <w:contextualSpacing/>
              <w:rPr>
                <w:rFonts w:cs="Calibri"/>
                <w:sz w:val="21"/>
                <w:szCs w:val="21"/>
              </w:rPr>
            </w:pPr>
            <w:r>
              <w:rPr>
                <w:rFonts w:cs="Calibri"/>
                <w:sz w:val="21"/>
                <w:szCs w:val="21"/>
              </w:rPr>
              <w:t>Cu块</w:t>
            </w:r>
          </w:p>
        </w:tc>
        <w:tc>
          <w:tcPr>
            <w:tcW w:w="1985" w:type="dxa"/>
            <w:tcBorders>
              <w:left w:val="nil"/>
              <w:right w:val="nil"/>
            </w:tcBorders>
            <w:vAlign w:val="center"/>
          </w:tcPr>
          <w:p w14:paraId="0C66B89E">
            <w:pPr>
              <w:pStyle w:val="style0"/>
              <w:adjustRightInd w:val="false"/>
              <w:snapToGrid w:val="false"/>
              <w:spacing w:lineRule="auto" w:line="300"/>
              <w:jc w:val="center"/>
              <w:contextualSpacing/>
              <w:rPr>
                <w:rFonts w:cs="Calibri"/>
                <w:sz w:val="21"/>
                <w:szCs w:val="21"/>
              </w:rPr>
            </w:pPr>
            <w:r>
              <w:rPr>
                <w:rFonts w:cs="Calibri"/>
                <w:sz w:val="21"/>
                <w:szCs w:val="21"/>
              </w:rPr>
              <w:t>Cu</w:t>
            </w:r>
          </w:p>
        </w:tc>
        <w:tc>
          <w:tcPr>
            <w:tcW w:w="1275" w:type="dxa"/>
            <w:tcBorders>
              <w:left w:val="nil"/>
              <w:right w:val="nil"/>
            </w:tcBorders>
            <w:vAlign w:val="center"/>
          </w:tcPr>
          <w:p w14:paraId="614477B8">
            <w:pPr>
              <w:pStyle w:val="style0"/>
              <w:adjustRightInd w:val="false"/>
              <w:snapToGrid w:val="false"/>
              <w:spacing w:lineRule="auto" w:line="300"/>
              <w:jc w:val="center"/>
              <w:contextualSpacing/>
              <w:rPr>
                <w:rFonts w:cs="Calibri"/>
                <w:sz w:val="21"/>
                <w:szCs w:val="21"/>
              </w:rPr>
            </w:pPr>
            <w:r>
              <w:rPr>
                <w:rFonts w:cs="Calibri" w:hint="eastAsia"/>
                <w:sz w:val="21"/>
                <w:szCs w:val="21"/>
              </w:rPr>
              <w:t>99.9%</w:t>
            </w:r>
          </w:p>
        </w:tc>
        <w:tc>
          <w:tcPr>
            <w:tcW w:w="3401" w:type="dxa"/>
            <w:tcBorders>
              <w:left w:val="nil"/>
              <w:right w:val="nil"/>
            </w:tcBorders>
            <w:vAlign w:val="center"/>
          </w:tcPr>
          <w:p w14:paraId="3F8DCEC3">
            <w:pPr>
              <w:pStyle w:val="style0"/>
              <w:adjustRightInd w:val="false"/>
              <w:snapToGrid w:val="false"/>
              <w:spacing w:lineRule="auto" w:line="300"/>
              <w:jc w:val="center"/>
              <w:contextualSpacing/>
              <w:rPr>
                <w:rFonts w:cs="Calibri"/>
                <w:sz w:val="21"/>
                <w:szCs w:val="21"/>
              </w:rPr>
            </w:pPr>
            <w:r>
              <w:rPr>
                <w:rFonts w:cs="Calibri"/>
                <w:sz w:val="21"/>
                <w:szCs w:val="21"/>
              </w:rPr>
              <w:t>深圳凯发金属</w:t>
            </w:r>
          </w:p>
        </w:tc>
      </w:tr>
      <w:tr w14:paraId="6D9D0385">
        <w:tblPrEx/>
        <w:trPr>
          <w:cantSplit/>
          <w:trHeight w:val="454" w:hRule="exact"/>
          <w:jc w:val="center"/>
        </w:trPr>
        <w:tc>
          <w:tcPr>
            <w:tcW w:w="1843" w:type="dxa"/>
            <w:tcBorders>
              <w:right w:val="nil"/>
            </w:tcBorders>
            <w:vAlign w:val="center"/>
          </w:tcPr>
          <w:p w14:paraId="27C381A4">
            <w:pPr>
              <w:pStyle w:val="style0"/>
              <w:adjustRightInd w:val="false"/>
              <w:snapToGrid w:val="false"/>
              <w:spacing w:lineRule="auto" w:line="300"/>
              <w:jc w:val="center"/>
              <w:contextualSpacing/>
              <w:rPr>
                <w:rFonts w:cs="Calibri"/>
                <w:sz w:val="21"/>
                <w:szCs w:val="21"/>
              </w:rPr>
            </w:pPr>
            <w:r>
              <w:rPr>
                <w:rFonts w:cs="Calibri" w:hint="eastAsia"/>
                <w:sz w:val="21"/>
                <w:szCs w:val="21"/>
              </w:rPr>
              <w:t>丙酮</w:t>
            </w:r>
          </w:p>
        </w:tc>
        <w:tc>
          <w:tcPr>
            <w:tcW w:w="1985" w:type="dxa"/>
            <w:tcBorders>
              <w:left w:val="nil"/>
              <w:right w:val="nil"/>
            </w:tcBorders>
            <w:vAlign w:val="center"/>
          </w:tcPr>
          <w:p w14:paraId="7FB9596D">
            <w:pPr>
              <w:pStyle w:val="style0"/>
              <w:adjustRightInd w:val="false"/>
              <w:snapToGrid w:val="false"/>
              <w:spacing w:lineRule="auto" w:line="300"/>
              <w:jc w:val="center"/>
              <w:contextualSpacing/>
              <w:rPr>
                <w:rFonts w:cs="Calibri"/>
                <w:sz w:val="21"/>
                <w:szCs w:val="21"/>
              </w:rPr>
            </w:pPr>
            <w:r>
              <w:rPr>
                <w:rFonts w:cs="Calibri" w:hint="eastAsia"/>
                <w:sz w:val="21"/>
                <w:szCs w:val="21"/>
              </w:rPr>
              <w:t>C</w:t>
            </w:r>
            <w:r>
              <w:rPr>
                <w:rFonts w:cs="Calibri"/>
                <w:sz w:val="21"/>
                <w:szCs w:val="21"/>
                <w:vertAlign w:val="subscript"/>
              </w:rPr>
              <w:t>3</w:t>
            </w:r>
            <w:r>
              <w:rPr>
                <w:rFonts w:cs="Calibri" w:hint="eastAsia"/>
                <w:sz w:val="21"/>
                <w:szCs w:val="21"/>
              </w:rPr>
              <w:t>H</w:t>
            </w:r>
            <w:r>
              <w:rPr>
                <w:rFonts w:cs="Calibri"/>
                <w:sz w:val="21"/>
                <w:szCs w:val="21"/>
                <w:vertAlign w:val="subscript"/>
              </w:rPr>
              <w:t>6</w:t>
            </w:r>
            <w:r>
              <w:rPr>
                <w:rFonts w:cs="Calibri"/>
                <w:sz w:val="21"/>
                <w:szCs w:val="21"/>
              </w:rPr>
              <w:t>O</w:t>
            </w:r>
          </w:p>
        </w:tc>
        <w:tc>
          <w:tcPr>
            <w:tcW w:w="1275" w:type="dxa"/>
            <w:tcBorders>
              <w:left w:val="nil"/>
              <w:right w:val="nil"/>
            </w:tcBorders>
            <w:vAlign w:val="center"/>
          </w:tcPr>
          <w:p w14:paraId="1E26BE2F">
            <w:pPr>
              <w:pStyle w:val="style0"/>
              <w:adjustRightInd w:val="false"/>
              <w:snapToGrid w:val="false"/>
              <w:spacing w:lineRule="auto" w:line="300"/>
              <w:jc w:val="center"/>
              <w:contextualSpacing/>
              <w:rPr>
                <w:rFonts w:cs="Calibri"/>
                <w:sz w:val="21"/>
                <w:szCs w:val="21"/>
              </w:rPr>
            </w:pPr>
            <w:r>
              <w:rPr>
                <w:rFonts w:cs="Calibri" w:hint="eastAsia"/>
                <w:sz w:val="21"/>
                <w:szCs w:val="21"/>
              </w:rPr>
              <w:t>A</w:t>
            </w:r>
            <w:r>
              <w:rPr>
                <w:rFonts w:cs="Calibri"/>
                <w:sz w:val="21"/>
                <w:szCs w:val="21"/>
              </w:rPr>
              <w:t>R,95%</w:t>
            </w:r>
          </w:p>
        </w:tc>
        <w:tc>
          <w:tcPr>
            <w:tcW w:w="3401" w:type="dxa"/>
            <w:tcBorders>
              <w:left w:val="nil"/>
              <w:right w:val="nil"/>
            </w:tcBorders>
            <w:vAlign w:val="center"/>
          </w:tcPr>
          <w:p w14:paraId="6D44B63E">
            <w:pPr>
              <w:pStyle w:val="style0"/>
              <w:adjustRightInd w:val="false"/>
              <w:snapToGrid w:val="false"/>
              <w:spacing w:lineRule="auto" w:line="300"/>
              <w:jc w:val="center"/>
              <w:contextualSpacing/>
              <w:rPr>
                <w:rFonts w:cs="Calibri"/>
                <w:sz w:val="21"/>
                <w:szCs w:val="21"/>
              </w:rPr>
            </w:pPr>
            <w:r>
              <w:rPr>
                <w:rFonts w:cs="Calibri" w:hint="eastAsia"/>
                <w:sz w:val="21"/>
                <w:szCs w:val="21"/>
              </w:rPr>
              <w:t>上海麦克林生化有限公司</w:t>
            </w:r>
          </w:p>
        </w:tc>
      </w:tr>
      <w:tr w14:paraId="04752A8A">
        <w:tblPrEx/>
        <w:trPr>
          <w:cantSplit/>
          <w:trHeight w:val="454" w:hRule="exact"/>
          <w:jc w:val="center"/>
        </w:trPr>
        <w:tc>
          <w:tcPr>
            <w:tcW w:w="1843" w:type="dxa"/>
            <w:tcBorders>
              <w:right w:val="nil"/>
            </w:tcBorders>
            <w:vAlign w:val="center"/>
          </w:tcPr>
          <w:p w14:paraId="683A64DC">
            <w:pPr>
              <w:pStyle w:val="style0"/>
              <w:adjustRightInd w:val="false"/>
              <w:snapToGrid w:val="false"/>
              <w:spacing w:lineRule="auto" w:line="300"/>
              <w:jc w:val="center"/>
              <w:contextualSpacing/>
              <w:rPr>
                <w:rFonts w:cs="Calibri"/>
                <w:sz w:val="21"/>
                <w:szCs w:val="21"/>
              </w:rPr>
            </w:pPr>
            <w:r>
              <w:rPr>
                <w:rFonts w:cs="Calibri" w:hint="eastAsia"/>
                <w:sz w:val="21"/>
                <w:szCs w:val="21"/>
              </w:rPr>
              <w:t>甲酸</w:t>
            </w:r>
          </w:p>
        </w:tc>
        <w:tc>
          <w:tcPr>
            <w:tcW w:w="1985" w:type="dxa"/>
            <w:tcBorders>
              <w:left w:val="nil"/>
              <w:right w:val="nil"/>
            </w:tcBorders>
            <w:vAlign w:val="center"/>
          </w:tcPr>
          <w:p w14:paraId="26AB2614">
            <w:pPr>
              <w:pStyle w:val="style0"/>
              <w:adjustRightInd w:val="false"/>
              <w:snapToGrid w:val="false"/>
              <w:spacing w:lineRule="auto" w:line="300"/>
              <w:jc w:val="center"/>
              <w:contextualSpacing/>
              <w:rPr>
                <w:rFonts w:cs="Calibri"/>
                <w:sz w:val="21"/>
                <w:szCs w:val="21"/>
              </w:rPr>
            </w:pPr>
            <w:r>
              <w:rPr>
                <w:rFonts w:cs="Calibri" w:hint="eastAsia"/>
                <w:sz w:val="21"/>
                <w:szCs w:val="21"/>
              </w:rPr>
              <w:t>HCOOH</w:t>
            </w:r>
          </w:p>
        </w:tc>
        <w:tc>
          <w:tcPr>
            <w:tcW w:w="1275" w:type="dxa"/>
            <w:tcBorders>
              <w:left w:val="nil"/>
              <w:right w:val="nil"/>
            </w:tcBorders>
            <w:vAlign w:val="center"/>
          </w:tcPr>
          <w:p w14:paraId="356AEEAD">
            <w:pPr>
              <w:pStyle w:val="style0"/>
              <w:adjustRightInd w:val="false"/>
              <w:snapToGrid w:val="false"/>
              <w:spacing w:lineRule="auto" w:line="300"/>
              <w:jc w:val="center"/>
              <w:contextualSpacing/>
              <w:rPr>
                <w:rFonts w:cs="Calibri"/>
                <w:sz w:val="21"/>
                <w:szCs w:val="21"/>
              </w:rPr>
            </w:pPr>
            <w:r>
              <w:rPr>
                <w:rFonts w:cs="Calibri" w:hint="eastAsia"/>
                <w:sz w:val="21"/>
                <w:szCs w:val="21"/>
              </w:rPr>
              <w:t>A</w:t>
            </w:r>
            <w:r>
              <w:rPr>
                <w:rFonts w:cs="Calibri"/>
                <w:sz w:val="21"/>
                <w:szCs w:val="21"/>
              </w:rPr>
              <w:t>R,99%</w:t>
            </w:r>
          </w:p>
        </w:tc>
        <w:tc>
          <w:tcPr>
            <w:tcW w:w="3401" w:type="dxa"/>
            <w:tcBorders>
              <w:left w:val="nil"/>
              <w:right w:val="nil"/>
            </w:tcBorders>
            <w:vAlign w:val="center"/>
          </w:tcPr>
          <w:p w14:paraId="78A68556">
            <w:pPr>
              <w:pStyle w:val="style0"/>
              <w:adjustRightInd w:val="false"/>
              <w:snapToGrid w:val="false"/>
              <w:spacing w:lineRule="auto" w:line="300"/>
              <w:jc w:val="center"/>
              <w:contextualSpacing/>
              <w:rPr>
                <w:rFonts w:cs="Calibri"/>
                <w:sz w:val="21"/>
                <w:szCs w:val="21"/>
              </w:rPr>
            </w:pPr>
            <w:r>
              <w:rPr>
                <w:rFonts w:cs="Calibri" w:hint="eastAsia"/>
                <w:sz w:val="21"/>
                <w:szCs w:val="21"/>
              </w:rPr>
              <w:t>上海麦克林生化有限公司</w:t>
            </w:r>
          </w:p>
        </w:tc>
      </w:tr>
      <w:tr w14:paraId="19CAF602">
        <w:tblPrEx/>
        <w:trPr>
          <w:cantSplit/>
          <w:trHeight w:val="454" w:hRule="exact"/>
          <w:jc w:val="center"/>
        </w:trPr>
        <w:tc>
          <w:tcPr>
            <w:tcW w:w="1843" w:type="dxa"/>
            <w:tcBorders>
              <w:right w:val="nil"/>
            </w:tcBorders>
            <w:vAlign w:val="center"/>
          </w:tcPr>
          <w:p w14:paraId="575F5C23">
            <w:pPr>
              <w:pStyle w:val="style0"/>
              <w:adjustRightInd w:val="false"/>
              <w:snapToGrid w:val="false"/>
              <w:spacing w:lineRule="auto" w:line="300"/>
              <w:jc w:val="center"/>
              <w:contextualSpacing/>
              <w:rPr>
                <w:rFonts w:cs="Calibri"/>
                <w:sz w:val="21"/>
                <w:szCs w:val="21"/>
              </w:rPr>
            </w:pPr>
            <w:r>
              <w:rPr>
                <w:rFonts w:cs="Calibri" w:hint="eastAsia"/>
                <w:sz w:val="21"/>
                <w:szCs w:val="21"/>
              </w:rPr>
              <w:t>重铬酸钾溶液</w:t>
            </w:r>
          </w:p>
        </w:tc>
        <w:tc>
          <w:tcPr>
            <w:tcW w:w="1985" w:type="dxa"/>
            <w:tcBorders>
              <w:left w:val="nil"/>
              <w:right w:val="nil"/>
            </w:tcBorders>
            <w:vAlign w:val="center"/>
          </w:tcPr>
          <w:p w14:paraId="39104C9B">
            <w:pPr>
              <w:pStyle w:val="style0"/>
              <w:adjustRightInd w:val="false"/>
              <w:snapToGrid w:val="false"/>
              <w:spacing w:lineRule="auto" w:line="300"/>
              <w:jc w:val="center"/>
              <w:contextualSpacing/>
              <w:rPr>
                <w:rFonts w:cs="Calibri"/>
                <w:sz w:val="21"/>
                <w:szCs w:val="21"/>
              </w:rPr>
            </w:pPr>
            <w:r>
              <w:rPr>
                <w:rFonts w:cs="Calibri" w:hint="eastAsia"/>
                <w:sz w:val="21"/>
                <w:szCs w:val="21"/>
              </w:rPr>
              <w:t>K</w:t>
            </w:r>
            <w:r>
              <w:rPr>
                <w:rFonts w:cs="Calibri"/>
                <w:sz w:val="21"/>
                <w:szCs w:val="21"/>
                <w:vertAlign w:val="subscript"/>
              </w:rPr>
              <w:t>2</w:t>
            </w:r>
            <w:r>
              <w:rPr>
                <w:rFonts w:cs="Calibri" w:hint="eastAsia"/>
                <w:sz w:val="21"/>
                <w:szCs w:val="21"/>
              </w:rPr>
              <w:t>Cr</w:t>
            </w:r>
            <w:r>
              <w:rPr>
                <w:rFonts w:cs="Calibri"/>
                <w:sz w:val="21"/>
                <w:szCs w:val="21"/>
                <w:vertAlign w:val="subscript"/>
              </w:rPr>
              <w:t>2</w:t>
            </w:r>
            <w:r>
              <w:rPr>
                <w:rFonts w:cs="Calibri" w:hint="eastAsia"/>
                <w:sz w:val="21"/>
                <w:szCs w:val="21"/>
              </w:rPr>
              <w:t>O</w:t>
            </w:r>
            <w:r>
              <w:rPr>
                <w:rFonts w:cs="Calibri"/>
                <w:sz w:val="21"/>
                <w:szCs w:val="21"/>
                <w:vertAlign w:val="subscript"/>
              </w:rPr>
              <w:t>7</w:t>
            </w:r>
          </w:p>
        </w:tc>
        <w:tc>
          <w:tcPr>
            <w:tcW w:w="1275" w:type="dxa"/>
            <w:tcBorders>
              <w:left w:val="nil"/>
              <w:right w:val="nil"/>
            </w:tcBorders>
            <w:vAlign w:val="center"/>
          </w:tcPr>
          <w:p w14:paraId="7D193835">
            <w:pPr>
              <w:pStyle w:val="style0"/>
              <w:adjustRightInd w:val="false"/>
              <w:snapToGrid w:val="false"/>
              <w:spacing w:lineRule="auto" w:line="300"/>
              <w:jc w:val="center"/>
              <w:contextualSpacing/>
              <w:rPr>
                <w:rFonts w:cs="Calibri"/>
                <w:sz w:val="21"/>
                <w:szCs w:val="21"/>
              </w:rPr>
            </w:pPr>
            <w:r>
              <w:rPr>
                <w:rFonts w:cs="Calibri" w:hint="eastAsia"/>
                <w:sz w:val="21"/>
                <w:szCs w:val="21"/>
              </w:rPr>
              <w:t>1</w:t>
            </w:r>
            <w:r>
              <w:rPr>
                <w:rFonts w:cs="Calibri"/>
                <w:sz w:val="21"/>
                <w:szCs w:val="21"/>
              </w:rPr>
              <w:t>0%</w:t>
            </w:r>
          </w:p>
        </w:tc>
        <w:tc>
          <w:tcPr>
            <w:tcW w:w="3401" w:type="dxa"/>
            <w:tcBorders>
              <w:left w:val="nil"/>
              <w:right w:val="nil"/>
            </w:tcBorders>
            <w:vAlign w:val="center"/>
          </w:tcPr>
          <w:p w14:paraId="7512C8A7">
            <w:pPr>
              <w:pStyle w:val="style0"/>
              <w:adjustRightInd w:val="false"/>
              <w:snapToGrid w:val="false"/>
              <w:spacing w:lineRule="auto" w:line="300"/>
              <w:jc w:val="center"/>
              <w:contextualSpacing/>
              <w:rPr>
                <w:rFonts w:cs="Calibri"/>
                <w:sz w:val="21"/>
                <w:szCs w:val="21"/>
              </w:rPr>
            </w:pPr>
            <w:r>
              <w:rPr>
                <w:rFonts w:cs="Calibri" w:hint="eastAsia"/>
                <w:sz w:val="21"/>
                <w:szCs w:val="21"/>
              </w:rPr>
              <w:t>深圳高昂科技有限公司</w:t>
            </w:r>
          </w:p>
        </w:tc>
      </w:tr>
      <w:tr w14:paraId="3FBE843E">
        <w:tblPrEx/>
        <w:trPr>
          <w:cantSplit/>
          <w:trHeight w:val="454" w:hRule="exact"/>
          <w:jc w:val="center"/>
        </w:trPr>
        <w:tc>
          <w:tcPr>
            <w:tcW w:w="1843" w:type="dxa"/>
            <w:tcBorders>
              <w:right w:val="nil"/>
            </w:tcBorders>
            <w:vAlign w:val="center"/>
          </w:tcPr>
          <w:p w14:paraId="0524E78E">
            <w:pPr>
              <w:pStyle w:val="style0"/>
              <w:adjustRightInd w:val="false"/>
              <w:snapToGrid w:val="false"/>
              <w:spacing w:lineRule="auto" w:line="300"/>
              <w:jc w:val="center"/>
              <w:contextualSpacing/>
              <w:rPr>
                <w:rFonts w:cs="Calibri"/>
                <w:sz w:val="21"/>
                <w:szCs w:val="21"/>
              </w:rPr>
            </w:pPr>
            <w:r>
              <w:rPr>
                <w:rFonts w:cs="Calibri" w:hint="eastAsia"/>
                <w:sz w:val="21"/>
                <w:szCs w:val="21"/>
              </w:rPr>
              <w:t>聚四氟乙烯薄膜</w:t>
            </w:r>
          </w:p>
        </w:tc>
        <w:tc>
          <w:tcPr>
            <w:tcW w:w="1985" w:type="dxa"/>
            <w:tcBorders>
              <w:left w:val="nil"/>
              <w:right w:val="nil"/>
            </w:tcBorders>
            <w:vAlign w:val="center"/>
          </w:tcPr>
          <w:p w14:paraId="5DA3C3F7">
            <w:pPr>
              <w:pStyle w:val="style0"/>
              <w:adjustRightInd w:val="false"/>
              <w:snapToGrid w:val="false"/>
              <w:spacing w:lineRule="auto" w:line="300"/>
              <w:jc w:val="center"/>
              <w:contextualSpacing/>
              <w:rPr>
                <w:rFonts w:cs="Calibri"/>
                <w:sz w:val="21"/>
                <w:szCs w:val="21"/>
              </w:rPr>
            </w:pPr>
            <w:r>
              <w:rPr>
                <w:rFonts w:cs="Calibri"/>
                <w:sz w:val="21"/>
                <w:szCs w:val="21"/>
              </w:rPr>
              <w:t>(C</w:t>
            </w:r>
            <w:r>
              <w:rPr>
                <w:rFonts w:cs="Calibri"/>
                <w:sz w:val="21"/>
                <w:szCs w:val="21"/>
                <w:vertAlign w:val="subscript"/>
              </w:rPr>
              <w:t>2</w:t>
            </w:r>
            <w:r>
              <w:rPr>
                <w:rFonts w:cs="Calibri"/>
                <w:sz w:val="21"/>
                <w:szCs w:val="21"/>
              </w:rPr>
              <w:t>F</w:t>
            </w:r>
            <w:r>
              <w:rPr>
                <w:rFonts w:cs="Calibri"/>
                <w:sz w:val="21"/>
                <w:szCs w:val="21"/>
                <w:vertAlign w:val="subscript"/>
              </w:rPr>
              <w:t>4</w:t>
            </w:r>
            <w:r>
              <w:rPr>
                <w:rFonts w:cs="Calibri"/>
                <w:sz w:val="21"/>
                <w:szCs w:val="21"/>
              </w:rPr>
              <w:t>)</w:t>
            </w:r>
            <w:r>
              <w:rPr>
                <w:rFonts w:cs="Calibri"/>
                <w:sz w:val="21"/>
                <w:szCs w:val="21"/>
                <w:vertAlign w:val="subscript"/>
              </w:rPr>
              <w:t>n</w:t>
            </w:r>
          </w:p>
        </w:tc>
        <w:tc>
          <w:tcPr>
            <w:tcW w:w="1275" w:type="dxa"/>
            <w:tcBorders>
              <w:left w:val="nil"/>
              <w:right w:val="nil"/>
            </w:tcBorders>
            <w:vAlign w:val="center"/>
          </w:tcPr>
          <w:p w14:paraId="7760404F">
            <w:pPr>
              <w:pStyle w:val="style0"/>
              <w:adjustRightInd w:val="false"/>
              <w:snapToGrid w:val="false"/>
              <w:spacing w:lineRule="auto" w:line="300"/>
              <w:jc w:val="center"/>
              <w:contextualSpacing/>
              <w:rPr>
                <w:rFonts w:cs="Calibri"/>
                <w:sz w:val="21"/>
                <w:szCs w:val="21"/>
              </w:rPr>
            </w:pPr>
            <w:r>
              <w:rPr>
                <w:rFonts w:cs="Calibri" w:hint="eastAsia"/>
                <w:sz w:val="21"/>
                <w:szCs w:val="21"/>
              </w:rPr>
              <w:t>/</w:t>
            </w:r>
          </w:p>
        </w:tc>
        <w:tc>
          <w:tcPr>
            <w:tcW w:w="3401" w:type="dxa"/>
            <w:tcBorders>
              <w:left w:val="nil"/>
              <w:right w:val="nil"/>
            </w:tcBorders>
            <w:vAlign w:val="center"/>
          </w:tcPr>
          <w:p w14:paraId="25FD71E7">
            <w:pPr>
              <w:pStyle w:val="style0"/>
              <w:adjustRightInd w:val="false"/>
              <w:snapToGrid w:val="false"/>
              <w:spacing w:lineRule="auto" w:line="300"/>
              <w:jc w:val="center"/>
              <w:contextualSpacing/>
              <w:rPr>
                <w:rFonts w:cs="Calibri"/>
                <w:sz w:val="21"/>
                <w:szCs w:val="21"/>
              </w:rPr>
            </w:pPr>
            <w:r>
              <w:rPr>
                <w:rFonts w:cs="Calibri" w:hint="eastAsia"/>
                <w:sz w:val="21"/>
                <w:szCs w:val="21"/>
              </w:rPr>
              <w:t>上海道冠橡塑五金有限公司</w:t>
            </w:r>
          </w:p>
        </w:tc>
      </w:tr>
      <w:tr w14:paraId="509FDFA2">
        <w:tblPrEx/>
        <w:trPr>
          <w:cantSplit/>
          <w:trHeight w:val="454" w:hRule="exact"/>
          <w:jc w:val="center"/>
        </w:trPr>
        <w:tc>
          <w:tcPr>
            <w:tcW w:w="1843" w:type="dxa"/>
            <w:tcBorders>
              <w:right w:val="nil"/>
            </w:tcBorders>
            <w:vAlign w:val="center"/>
          </w:tcPr>
          <w:p w14:paraId="0AE8E173">
            <w:pPr>
              <w:pStyle w:val="style0"/>
              <w:adjustRightInd w:val="false"/>
              <w:snapToGrid w:val="false"/>
              <w:spacing w:lineRule="auto" w:line="300"/>
              <w:jc w:val="center"/>
              <w:contextualSpacing/>
              <w:rPr>
                <w:rFonts w:cs="Calibri"/>
                <w:sz w:val="21"/>
                <w:szCs w:val="21"/>
              </w:rPr>
            </w:pPr>
            <w:r>
              <w:rPr>
                <w:rFonts w:cs="Calibri" w:hint="eastAsia"/>
                <w:sz w:val="21"/>
                <w:szCs w:val="21"/>
              </w:rPr>
              <w:t>石墨片</w:t>
            </w:r>
          </w:p>
        </w:tc>
        <w:tc>
          <w:tcPr>
            <w:tcW w:w="1985" w:type="dxa"/>
            <w:tcBorders>
              <w:left w:val="nil"/>
              <w:right w:val="nil"/>
            </w:tcBorders>
            <w:vAlign w:val="center"/>
          </w:tcPr>
          <w:p w14:paraId="0B239631">
            <w:pPr>
              <w:pStyle w:val="style0"/>
              <w:adjustRightInd w:val="false"/>
              <w:snapToGrid w:val="false"/>
              <w:spacing w:lineRule="auto" w:line="300"/>
              <w:jc w:val="center"/>
              <w:contextualSpacing/>
              <w:rPr>
                <w:rFonts w:cs="Calibri"/>
                <w:sz w:val="21"/>
                <w:szCs w:val="21"/>
              </w:rPr>
            </w:pPr>
            <w:r>
              <w:rPr>
                <w:rFonts w:cs="Calibri" w:hint="eastAsia"/>
                <w:sz w:val="21"/>
                <w:szCs w:val="21"/>
              </w:rPr>
              <w:t>C</w:t>
            </w:r>
          </w:p>
        </w:tc>
        <w:tc>
          <w:tcPr>
            <w:tcW w:w="1275" w:type="dxa"/>
            <w:tcBorders>
              <w:left w:val="nil"/>
              <w:right w:val="nil"/>
            </w:tcBorders>
            <w:vAlign w:val="center"/>
          </w:tcPr>
          <w:p w14:paraId="452952FD">
            <w:pPr>
              <w:pStyle w:val="style0"/>
              <w:adjustRightInd w:val="false"/>
              <w:snapToGrid w:val="false"/>
              <w:spacing w:lineRule="auto" w:line="300"/>
              <w:jc w:val="center"/>
              <w:contextualSpacing/>
              <w:rPr>
                <w:rFonts w:cs="Calibri"/>
                <w:sz w:val="21"/>
                <w:szCs w:val="21"/>
              </w:rPr>
            </w:pPr>
            <w:r>
              <w:rPr>
                <w:rFonts w:cs="Calibri" w:hint="eastAsia"/>
                <w:sz w:val="21"/>
                <w:szCs w:val="21"/>
              </w:rPr>
              <w:t>9</w:t>
            </w:r>
            <w:r>
              <w:rPr>
                <w:rFonts w:cs="Calibri"/>
                <w:sz w:val="21"/>
                <w:szCs w:val="21"/>
              </w:rPr>
              <w:t>9.99%</w:t>
            </w:r>
          </w:p>
        </w:tc>
        <w:tc>
          <w:tcPr>
            <w:tcW w:w="3401" w:type="dxa"/>
            <w:tcBorders>
              <w:left w:val="nil"/>
              <w:right w:val="nil"/>
            </w:tcBorders>
            <w:vAlign w:val="center"/>
          </w:tcPr>
          <w:p w14:paraId="749C33E5">
            <w:pPr>
              <w:pStyle w:val="style0"/>
              <w:adjustRightInd w:val="false"/>
              <w:snapToGrid w:val="false"/>
              <w:spacing w:lineRule="auto" w:line="300"/>
              <w:jc w:val="center"/>
              <w:contextualSpacing/>
              <w:rPr>
                <w:rFonts w:cs="Calibri"/>
                <w:sz w:val="21"/>
                <w:szCs w:val="21"/>
              </w:rPr>
            </w:pPr>
            <w:r>
              <w:rPr>
                <w:rFonts w:cs="Calibri" w:hint="eastAsia"/>
                <w:sz w:val="21"/>
                <w:szCs w:val="21"/>
              </w:rPr>
              <w:t>昆山亿杰菱电子科技有限公司</w:t>
            </w:r>
          </w:p>
        </w:tc>
      </w:tr>
      <w:tr w14:paraId="636B457F">
        <w:tblPrEx/>
        <w:trPr>
          <w:cantSplit/>
          <w:trHeight w:val="454" w:hRule="exact"/>
          <w:jc w:val="center"/>
        </w:trPr>
        <w:tc>
          <w:tcPr>
            <w:tcW w:w="1843" w:type="dxa"/>
            <w:tcBorders>
              <w:right w:val="nil"/>
            </w:tcBorders>
            <w:vAlign w:val="center"/>
          </w:tcPr>
          <w:p w14:paraId="686A8E8F">
            <w:pPr>
              <w:pStyle w:val="style0"/>
              <w:adjustRightInd w:val="false"/>
              <w:snapToGrid w:val="false"/>
              <w:spacing w:lineRule="auto" w:line="300"/>
              <w:jc w:val="center"/>
              <w:contextualSpacing/>
              <w:rPr>
                <w:rFonts w:cs="Calibri"/>
                <w:sz w:val="21"/>
                <w:szCs w:val="21"/>
              </w:rPr>
            </w:pPr>
            <w:r>
              <w:rPr>
                <w:rFonts w:cs="Calibri" w:hint="eastAsia"/>
                <w:sz w:val="21"/>
                <w:szCs w:val="21"/>
              </w:rPr>
              <w:t>SAC</w:t>
            </w:r>
            <w:r>
              <w:rPr>
                <w:rFonts w:cs="Calibri"/>
                <w:sz w:val="21"/>
                <w:szCs w:val="21"/>
              </w:rPr>
              <w:t>305</w:t>
            </w:r>
            <w:r>
              <w:rPr>
                <w:rFonts w:cs="Calibri" w:hint="eastAsia"/>
                <w:sz w:val="21"/>
                <w:szCs w:val="21"/>
              </w:rPr>
              <w:t>钎料片</w:t>
            </w:r>
          </w:p>
        </w:tc>
        <w:tc>
          <w:tcPr>
            <w:tcW w:w="1985" w:type="dxa"/>
            <w:tcBorders>
              <w:left w:val="nil"/>
              <w:right w:val="nil"/>
            </w:tcBorders>
            <w:vAlign w:val="center"/>
          </w:tcPr>
          <w:p w14:paraId="25E680F4">
            <w:pPr>
              <w:pStyle w:val="style0"/>
              <w:adjustRightInd w:val="false"/>
              <w:snapToGrid w:val="false"/>
              <w:spacing w:lineRule="auto" w:line="300"/>
              <w:jc w:val="center"/>
              <w:contextualSpacing/>
              <w:rPr>
                <w:rFonts w:cs="Calibri"/>
                <w:sz w:val="21"/>
                <w:szCs w:val="21"/>
              </w:rPr>
            </w:pPr>
            <w:r>
              <w:rPr>
                <w:rFonts w:cs="Calibri" w:hint="eastAsia"/>
                <w:sz w:val="21"/>
                <w:szCs w:val="21"/>
              </w:rPr>
              <w:t>S</w:t>
            </w:r>
            <w:r>
              <w:rPr>
                <w:rFonts w:cs="Calibri"/>
                <w:sz w:val="21"/>
                <w:szCs w:val="21"/>
              </w:rPr>
              <w:t>n3.0Ag0.5Cu</w:t>
            </w:r>
          </w:p>
        </w:tc>
        <w:tc>
          <w:tcPr>
            <w:tcW w:w="1275" w:type="dxa"/>
            <w:tcBorders>
              <w:left w:val="nil"/>
              <w:right w:val="nil"/>
            </w:tcBorders>
            <w:vAlign w:val="center"/>
          </w:tcPr>
          <w:p w14:paraId="5C41E8ED">
            <w:pPr>
              <w:pStyle w:val="style0"/>
              <w:adjustRightInd w:val="false"/>
              <w:snapToGrid w:val="false"/>
              <w:spacing w:lineRule="auto" w:line="300"/>
              <w:jc w:val="center"/>
              <w:contextualSpacing/>
              <w:rPr>
                <w:rFonts w:cs="Calibri"/>
                <w:sz w:val="21"/>
                <w:szCs w:val="21"/>
              </w:rPr>
            </w:pPr>
            <w:r>
              <w:rPr>
                <w:rFonts w:cs="Calibri" w:hint="eastAsia"/>
                <w:sz w:val="21"/>
                <w:szCs w:val="21"/>
              </w:rPr>
              <w:t>9</w:t>
            </w:r>
            <w:r>
              <w:rPr>
                <w:rFonts w:cs="Calibri"/>
                <w:sz w:val="21"/>
                <w:szCs w:val="21"/>
              </w:rPr>
              <w:t>9.99%</w:t>
            </w:r>
          </w:p>
        </w:tc>
        <w:tc>
          <w:tcPr>
            <w:tcW w:w="3401" w:type="dxa"/>
            <w:tcBorders>
              <w:left w:val="nil"/>
              <w:right w:val="nil"/>
            </w:tcBorders>
            <w:vAlign w:val="center"/>
          </w:tcPr>
          <w:p w14:paraId="39A45289">
            <w:pPr>
              <w:pStyle w:val="style0"/>
              <w:adjustRightInd w:val="false"/>
              <w:snapToGrid w:val="false"/>
              <w:spacing w:lineRule="auto" w:line="300"/>
              <w:jc w:val="center"/>
              <w:contextualSpacing/>
              <w:rPr>
                <w:rFonts w:cs="Calibri"/>
                <w:sz w:val="21"/>
                <w:szCs w:val="21"/>
              </w:rPr>
            </w:pPr>
            <w:r>
              <w:rPr>
                <w:rFonts w:cs="Calibri" w:hint="eastAsia"/>
                <w:sz w:val="21"/>
                <w:szCs w:val="21"/>
              </w:rPr>
              <w:t>镇江泛亚达电子科技有限公司</w:t>
            </w:r>
          </w:p>
        </w:tc>
      </w:tr>
      <w:tr w14:paraId="2A953BFF">
        <w:tblPrEx/>
        <w:trPr>
          <w:cantSplit/>
          <w:trHeight w:val="454" w:hRule="exact"/>
          <w:jc w:val="center"/>
        </w:trPr>
        <w:tc>
          <w:tcPr>
            <w:tcW w:w="1843" w:type="dxa"/>
            <w:tcBorders>
              <w:right w:val="nil"/>
            </w:tcBorders>
            <w:vAlign w:val="center"/>
          </w:tcPr>
          <w:p w14:paraId="594D3333">
            <w:pPr>
              <w:pStyle w:val="style0"/>
              <w:adjustRightInd w:val="false"/>
              <w:snapToGrid w:val="false"/>
              <w:spacing w:lineRule="auto" w:line="300"/>
              <w:jc w:val="center"/>
              <w:contextualSpacing/>
              <w:rPr>
                <w:rFonts w:cs="Calibri"/>
                <w:sz w:val="21"/>
                <w:szCs w:val="21"/>
              </w:rPr>
            </w:pPr>
            <w:r>
              <w:rPr>
                <w:rFonts w:cs="Calibri" w:hint="eastAsia"/>
                <w:sz w:val="21"/>
                <w:szCs w:val="21"/>
              </w:rPr>
              <w:t>助焊膏</w:t>
            </w:r>
          </w:p>
        </w:tc>
        <w:tc>
          <w:tcPr>
            <w:tcW w:w="1985" w:type="dxa"/>
            <w:tcBorders>
              <w:left w:val="nil"/>
              <w:right w:val="nil"/>
            </w:tcBorders>
            <w:vAlign w:val="center"/>
          </w:tcPr>
          <w:p w14:paraId="10D15A70">
            <w:pPr>
              <w:pStyle w:val="style0"/>
              <w:adjustRightInd w:val="false"/>
              <w:snapToGrid w:val="false"/>
              <w:spacing w:lineRule="auto" w:line="300"/>
              <w:jc w:val="center"/>
              <w:contextualSpacing/>
              <w:rPr>
                <w:rFonts w:cs="Calibri"/>
                <w:sz w:val="21"/>
                <w:szCs w:val="21"/>
              </w:rPr>
            </w:pPr>
            <w:r>
              <w:rPr>
                <w:rFonts w:cs="Calibri" w:hint="eastAsia"/>
                <w:sz w:val="21"/>
                <w:szCs w:val="21"/>
              </w:rPr>
              <w:t>/</w:t>
            </w:r>
          </w:p>
        </w:tc>
        <w:tc>
          <w:tcPr>
            <w:tcW w:w="1275" w:type="dxa"/>
            <w:tcBorders>
              <w:left w:val="nil"/>
              <w:right w:val="nil"/>
            </w:tcBorders>
            <w:vAlign w:val="center"/>
          </w:tcPr>
          <w:p w14:paraId="21C6BAA2">
            <w:pPr>
              <w:pStyle w:val="style0"/>
              <w:adjustRightInd w:val="false"/>
              <w:snapToGrid w:val="false"/>
              <w:spacing w:lineRule="auto" w:line="300"/>
              <w:jc w:val="center"/>
              <w:contextualSpacing/>
              <w:rPr>
                <w:rFonts w:cs="Calibri"/>
                <w:sz w:val="21"/>
                <w:szCs w:val="21"/>
              </w:rPr>
            </w:pPr>
            <w:r>
              <w:rPr>
                <w:rFonts w:cs="Calibri" w:hint="eastAsia"/>
                <w:sz w:val="21"/>
                <w:szCs w:val="21"/>
              </w:rPr>
              <w:t>/</w:t>
            </w:r>
          </w:p>
          <w:commentRangeStart w:id="20"/>
        </w:tc>
        <w:tc>
          <w:tcPr>
            <w:tcW w:w="3401" w:type="dxa"/>
            <w:tcBorders>
              <w:left w:val="nil"/>
              <w:right w:val="nil"/>
            </w:tcBorders>
            <w:vAlign w:val="center"/>
          </w:tcPr>
          <w:p w14:paraId="05860C1C">
            <w:pPr>
              <w:pStyle w:val="style0"/>
              <w:adjustRightInd w:val="false"/>
              <w:snapToGrid w:val="false"/>
              <w:spacing w:lineRule="auto" w:line="300"/>
              <w:jc w:val="center"/>
              <w:contextualSpacing/>
              <w:rPr>
                <w:rFonts w:cs="Calibri"/>
                <w:sz w:val="21"/>
                <w:szCs w:val="21"/>
              </w:rPr>
            </w:pPr>
            <w:r>
              <w:rPr>
                <w:rFonts w:cs="Calibri" w:hint="eastAsia"/>
                <w:sz w:val="21"/>
                <w:szCs w:val="21"/>
              </w:rPr>
              <w:t>深圳凯利顺科技有限公司</w:t>
            </w:r>
            <w:commentRangeEnd w:id="20"/>
            <w:r>
              <w:rPr/>
              <w:commentReference w:id="20"/>
            </w:r>
          </w:p>
        </w:tc>
      </w:tr>
    </w:tbl>
    <w:p w14:paraId="0FD89002">
      <w:pPr>
        <w:pStyle w:val="style0"/>
        <w:adjustRightInd w:val="false"/>
        <w:snapToGrid w:val="false"/>
        <w:spacing w:lineRule="auto" w:line="300"/>
        <w:ind w:firstLine="480" w:firstLineChars="200"/>
        <w:contextualSpacing/>
        <w:rPr/>
      </w:pPr>
    </w:p>
    <w:p w14:paraId="50CC05A1">
      <w:pPr>
        <w:pStyle w:val="style0"/>
        <w:adjustRightInd w:val="false"/>
        <w:snapToGrid w:val="false"/>
        <w:spacing w:lineRule="auto" w:line="300"/>
        <w:ind w:firstLine="480" w:firstLineChars="200"/>
        <w:contextualSpacing/>
        <w:rPr>
          <w:rFonts w:hint="eastAsia"/>
        </w:rPr>
      </w:pPr>
    </w:p>
    <w:p w14:paraId="1C2ADD5B">
      <w:pPr>
        <w:pStyle w:val="style0"/>
        <w:adjustRightInd w:val="false"/>
        <w:snapToGrid w:val="false"/>
        <w:spacing w:lineRule="auto" w:line="300"/>
        <w:ind w:firstLine="480" w:firstLineChars="200"/>
        <w:contextualSpacing/>
        <w:rPr>
          <w:rFonts w:hint="eastAsia"/>
        </w:rPr>
      </w:pPr>
    </w:p>
    <w:p w14:paraId="52B28D2C">
      <w:pPr>
        <w:pStyle w:val="style0"/>
        <w:adjustRightInd w:val="false"/>
        <w:snapToGrid w:val="false"/>
        <w:spacing w:lineRule="auto" w:line="300"/>
        <w:ind w:firstLine="480" w:firstLineChars="200"/>
        <w:contextualSpacing/>
        <w:rPr/>
      </w:pPr>
      <w:r>
        <w:rPr>
          <w:rFonts w:hint="eastAsia"/>
        </w:rPr>
        <w:t>本课题所使用的实验仪器具体信息见表</w:t>
      </w:r>
      <w:r>
        <w:rPr>
          <w:rFonts w:hint="eastAsia"/>
          <w:lang w:val="en-US" w:eastAsia="zh-CN"/>
        </w:rPr>
        <w:t>5</w:t>
      </w:r>
      <w:r>
        <w:t>-2</w:t>
      </w:r>
      <w:r>
        <w:rPr>
          <w:rFonts w:hint="eastAsia"/>
        </w:rPr>
        <w:t>。</w:t>
      </w:r>
    </w:p>
    <w:p w14:paraId="77577A62">
      <w:pPr>
        <w:pStyle w:val="style0"/>
        <w:widowControl/>
        <w:snapToGrid w:val="false"/>
        <w:spacing w:before="195" w:beforeLines="50" w:after="195" w:afterLines="50" w:lineRule="auto" w:line="300"/>
        <w:jc w:val="center"/>
        <w:contextualSpacing/>
        <w:rPr>
          <w:rFonts w:cs="Calibri"/>
          <w:sz w:val="21"/>
          <w:szCs w:val="21"/>
        </w:rPr>
      </w:pPr>
      <w:r>
        <w:rPr>
          <w:rFonts w:cs="Calibri" w:hint="eastAsia"/>
          <w:sz w:val="21"/>
          <w:szCs w:val="21"/>
        </w:rPr>
        <w:t>表</w:t>
      </w:r>
      <w:r>
        <w:rPr>
          <w:rFonts w:cs="Calibri" w:hint="eastAsia"/>
          <w:sz w:val="21"/>
          <w:szCs w:val="21"/>
          <w:lang w:val="en-US" w:eastAsia="zh-CN"/>
        </w:rPr>
        <w:t>5</w:t>
      </w:r>
      <w:r>
        <w:rPr>
          <w:rFonts w:cs="Calibri"/>
          <w:sz w:val="21"/>
          <w:szCs w:val="21"/>
        </w:rPr>
        <w:t xml:space="preserve">-2  </w:t>
      </w:r>
      <w:r>
        <w:rPr>
          <w:rFonts w:cs="Calibri" w:hint="eastAsia"/>
          <w:sz w:val="21"/>
          <w:szCs w:val="21"/>
        </w:rPr>
        <w:t>本课题使用的仪器设备信息</w:t>
      </w:r>
    </w:p>
    <w:tbl>
      <w:tblPr>
        <w:tblStyle w:val="style105"/>
        <w:tblW w:w="8574" w:type="dxa"/>
        <w:jc w:val="center"/>
        <w:tblBorders>
          <w:top w:val="single" w:sz="12" w:space="0" w:color="auto"/>
          <w:left w:val="none" w:sz="0" w:space="0" w:color="auto"/>
          <w:bottom w:val="single" w:sz="12" w:space="0" w:color="auto"/>
          <w:right w:val="none" w:sz="0" w:space="0" w:color="auto"/>
          <w:insideH w:val="single" w:sz="4" w:space="0" w:color="auto"/>
          <w:insideV w:val="none" w:sz="0" w:space="0" w:color="auto"/>
        </w:tblBorders>
        <w:tblLayout w:type="fixed"/>
        <w:tblCellMar>
          <w:top w:w="0" w:type="dxa"/>
          <w:left w:w="108" w:type="dxa"/>
          <w:bottom w:w="0" w:type="dxa"/>
          <w:right w:w="108" w:type="dxa"/>
        </w:tblCellMar>
      </w:tblPr>
      <w:tblGrid>
        <w:gridCol w:w="2410"/>
        <w:gridCol w:w="4253"/>
        <w:gridCol w:w="1911"/>
      </w:tblGrid>
      <w:tr w14:paraId="52C9688D">
        <w:trPr>
          <w:trHeight w:val="454" w:hRule="exact"/>
          <w:jc w:val="center"/>
        </w:trPr>
        <w:tc>
          <w:tcPr>
            <w:tcW w:w="2410" w:type="dxa"/>
            <w:tcBorders>
              <w:bottom w:val="single" w:sz="4" w:space="0" w:color="auto"/>
            </w:tcBorders>
            <w:vAlign w:val="center"/>
          </w:tcPr>
          <w:p w14:paraId="179F493C">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设备名称</w:t>
            </w:r>
          </w:p>
        </w:tc>
        <w:tc>
          <w:tcPr>
            <w:tcW w:w="4253" w:type="dxa"/>
            <w:tcBorders>
              <w:bottom w:val="single" w:sz="4" w:space="0" w:color="auto"/>
            </w:tcBorders>
            <w:vAlign w:val="center"/>
          </w:tcPr>
          <w:p w14:paraId="272CD3E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生产厂家</w:t>
            </w:r>
          </w:p>
        </w:tc>
        <w:tc>
          <w:tcPr>
            <w:tcW w:w="1911" w:type="dxa"/>
            <w:tcBorders>
              <w:bottom w:val="single" w:sz="4" w:space="0" w:color="auto"/>
            </w:tcBorders>
            <w:vAlign w:val="center"/>
          </w:tcPr>
          <w:p w14:paraId="553A1F4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型号</w:t>
            </w:r>
          </w:p>
        </w:tc>
      </w:tr>
      <w:tr w14:paraId="1FF745F0">
        <w:tblPrEx/>
        <w:trPr>
          <w:trHeight w:val="454" w:hRule="exact"/>
          <w:jc w:val="center"/>
        </w:trPr>
        <w:tc>
          <w:tcPr>
            <w:tcW w:w="2410" w:type="dxa"/>
            <w:tcBorders>
              <w:top w:val="single" w:sz="4" w:space="0" w:color="auto"/>
              <w:bottom w:val="nil"/>
            </w:tcBorders>
            <w:vAlign w:val="center"/>
          </w:tcPr>
          <w:p w14:paraId="71E1EEF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数显电子天平</w:t>
            </w:r>
          </w:p>
        </w:tc>
        <w:tc>
          <w:tcPr>
            <w:tcW w:w="4253" w:type="dxa"/>
            <w:tcBorders>
              <w:top w:val="single" w:sz="4" w:space="0" w:color="auto"/>
              <w:bottom w:val="nil"/>
            </w:tcBorders>
            <w:vAlign w:val="center"/>
          </w:tcPr>
          <w:p w14:paraId="7987516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杭州万特衡器有限公司</w:t>
            </w:r>
          </w:p>
        </w:tc>
        <w:tc>
          <w:tcPr>
            <w:tcW w:w="1911" w:type="dxa"/>
            <w:tcBorders>
              <w:top w:val="single" w:sz="4" w:space="0" w:color="auto"/>
              <w:bottom w:val="nil"/>
            </w:tcBorders>
            <w:vAlign w:val="center"/>
          </w:tcPr>
          <w:p w14:paraId="57D607DB">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C3002</w:t>
            </w:r>
          </w:p>
        </w:tc>
      </w:tr>
      <w:tr w14:paraId="4E18CAAC">
        <w:tblPrEx/>
        <w:trPr>
          <w:trHeight w:val="454" w:hRule="exact"/>
          <w:jc w:val="center"/>
        </w:trPr>
        <w:tc>
          <w:tcPr>
            <w:tcW w:w="2410" w:type="dxa"/>
            <w:tcBorders>
              <w:top w:val="nil"/>
              <w:bottom w:val="nil"/>
            </w:tcBorders>
            <w:vAlign w:val="center"/>
          </w:tcPr>
          <w:p w14:paraId="1DE1072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超声波清洗机</w:t>
            </w:r>
          </w:p>
        </w:tc>
        <w:tc>
          <w:tcPr>
            <w:tcW w:w="4253" w:type="dxa"/>
            <w:tcBorders>
              <w:top w:val="nil"/>
              <w:bottom w:val="nil"/>
            </w:tcBorders>
            <w:vAlign w:val="center"/>
          </w:tcPr>
          <w:p w14:paraId="50CDC55C">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上海安亭科学仪器厂</w:t>
            </w:r>
          </w:p>
        </w:tc>
        <w:tc>
          <w:tcPr>
            <w:tcW w:w="1911" w:type="dxa"/>
            <w:tcBorders>
              <w:top w:val="nil"/>
              <w:bottom w:val="nil"/>
            </w:tcBorders>
            <w:vAlign w:val="center"/>
          </w:tcPr>
          <w:p w14:paraId="0ADC0110">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YL-0605</w:t>
            </w:r>
          </w:p>
        </w:tc>
      </w:tr>
      <w:tr w14:paraId="4B63564A">
        <w:tblPrEx/>
        <w:trPr>
          <w:trHeight w:val="454" w:hRule="exact"/>
          <w:jc w:val="center"/>
        </w:trPr>
        <w:tc>
          <w:tcPr>
            <w:tcW w:w="2410" w:type="dxa"/>
            <w:tcBorders>
              <w:top w:val="nil"/>
              <w:bottom w:val="nil"/>
            </w:tcBorders>
            <w:vAlign w:val="center"/>
          </w:tcPr>
          <w:p w14:paraId="676E4D25">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行星式重力搅拌机</w:t>
            </w:r>
          </w:p>
        </w:tc>
        <w:tc>
          <w:tcPr>
            <w:tcW w:w="4253" w:type="dxa"/>
            <w:tcBorders>
              <w:top w:val="nil"/>
              <w:bottom w:val="nil"/>
            </w:tcBorders>
            <w:vAlign w:val="center"/>
          </w:tcPr>
          <w:p w14:paraId="0931D47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河北北弘实业有限公司</w:t>
            </w:r>
          </w:p>
        </w:tc>
        <w:tc>
          <w:tcPr>
            <w:tcW w:w="1911" w:type="dxa"/>
            <w:tcBorders>
              <w:top w:val="nil"/>
              <w:bottom w:val="nil"/>
            </w:tcBorders>
            <w:vAlign w:val="center"/>
          </w:tcPr>
          <w:p w14:paraId="69E1A51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BHJ-</w:t>
            </w:r>
            <w:r>
              <w:rPr>
                <w:rFonts w:cs="Calibri"/>
                <w:sz w:val="21"/>
                <w:szCs w:val="21"/>
              </w:rPr>
              <w:t>7</w:t>
            </w:r>
          </w:p>
        </w:tc>
      </w:tr>
      <w:tr w14:paraId="3CB2851C">
        <w:tblPrEx/>
        <w:trPr>
          <w:trHeight w:val="454" w:hRule="exact"/>
          <w:jc w:val="center"/>
        </w:trPr>
        <w:tc>
          <w:tcPr>
            <w:tcW w:w="2410" w:type="dxa"/>
            <w:tcBorders>
              <w:top w:val="nil"/>
              <w:bottom w:val="nil"/>
            </w:tcBorders>
            <w:vAlign w:val="center"/>
          </w:tcPr>
          <w:p w14:paraId="690971D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分离式恒温水浴锅</w:t>
            </w:r>
          </w:p>
        </w:tc>
        <w:tc>
          <w:tcPr>
            <w:tcW w:w="4253" w:type="dxa"/>
            <w:tcBorders>
              <w:top w:val="nil"/>
              <w:bottom w:val="nil"/>
            </w:tcBorders>
            <w:vAlign w:val="center"/>
          </w:tcPr>
          <w:p w14:paraId="0420A83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金坛市白塔新宝仪器厂</w:t>
            </w:r>
          </w:p>
        </w:tc>
        <w:tc>
          <w:tcPr>
            <w:tcW w:w="1911" w:type="dxa"/>
            <w:tcBorders>
              <w:top w:val="nil"/>
              <w:bottom w:val="nil"/>
            </w:tcBorders>
            <w:vAlign w:val="center"/>
          </w:tcPr>
          <w:p w14:paraId="688B7D6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HH-</w:t>
            </w:r>
            <w:r>
              <w:rPr>
                <w:rFonts w:cs="Calibri"/>
                <w:sz w:val="21"/>
                <w:szCs w:val="21"/>
              </w:rPr>
              <w:t>2</w:t>
            </w:r>
          </w:p>
        </w:tc>
      </w:tr>
      <w:tr w14:paraId="4C41AC80">
        <w:tblPrEx/>
        <w:trPr>
          <w:trHeight w:val="454" w:hRule="exact"/>
          <w:jc w:val="center"/>
        </w:trPr>
        <w:tc>
          <w:tcPr>
            <w:tcW w:w="2410" w:type="dxa"/>
            <w:tcBorders>
              <w:top w:val="nil"/>
              <w:bottom w:val="nil"/>
            </w:tcBorders>
            <w:vAlign w:val="center"/>
          </w:tcPr>
          <w:p w14:paraId="15574BA8">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液压式压片机</w:t>
            </w:r>
          </w:p>
        </w:tc>
        <w:tc>
          <w:tcPr>
            <w:tcW w:w="4253" w:type="dxa"/>
            <w:tcBorders>
              <w:top w:val="nil"/>
              <w:bottom w:val="nil"/>
            </w:tcBorders>
            <w:vAlign w:val="center"/>
          </w:tcPr>
          <w:p w14:paraId="5A9B367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长沙米淇仪器有限公司</w:t>
            </w:r>
          </w:p>
        </w:tc>
        <w:tc>
          <w:tcPr>
            <w:tcW w:w="1911" w:type="dxa"/>
            <w:tcBorders>
              <w:top w:val="nil"/>
              <w:bottom w:val="nil"/>
            </w:tcBorders>
            <w:vAlign w:val="center"/>
          </w:tcPr>
          <w:p w14:paraId="0B936605">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MC-12</w:t>
            </w:r>
          </w:p>
        </w:tc>
      </w:tr>
      <w:tr w14:paraId="40697F0A">
        <w:tblPrEx/>
        <w:trPr>
          <w:trHeight w:val="454" w:hRule="exact"/>
          <w:jc w:val="center"/>
        </w:trPr>
        <w:tc>
          <w:tcPr>
            <w:tcW w:w="2410" w:type="dxa"/>
            <w:tcBorders>
              <w:top w:val="nil"/>
              <w:bottom w:val="nil"/>
            </w:tcBorders>
            <w:vAlign w:val="center"/>
          </w:tcPr>
          <w:p w14:paraId="49DA44C5">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真空封口机</w:t>
            </w:r>
          </w:p>
        </w:tc>
        <w:tc>
          <w:tcPr>
            <w:tcW w:w="4253" w:type="dxa"/>
            <w:tcBorders>
              <w:top w:val="nil"/>
              <w:bottom w:val="nil"/>
            </w:tcBorders>
            <w:vAlign w:val="center"/>
          </w:tcPr>
          <w:p w14:paraId="6D43200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美的集团股份有限公司</w:t>
            </w:r>
          </w:p>
        </w:tc>
        <w:tc>
          <w:tcPr>
            <w:tcW w:w="1911" w:type="dxa"/>
            <w:tcBorders>
              <w:top w:val="nil"/>
              <w:bottom w:val="nil"/>
            </w:tcBorders>
            <w:vAlign w:val="center"/>
          </w:tcPr>
          <w:p w14:paraId="7B3DBF9C">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MJ</w:t>
            </w:r>
            <w:r>
              <w:rPr>
                <w:rFonts w:cs="Calibri"/>
                <w:sz w:val="21"/>
                <w:szCs w:val="21"/>
              </w:rPr>
              <w:t>-</w:t>
            </w:r>
            <w:r>
              <w:rPr>
                <w:rFonts w:cs="Calibri" w:hint="eastAsia"/>
                <w:sz w:val="21"/>
                <w:szCs w:val="21"/>
              </w:rPr>
              <w:t>CF</w:t>
            </w:r>
            <w:r>
              <w:rPr>
                <w:rFonts w:cs="Calibri"/>
                <w:sz w:val="21"/>
                <w:szCs w:val="21"/>
              </w:rPr>
              <w:t>80</w:t>
            </w:r>
            <w:r>
              <w:rPr>
                <w:rFonts w:cs="Calibri" w:hint="eastAsia"/>
                <w:sz w:val="21"/>
                <w:szCs w:val="21"/>
              </w:rPr>
              <w:t>W</w:t>
            </w:r>
            <w:r>
              <w:rPr>
                <w:rFonts w:cs="Calibri"/>
                <w:sz w:val="21"/>
                <w:szCs w:val="21"/>
              </w:rPr>
              <w:t>3-011</w:t>
            </w:r>
          </w:p>
        </w:tc>
      </w:tr>
      <w:tr w14:paraId="7867F872">
        <w:tblPrEx/>
        <w:trPr>
          <w:trHeight w:val="454" w:hRule="exact"/>
          <w:jc w:val="center"/>
        </w:trPr>
        <w:tc>
          <w:tcPr>
            <w:tcW w:w="2410" w:type="dxa"/>
            <w:tcBorders>
              <w:top w:val="nil"/>
              <w:bottom w:val="nil"/>
            </w:tcBorders>
            <w:vAlign w:val="center"/>
          </w:tcPr>
          <w:p w14:paraId="4CD46D1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电子密度计</w:t>
            </w:r>
          </w:p>
        </w:tc>
        <w:tc>
          <w:tcPr>
            <w:tcW w:w="4253" w:type="dxa"/>
            <w:tcBorders>
              <w:top w:val="nil"/>
              <w:bottom w:val="nil"/>
            </w:tcBorders>
            <w:vAlign w:val="center"/>
          </w:tcPr>
          <w:p w14:paraId="7AD185A7">
            <w:pPr>
              <w:pStyle w:val="style0"/>
              <w:widowControl/>
              <w:snapToGrid w:val="false"/>
              <w:spacing w:before="100" w:beforeAutospacing="true" w:after="100" w:afterAutospacing="true" w:lineRule="auto" w:line="300"/>
              <w:jc w:val="center"/>
              <w:contextualSpacing/>
              <w:rPr>
                <w:sz w:val="21"/>
                <w:szCs w:val="21"/>
              </w:rPr>
            </w:pPr>
            <w:r>
              <w:rPr>
                <w:rFonts w:hint="eastAsia"/>
                <w:sz w:val="21"/>
                <w:szCs w:val="21"/>
              </w:rPr>
              <w:t>厦门群隆仪器有限公司</w:t>
            </w:r>
          </w:p>
        </w:tc>
        <w:tc>
          <w:tcPr>
            <w:tcW w:w="1911" w:type="dxa"/>
            <w:tcBorders>
              <w:top w:val="nil"/>
              <w:bottom w:val="nil"/>
            </w:tcBorders>
            <w:vAlign w:val="center"/>
          </w:tcPr>
          <w:p w14:paraId="34D21BD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M</w:t>
            </w:r>
            <w:r>
              <w:rPr>
                <w:rFonts w:cs="Calibri"/>
                <w:sz w:val="21"/>
                <w:szCs w:val="21"/>
              </w:rPr>
              <w:t>H-300A</w:t>
            </w:r>
          </w:p>
        </w:tc>
      </w:tr>
      <w:tr w14:paraId="09D65D00">
        <w:tblPrEx/>
        <w:trPr>
          <w:trHeight w:val="454" w:hRule="exact"/>
          <w:jc w:val="center"/>
        </w:trPr>
        <w:tc>
          <w:tcPr>
            <w:tcW w:w="2410" w:type="dxa"/>
            <w:tcBorders>
              <w:top w:val="nil"/>
              <w:bottom w:val="nil"/>
            </w:tcBorders>
            <w:vAlign w:val="center"/>
          </w:tcPr>
          <w:p w14:paraId="0AA8AC6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差示扫描量热仪</w:t>
            </w:r>
          </w:p>
        </w:tc>
        <w:tc>
          <w:tcPr>
            <w:tcW w:w="4253" w:type="dxa"/>
            <w:tcBorders>
              <w:top w:val="nil"/>
              <w:bottom w:val="nil"/>
            </w:tcBorders>
            <w:vAlign w:val="center"/>
          </w:tcPr>
          <w:p w14:paraId="331A0AA5">
            <w:pPr>
              <w:pStyle w:val="style0"/>
              <w:widowControl/>
              <w:snapToGrid w:val="false"/>
              <w:spacing w:before="100" w:beforeAutospacing="true" w:after="100" w:afterAutospacing="true" w:lineRule="auto" w:line="300"/>
              <w:jc w:val="center"/>
              <w:contextualSpacing/>
              <w:rPr>
                <w:sz w:val="21"/>
                <w:szCs w:val="21"/>
              </w:rPr>
            </w:pPr>
            <w:r>
              <w:rPr>
                <w:rFonts w:hint="eastAsia"/>
                <w:sz w:val="21"/>
                <w:szCs w:val="21"/>
              </w:rPr>
              <w:t>厦门搏仕检测设备有限公司</w:t>
            </w:r>
          </w:p>
        </w:tc>
        <w:tc>
          <w:tcPr>
            <w:tcW w:w="1911" w:type="dxa"/>
            <w:tcBorders>
              <w:top w:val="nil"/>
              <w:bottom w:val="nil"/>
            </w:tcBorders>
            <w:vAlign w:val="center"/>
          </w:tcPr>
          <w:p w14:paraId="140A611C">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B</w:t>
            </w:r>
            <w:r>
              <w:rPr>
                <w:rFonts w:cs="Calibri"/>
                <w:sz w:val="21"/>
                <w:szCs w:val="21"/>
              </w:rPr>
              <w:t>OS-DSC300</w:t>
            </w:r>
          </w:p>
        </w:tc>
      </w:tr>
      <w:tr w14:paraId="23233DC6">
        <w:tblPrEx/>
        <w:trPr>
          <w:trHeight w:val="454" w:hRule="exact"/>
          <w:jc w:val="center"/>
        </w:trPr>
        <w:tc>
          <w:tcPr>
            <w:tcW w:w="2410" w:type="dxa"/>
            <w:tcBorders>
              <w:top w:val="nil"/>
              <w:bottom w:val="nil"/>
            </w:tcBorders>
            <w:vAlign w:val="center"/>
          </w:tcPr>
          <w:p w14:paraId="5326EED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四探针电导率测试仪</w:t>
            </w:r>
          </w:p>
        </w:tc>
        <w:tc>
          <w:tcPr>
            <w:tcW w:w="4253" w:type="dxa"/>
            <w:tcBorders>
              <w:top w:val="nil"/>
              <w:bottom w:val="nil"/>
            </w:tcBorders>
            <w:vAlign w:val="center"/>
          </w:tcPr>
          <w:p w14:paraId="4B9C0FA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广州四</w:t>
            </w:r>
            <w:r>
              <w:rPr>
                <w:rFonts w:cs="Calibri"/>
                <w:sz w:val="21"/>
                <w:szCs w:val="21"/>
              </w:rPr>
              <w:t>探针</w:t>
            </w:r>
            <w:r>
              <w:rPr>
                <w:rFonts w:cs="Calibri" w:hint="eastAsia"/>
                <w:sz w:val="21"/>
                <w:szCs w:val="21"/>
              </w:rPr>
              <w:t>有限公司</w:t>
            </w:r>
          </w:p>
        </w:tc>
        <w:tc>
          <w:tcPr>
            <w:tcW w:w="1911" w:type="dxa"/>
            <w:tcBorders>
              <w:top w:val="nil"/>
              <w:bottom w:val="nil"/>
            </w:tcBorders>
            <w:vAlign w:val="center"/>
          </w:tcPr>
          <w:p w14:paraId="380A370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RTS-11</w:t>
            </w:r>
          </w:p>
        </w:tc>
      </w:tr>
      <w:tr w14:paraId="3EE0CC8E">
        <w:tblPrEx/>
        <w:trPr>
          <w:trHeight w:val="454" w:hRule="exact"/>
          <w:jc w:val="center"/>
        </w:trPr>
        <w:tc>
          <w:tcPr>
            <w:tcW w:w="2410" w:type="dxa"/>
            <w:tcBorders>
              <w:top w:val="nil"/>
              <w:bottom w:val="nil"/>
            </w:tcBorders>
            <w:vAlign w:val="center"/>
          </w:tcPr>
          <w:p w14:paraId="481CBC98">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推拉力测试机</w:t>
            </w:r>
          </w:p>
        </w:tc>
        <w:tc>
          <w:tcPr>
            <w:tcW w:w="4253" w:type="dxa"/>
            <w:tcBorders>
              <w:top w:val="nil"/>
              <w:bottom w:val="nil"/>
            </w:tcBorders>
            <w:vAlign w:val="center"/>
          </w:tcPr>
          <w:p w14:paraId="28BD2949">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深圳市德瑞茵精密科技有限公司</w:t>
            </w:r>
          </w:p>
        </w:tc>
        <w:tc>
          <w:tcPr>
            <w:tcW w:w="1911" w:type="dxa"/>
            <w:tcBorders>
              <w:top w:val="nil"/>
              <w:bottom w:val="nil"/>
            </w:tcBorders>
            <w:vAlign w:val="center"/>
          </w:tcPr>
          <w:p w14:paraId="1BBFB22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MFM1200</w:t>
            </w:r>
          </w:p>
        </w:tc>
      </w:tr>
      <w:tr w14:paraId="105957CF">
        <w:tblPrEx/>
        <w:trPr>
          <w:trHeight w:val="454" w:hRule="exact"/>
          <w:jc w:val="center"/>
        </w:trPr>
        <w:tc>
          <w:tcPr>
            <w:tcW w:w="2410" w:type="dxa"/>
            <w:tcBorders>
              <w:top w:val="nil"/>
              <w:bottom w:val="nil"/>
            </w:tcBorders>
            <w:vAlign w:val="center"/>
          </w:tcPr>
          <w:p w14:paraId="2A426B5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管式炉</w:t>
            </w:r>
          </w:p>
        </w:tc>
        <w:tc>
          <w:tcPr>
            <w:tcW w:w="4253" w:type="dxa"/>
            <w:tcBorders>
              <w:top w:val="nil"/>
              <w:bottom w:val="nil"/>
            </w:tcBorders>
            <w:vAlign w:val="center"/>
          </w:tcPr>
          <w:p w14:paraId="1F581C1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安徽贝意克设备技术有限公司</w:t>
            </w:r>
          </w:p>
        </w:tc>
        <w:tc>
          <w:tcPr>
            <w:tcW w:w="1911" w:type="dxa"/>
            <w:tcBorders>
              <w:top w:val="nil"/>
              <w:bottom w:val="nil"/>
            </w:tcBorders>
            <w:vAlign w:val="center"/>
          </w:tcPr>
          <w:p w14:paraId="48427CCD">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MF-1100C-S</w:t>
            </w:r>
          </w:p>
        </w:tc>
      </w:tr>
      <w:tr w14:paraId="2A7A8AB1">
        <w:tblPrEx/>
        <w:trPr>
          <w:trHeight w:val="454" w:hRule="exact"/>
          <w:jc w:val="center"/>
        </w:trPr>
        <w:tc>
          <w:tcPr>
            <w:tcW w:w="2410" w:type="dxa"/>
            <w:tcBorders>
              <w:top w:val="nil"/>
              <w:bottom w:val="nil"/>
            </w:tcBorders>
            <w:vAlign w:val="center"/>
          </w:tcPr>
          <w:p w14:paraId="0FC2642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金相磨抛机</w:t>
            </w:r>
          </w:p>
        </w:tc>
        <w:tc>
          <w:tcPr>
            <w:tcW w:w="4253" w:type="dxa"/>
            <w:tcBorders>
              <w:top w:val="nil"/>
              <w:bottom w:val="nil"/>
            </w:tcBorders>
            <w:vAlign w:val="center"/>
          </w:tcPr>
          <w:p w14:paraId="0A13ACB8">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迈格仪器(苏州)有限公司</w:t>
            </w:r>
          </w:p>
        </w:tc>
        <w:tc>
          <w:tcPr>
            <w:tcW w:w="1911" w:type="dxa"/>
            <w:tcBorders>
              <w:top w:val="nil"/>
              <w:bottom w:val="nil"/>
            </w:tcBorders>
            <w:vAlign w:val="center"/>
          </w:tcPr>
          <w:p w14:paraId="7B79868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UniPOL 202D</w:t>
            </w:r>
          </w:p>
        </w:tc>
      </w:tr>
      <w:tr w14:paraId="59C52E86">
        <w:tblPrEx/>
        <w:trPr>
          <w:trHeight w:val="454" w:hRule="exact"/>
          <w:jc w:val="center"/>
        </w:trPr>
        <w:tc>
          <w:tcPr>
            <w:tcW w:w="2410" w:type="dxa"/>
            <w:tcBorders>
              <w:top w:val="nil"/>
              <w:bottom w:val="nil"/>
            </w:tcBorders>
            <w:vAlign w:val="center"/>
          </w:tcPr>
          <w:p w14:paraId="73F908B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扫描电子显微镜</w:t>
            </w:r>
          </w:p>
        </w:tc>
        <w:tc>
          <w:tcPr>
            <w:tcW w:w="4253" w:type="dxa"/>
            <w:tcBorders>
              <w:top w:val="nil"/>
              <w:bottom w:val="nil"/>
            </w:tcBorders>
            <w:vAlign w:val="center"/>
          </w:tcPr>
          <w:p w14:paraId="7979054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日本株式会社</w:t>
            </w:r>
            <w:r>
              <w:rPr>
                <w:rFonts w:cs="Calibri"/>
                <w:sz w:val="21"/>
                <w:szCs w:val="21"/>
              </w:rPr>
              <w:t>日立</w:t>
            </w:r>
            <w:r>
              <w:rPr>
                <w:rFonts w:cs="Calibri" w:hint="eastAsia"/>
                <w:sz w:val="21"/>
                <w:szCs w:val="21"/>
              </w:rPr>
              <w:t>制作所</w:t>
            </w:r>
          </w:p>
        </w:tc>
        <w:tc>
          <w:tcPr>
            <w:tcW w:w="1911" w:type="dxa"/>
            <w:tcBorders>
              <w:top w:val="nil"/>
              <w:bottom w:val="nil"/>
            </w:tcBorders>
            <w:vAlign w:val="center"/>
          </w:tcPr>
          <w:p w14:paraId="23F4ED9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S4700</w:t>
            </w:r>
          </w:p>
        </w:tc>
      </w:tr>
      <w:tr w14:paraId="183C53D3">
        <w:tblPrEx/>
        <w:trPr>
          <w:trHeight w:val="454" w:hRule="exact"/>
          <w:jc w:val="center"/>
        </w:trPr>
        <w:tc>
          <w:tcPr>
            <w:tcW w:w="2410" w:type="dxa"/>
            <w:tcBorders>
              <w:top w:val="nil"/>
              <w:bottom w:val="nil"/>
            </w:tcBorders>
            <w:vAlign w:val="center"/>
          </w:tcPr>
          <w:p w14:paraId="4CBA3C9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恒温加热台</w:t>
            </w:r>
          </w:p>
        </w:tc>
        <w:tc>
          <w:tcPr>
            <w:tcW w:w="4253" w:type="dxa"/>
            <w:tcBorders>
              <w:top w:val="nil"/>
              <w:bottom w:val="nil"/>
            </w:tcBorders>
            <w:vAlign w:val="center"/>
          </w:tcPr>
          <w:p w14:paraId="4B066DA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东莞威铁克科技有限公司</w:t>
            </w:r>
          </w:p>
        </w:tc>
        <w:tc>
          <w:tcPr>
            <w:tcW w:w="1911" w:type="dxa"/>
            <w:tcBorders>
              <w:top w:val="nil"/>
              <w:bottom w:val="nil"/>
            </w:tcBorders>
            <w:vAlign w:val="center"/>
          </w:tcPr>
          <w:p w14:paraId="4F69C49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V-</w:t>
            </w:r>
            <w:r>
              <w:rPr>
                <w:rFonts w:cs="Calibri"/>
                <w:sz w:val="21"/>
                <w:szCs w:val="21"/>
              </w:rPr>
              <w:t>1010</w:t>
            </w:r>
          </w:p>
        </w:tc>
      </w:tr>
      <w:tr w14:paraId="2479FAAA">
        <w:tblPrEx/>
        <w:trPr>
          <w:trHeight w:val="454" w:hRule="exact"/>
          <w:jc w:val="center"/>
        </w:trPr>
        <w:tc>
          <w:tcPr>
            <w:tcW w:w="2410" w:type="dxa"/>
            <w:tcBorders>
              <w:top w:val="nil"/>
              <w:bottom w:val="nil"/>
            </w:tcBorders>
            <w:vAlign w:val="center"/>
          </w:tcPr>
          <w:p w14:paraId="147550E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台式X射线衍射仪</w:t>
            </w:r>
          </w:p>
        </w:tc>
        <w:tc>
          <w:tcPr>
            <w:tcW w:w="4253" w:type="dxa"/>
            <w:tcBorders>
              <w:top w:val="nil"/>
              <w:bottom w:val="nil"/>
            </w:tcBorders>
            <w:vAlign w:val="center"/>
          </w:tcPr>
          <w:p w14:paraId="09E8B93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日本理学公司</w:t>
            </w:r>
          </w:p>
        </w:tc>
        <w:tc>
          <w:tcPr>
            <w:tcW w:w="1911" w:type="dxa"/>
            <w:tcBorders>
              <w:top w:val="nil"/>
              <w:bottom w:val="nil"/>
            </w:tcBorders>
            <w:vAlign w:val="center"/>
          </w:tcPr>
          <w:p w14:paraId="0C98F529">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D/max 2500</w:t>
            </w:r>
          </w:p>
        </w:tc>
      </w:tr>
      <w:tr w14:paraId="315FCD56">
        <w:tblPrEx/>
        <w:trPr>
          <w:trHeight w:val="454" w:hRule="exact"/>
          <w:jc w:val="center"/>
        </w:trPr>
        <w:tc>
          <w:tcPr>
            <w:tcW w:w="2410" w:type="dxa"/>
            <w:tcBorders>
              <w:top w:val="nil"/>
              <w:bottom w:val="nil"/>
            </w:tcBorders>
            <w:vAlign w:val="center"/>
          </w:tcPr>
          <w:p w14:paraId="13042CD4">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激光</w:t>
            </w:r>
            <w:r>
              <w:rPr>
                <w:rFonts w:cs="Calibri" w:hint="eastAsia"/>
                <w:sz w:val="21"/>
                <w:szCs w:val="21"/>
              </w:rPr>
              <w:t>热导</w:t>
            </w:r>
            <w:r>
              <w:rPr>
                <w:rFonts w:cs="Calibri"/>
                <w:sz w:val="21"/>
                <w:szCs w:val="21"/>
              </w:rPr>
              <w:t>仪</w:t>
            </w:r>
          </w:p>
        </w:tc>
        <w:tc>
          <w:tcPr>
            <w:tcW w:w="4253" w:type="dxa"/>
            <w:tcBorders>
              <w:top w:val="nil"/>
              <w:bottom w:val="nil"/>
            </w:tcBorders>
            <w:vAlign w:val="center"/>
          </w:tcPr>
          <w:p w14:paraId="228C7AD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德国耐驰公司</w:t>
            </w:r>
          </w:p>
        </w:tc>
        <w:tc>
          <w:tcPr>
            <w:tcW w:w="1911" w:type="dxa"/>
            <w:tcBorders>
              <w:top w:val="nil"/>
              <w:bottom w:val="nil"/>
            </w:tcBorders>
            <w:vAlign w:val="center"/>
          </w:tcPr>
          <w:p w14:paraId="6F190B3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LFA457</w:t>
            </w:r>
          </w:p>
        </w:tc>
      </w:tr>
      <w:tr w14:paraId="713E96FB">
        <w:tblPrEx/>
        <w:trPr>
          <w:trHeight w:val="454" w:hRule="exact"/>
          <w:jc w:val="center"/>
        </w:trPr>
        <w:tc>
          <w:tcPr>
            <w:tcW w:w="2410" w:type="dxa"/>
            <w:tcBorders>
              <w:top w:val="nil"/>
              <w:bottom w:val="nil"/>
            </w:tcBorders>
            <w:vAlign w:val="center"/>
          </w:tcPr>
          <w:p w14:paraId="552784B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电动压力机</w:t>
            </w:r>
          </w:p>
        </w:tc>
        <w:tc>
          <w:tcPr>
            <w:tcW w:w="4253" w:type="dxa"/>
            <w:tcBorders>
              <w:top w:val="nil"/>
              <w:bottom w:val="nil"/>
            </w:tcBorders>
            <w:vAlign w:val="center"/>
          </w:tcPr>
          <w:p w14:paraId="3FDAB3A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苏州百力乐工业自动化有限公司</w:t>
            </w:r>
          </w:p>
        </w:tc>
        <w:tc>
          <w:tcPr>
            <w:tcW w:w="1911" w:type="dxa"/>
            <w:tcBorders>
              <w:top w:val="nil"/>
              <w:bottom w:val="nil"/>
            </w:tcBorders>
            <w:vAlign w:val="center"/>
          </w:tcPr>
          <w:p w14:paraId="1B8E34A5">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BLB-</w:t>
            </w:r>
            <w:r>
              <w:rPr>
                <w:rFonts w:cs="Calibri"/>
                <w:sz w:val="21"/>
                <w:szCs w:val="21"/>
              </w:rPr>
              <w:t>500</w:t>
            </w:r>
          </w:p>
        </w:tc>
      </w:tr>
      <w:tr w14:paraId="6D170223">
        <w:tblPrEx/>
        <w:trPr>
          <w:trHeight w:val="454" w:hRule="exact"/>
          <w:jc w:val="center"/>
        </w:trPr>
        <w:tc>
          <w:tcPr>
            <w:tcW w:w="2410" w:type="dxa"/>
            <w:tcBorders>
              <w:top w:val="nil"/>
              <w:bottom w:val="nil"/>
            </w:tcBorders>
            <w:vAlign w:val="center"/>
          </w:tcPr>
          <w:p w14:paraId="0A34D2D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粗铝丝键合机</w:t>
            </w:r>
          </w:p>
        </w:tc>
        <w:tc>
          <w:tcPr>
            <w:tcW w:w="4253" w:type="dxa"/>
            <w:tcBorders>
              <w:top w:val="nil"/>
              <w:bottom w:val="nil"/>
            </w:tcBorders>
            <w:vAlign w:val="center"/>
          </w:tcPr>
          <w:p w14:paraId="2C78AFFE">
            <w:pPr>
              <w:pStyle w:val="style0"/>
              <w:widowControl/>
              <w:snapToGrid w:val="false"/>
              <w:spacing w:before="100" w:beforeAutospacing="true" w:after="100" w:afterAutospacing="true" w:lineRule="auto" w:line="300"/>
              <w:jc w:val="center"/>
              <w:contextualSpacing/>
              <w:rPr>
                <w:sz w:val="21"/>
                <w:szCs w:val="21"/>
              </w:rPr>
            </w:pPr>
            <w:r>
              <w:rPr>
                <w:sz w:val="21"/>
                <w:szCs w:val="21"/>
              </w:rPr>
              <w:t>奥地利F&amp;K公司</w:t>
            </w:r>
          </w:p>
        </w:tc>
        <w:tc>
          <w:tcPr>
            <w:tcW w:w="1911" w:type="dxa"/>
            <w:tcBorders>
              <w:top w:val="nil"/>
              <w:bottom w:val="nil"/>
            </w:tcBorders>
            <w:vAlign w:val="center"/>
          </w:tcPr>
          <w:p w14:paraId="3521121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5</w:t>
            </w:r>
            <w:r>
              <w:rPr>
                <w:rFonts w:cs="Calibri"/>
                <w:sz w:val="21"/>
                <w:szCs w:val="21"/>
              </w:rPr>
              <w:t>350</w:t>
            </w:r>
          </w:p>
        </w:tc>
      </w:tr>
      <w:tr w14:paraId="1FB9C1FC">
        <w:tblPrEx/>
        <w:trPr>
          <w:trHeight w:val="454" w:hRule="exact"/>
          <w:jc w:val="center"/>
        </w:trPr>
        <w:tc>
          <w:tcPr>
            <w:tcW w:w="2410" w:type="dxa"/>
            <w:tcBorders>
              <w:top w:val="nil"/>
              <w:bottom w:val="nil"/>
            </w:tcBorders>
            <w:vAlign w:val="center"/>
          </w:tcPr>
          <w:p w14:paraId="69E5C4F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半导体参数分析仪</w:t>
            </w:r>
          </w:p>
        </w:tc>
        <w:tc>
          <w:tcPr>
            <w:tcW w:w="4253" w:type="dxa"/>
            <w:tcBorders>
              <w:top w:val="nil"/>
              <w:bottom w:val="nil"/>
            </w:tcBorders>
            <w:vAlign w:val="center"/>
          </w:tcPr>
          <w:p w14:paraId="54A8A91F">
            <w:pPr>
              <w:pStyle w:val="style0"/>
              <w:widowControl/>
              <w:snapToGrid w:val="false"/>
              <w:spacing w:before="100" w:beforeAutospacing="true" w:after="100" w:afterAutospacing="true" w:lineRule="auto" w:line="300"/>
              <w:jc w:val="center"/>
              <w:contextualSpacing/>
              <w:rPr>
                <w:sz w:val="21"/>
                <w:szCs w:val="21"/>
              </w:rPr>
            </w:pPr>
            <w:r>
              <w:rPr>
                <w:rFonts w:hint="eastAsia"/>
                <w:sz w:val="21"/>
                <w:szCs w:val="21"/>
              </w:rPr>
              <w:t>美国是德科技有限公司</w:t>
            </w:r>
          </w:p>
        </w:tc>
        <w:tc>
          <w:tcPr>
            <w:tcW w:w="1911" w:type="dxa"/>
            <w:tcBorders>
              <w:top w:val="nil"/>
              <w:bottom w:val="nil"/>
            </w:tcBorders>
            <w:vAlign w:val="center"/>
          </w:tcPr>
          <w:p w14:paraId="5C7175AD">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B</w:t>
            </w:r>
            <w:r>
              <w:rPr>
                <w:rFonts w:cs="Calibri"/>
                <w:sz w:val="21"/>
                <w:szCs w:val="21"/>
              </w:rPr>
              <w:t>1500</w:t>
            </w:r>
            <w:r>
              <w:rPr>
                <w:rFonts w:cs="Calibri" w:hint="eastAsia"/>
                <w:sz w:val="21"/>
                <w:szCs w:val="21"/>
              </w:rPr>
              <w:t>A</w:t>
            </w:r>
          </w:p>
        </w:tc>
      </w:tr>
      <w:tr w14:paraId="7F40EE6C">
        <w:tblPrEx/>
        <w:trPr>
          <w:trHeight w:val="454" w:hRule="exact"/>
          <w:jc w:val="center"/>
        </w:trPr>
        <w:tc>
          <w:tcPr>
            <w:tcW w:w="2410" w:type="dxa"/>
            <w:tcBorders>
              <w:top w:val="nil"/>
              <w:bottom w:val="single" w:sz="12" w:space="0" w:color="auto"/>
            </w:tcBorders>
            <w:vAlign w:val="center"/>
          </w:tcPr>
          <w:p w14:paraId="3C455D99">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热瞬态测试系统</w:t>
            </w:r>
          </w:p>
        </w:tc>
        <w:tc>
          <w:tcPr>
            <w:tcW w:w="4253" w:type="dxa"/>
            <w:tcBorders>
              <w:top w:val="nil"/>
              <w:bottom w:val="single" w:sz="12" w:space="0" w:color="auto"/>
            </w:tcBorders>
            <w:vAlign w:val="center"/>
          </w:tcPr>
          <w:p w14:paraId="1E108478">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德国西门子股份有限公司</w:t>
            </w:r>
          </w:p>
        </w:tc>
        <w:tc>
          <w:tcPr>
            <w:tcW w:w="1911" w:type="dxa"/>
            <w:tcBorders>
              <w:top w:val="nil"/>
              <w:bottom w:val="single" w:sz="12" w:space="0" w:color="auto"/>
            </w:tcBorders>
            <w:vAlign w:val="center"/>
          </w:tcPr>
          <w:p w14:paraId="20A49F3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T</w:t>
            </w:r>
            <w:r>
              <w:rPr>
                <w:rFonts w:cs="Calibri"/>
                <w:sz w:val="21"/>
                <w:szCs w:val="21"/>
              </w:rPr>
              <w:t>3STER SI</w:t>
            </w:r>
          </w:p>
        </w:tc>
      </w:tr>
    </w:tbl>
    <w:p w14:paraId="6A2069BF">
      <w:pPr>
        <w:pStyle w:val="style0"/>
        <w:rPr>
          <w:color w:val="auto"/>
        </w:rPr>
      </w:pPr>
    </w:p>
    <w:p w14:paraId="086702C9">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6  预计困难及解决方案</w:t>
      </w:r>
    </w:p>
    <w:p w14:paraId="628F22FD">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6.1  预计困难与技术难点</w:t>
      </w:r>
    </w:p>
    <w:p w14:paraId="6F69AB18">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结合本课题的CuO/NaCl/Ag浆料—丝网印刷—还原烧结—去盐清洗—SAC305浸渗—TLP连接路线，预计在实验过程中遇到以下困难：</w:t>
      </w:r>
    </w:p>
    <w:p w14:paraId="3470A6CD">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（1）CuO/NaCl/Ag浆料在印刷、干燥和还原烧结后易发生收缩翘曲，薄而多孔的Cu预制层在裁切时还可能崩边，影响后续装配；</w:t>
      </w:r>
    </w:p>
    <w:p w14:paraId="0B0959DA">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（2）SAC305浸渗和Cu-Sn反应不能用同一段保温时间简单代替：孔道未充满时延长回流可能先在入口生成IMC，阻碍内部供料；</w:t>
      </w:r>
    </w:p>
    <w:p w14:paraId="1FA39DD2">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（3）SAC305原有3.0 wt.% Ag，预制层中另加Ag后，孔结构变化与Ag3Sn析出可能同时影响强度，难以判断真正起作用的环节；</w:t>
      </w:r>
    </w:p>
    <w:p w14:paraId="10508EAA">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（4）高温时效和功率循环中可能出现不同断裂或退化路径；若仅比较最终剪切强度、I-V或热阻，难以分清互连层退化与芯片、键合线及测试边界的影响。</w:t>
      </w:r>
    </w:p>
    <w:p w14:paraId="38C3F3CB">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6.2  解决方案</w:t>
      </w:r>
    </w:p>
    <w:p w14:paraId="592E735A">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针对以上问题，</w:t>
      </w:r>
      <w:r>
        <w:rPr>
          <w:rFonts w:hint="eastAsia"/>
          <w:color w:val="auto"/>
          <w:lang w:val="en-US" w:eastAsia="zh-CN"/>
        </w:rPr>
        <w:t>对每个预计困难</w:t>
      </w:r>
      <w:r>
        <w:rPr>
          <w:color w:val="auto"/>
        </w:rPr>
        <w:t>分别提出解决方案：</w:t>
      </w:r>
    </w:p>
    <w:p w14:paraId="7D198219">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（1）先印刷较大的预制层，待烧结后再用模具和液压机裁成5 mm×5 mm试片，减少直接印刷小片造成的边缘不齐。浆料先以粉末总质量25%的松油醇、750 rpm混合5 min试制；固定印刷厚度0.20±0.03 mm后，分别比较750、800、850 ℃保温60 min的收缩与翘曲。若烧结片完整而裁切崩边，则改进模具间隙和支撑方式，不再反复调整粉末配比。</w:t>
      </w:r>
    </w:p>
    <w:p w14:paraId="4B26AACC">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（2）可把“浸渗”和“连接”拆成两步。先使预制层一端接触熔融SAC305，比较250 ℃下15、30、60 s的毛细浸渗深度，再切除表面多余焊料；参考稿中纯Sn在250 ℃浸渗30 s可作为预实验起点，但SAC305须重新验证。之后以文献的250 ℃、0.5 MPa、20 min为连接对照，分别改变焊料供给量或保温时间，并用截面区分未填充孔道与反应收缩孔洞；若入口先被IMC封堵，则先增加供料接触面，而非继续延长保温</w:t>
      </w:r>
      <w:r>
        <w:rPr>
          <w:vertAlign w:val="superscript"/>
        </w:rPr>
        <w:t>[20]</w:t>
      </w:r>
      <w:r>
        <w:rPr>
          <w:color w:val="auto"/>
        </w:rPr>
        <w:t>。</w:t>
      </w:r>
    </w:p>
    <w:p w14:paraId="4F8A5834">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rFonts w:eastAsia="宋体" w:hint="eastAsia"/>
          <w:color w:val="auto"/>
          <w:lang w:eastAsia="zh-CN"/>
        </w:rPr>
      </w:pPr>
      <w:r>
        <w:rPr>
          <w:color w:val="auto"/>
        </w:rPr>
        <w:t>（3）先固定CuO:NaCl=85:15和800 ℃、60 min的烧结条件，只比较预制层额外Ag为0、1、3 wt.%三组，三组均使用相同SAC305；这样0 wt.%组仍含焊料本身的Ag，但可以识别额外加Ag的作用。分别在浸渗前测孔结构、连接后观察Ag</w:t>
      </w:r>
      <w:r>
        <w:rPr>
          <w:color w:val="auto"/>
          <w:vertAlign w:val="subscript"/>
        </w:rPr>
        <w:t>3</w:t>
      </w:r>
      <w:r>
        <w:rPr>
          <w:color w:val="auto"/>
        </w:rPr>
        <w:t>Sn分布，再比较剪切及断口位置。对代表性接头按250、275、300 ℃和0、24、100、250、500 h取样，以SEM/EDS、XRD及图像统计判断组织演化</w:t>
      </w:r>
      <w:r>
        <w:rPr>
          <w:rFonts w:hint="eastAsia"/>
          <w:color w:val="auto"/>
          <w:lang w:eastAsia="zh-CN"/>
        </w:rPr>
        <w:t>。</w:t>
      </w:r>
    </w:p>
    <w:p w14:paraId="2D8028B3">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highlight w:val="yellow"/>
        </w:rPr>
      </w:pPr>
      <w:r>
        <w:rPr>
          <w:color w:val="auto"/>
          <w:highlight w:val="yellow"/>
        </w:rPr>
        <w:t>（4）先用5 mm×5 mm Cu/Cu接头进行室温和300 ℃剪切对照，每组5件，并记录断裂经过富Sn区、Cu骨架还是IMC区；再选初始组织与强度可重复的条件进入250、300 ℃时效，分别在0、24、100、250、500 h取出截面和剪切样。器件功率循环前后保持相同</w:t>
      </w:r>
      <w:commentRangeStart w:id="21"/>
      <w:r>
        <w:rPr>
          <w:color w:val="auto"/>
          <w:highlight w:val="yellow"/>
        </w:rPr>
        <w:t>的</w:t>
      </w:r>
      <w:commentRangeEnd w:id="21"/>
      <w:r>
        <w:rPr/>
        <w:commentReference w:id="21"/>
      </w:r>
      <w:r>
        <w:rPr>
          <w:color w:val="auto"/>
          <w:highlight w:val="yellow"/>
        </w:rPr>
        <w:t>电流、冷却边界及温敏电参数标定方法，在5000、10000、15000次节点复测I-V、结温和热阻；出现异常时同时检查互连层、键合线和芯片表面，用对应位置的截面证据判断退化来源。</w:t>
      </w:r>
    </w:p>
    <w:p w14:paraId="1E752AAA">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参考文献</w:t>
      </w:r>
    </w:p>
    <w:p w14:paraId="161DA9B1">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 HOU F, SUN Z, SU M, et al. Review of Die-Attach Materials for SiC High-Temperature Packaging[J]. IEEE Transactions on Power Electronics, 2024, 39(10): 13471-13486.</w:t>
      </w:r>
    </w:p>
    <w:p w14:paraId="7B332051">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 BATTAL F, BOSS D, POELMA R H, et al. Advancements in TLP Bonding for Power Electronics Die-Attach Applications[J]. Advanced Materials Technologies, 2026, 11(4): e01166.</w:t>
      </w:r>
    </w:p>
    <w:p w14:paraId="325D9899">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[3] KANG H, SHARMA A, JUNG J P. Recent Progress in Transient Liquid Phase and Wire Bonding Technologies for Power Electronics[J]. Metals, 2020, 10(7): 934.</w:t>
      </w:r>
    </w:p>
    <w:p w14:paraId="283A7708">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[4] WANG Y, XU D, YAN H, et al. Low-Temperature Copper Sinter-Joining Technology for Power Electronics Packaging: A Review[J]. Journal of Materials Processing Technology, 2024, 332: 118526.</w:t>
      </w:r>
    </w:p>
    <w:p w14:paraId="7F889C6B">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[5] 胡虎安, 贾强, 王乙舒, 等. 功率器件封装用Cu-Sn全IMC接头制备及其可靠性研究进展[J]. 电源学报, 2024, 22(3): 62-71.</w:t>
      </w:r>
    </w:p>
    <w:p w14:paraId="4B0C8777">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[6] 陈平. 先进封装Cu-Sn互连焊点界面金属间化合物研究进展[J]. 微纳电子技术, 2024, 61(11): 110104.</w:t>
      </w:r>
    </w:p>
    <w:p w14:paraId="7E571B7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[7] BOSCO N S, ZOK F W. Critical Interlayer Thickness for Transient Liquid Phase Bonding in the Cu-Sn System[J]. Acta Materialia, 2004, 52(10): 2965-2972.</w:t>
      </w:r>
    </w:p>
    <w:p w14:paraId="3B24E38B">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[8] LI J F, AGYAKWA P A, JOHNSON C M. Interfacial Reaction in Cu/Sn/Cu System during the Transient Liquid Phase Soldering Process[J]. Acta Materialia, 2011, 59(3): 1198-1211.</w:t>
      </w:r>
    </w:p>
    <w:p w14:paraId="66FD8DE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[9] LEE B S, HYUN S K, YOON J W. Cu-Sn and Ni-Sn Transient Liquid Phase Bonding for Die-Attach Technology Applications in High-Temperature Power Electronics Packaging[J]. Journal of Materials Science: Materials in Electronics, 2017, 28(11): 7827-7833.</w:t>
      </w:r>
    </w:p>
    <w:p w14:paraId="541476CC">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[10] LEE D B, YOON J W. Rapid Equiaxed Cu</w:t>
      </w:r>
      <w:r>
        <w:rPr>
          <w:rFonts w:ascii="Times New Roman" w:cs="Times New Roman" w:eastAsia="宋体" w:hAnsi="Times New Roman"/>
          <w:b w:val="false"/>
          <w:i w:val="false"/>
          <w:color w:val="auto"/>
          <w:sz w:val="24"/>
          <w:vertAlign w:val="subscript"/>
        </w:rPr>
        <w:t>3Sn</w:t>
      </w:r>
      <w:r>
        <w:rPr>
          <w:rFonts w:ascii="Times New Roman" w:cs="Times New Roman" w:eastAsia="宋体" w:hAnsi="Times New Roman"/>
          <w:b w:val="false"/>
          <w:i w:val="false"/>
          <w:color w:val="auto"/>
          <w:sz w:val="24"/>
        </w:rPr>
        <w:t xml:space="preserve"> Formation and High-Temperature Reliability of Transient Liquid Phase Bonding with an Sn/2 μm Cu/Sn Preform[J]. Journal of Materials Research and Technology, 2026, 42: 5769-5778.</w:t>
      </w:r>
    </w:p>
    <w:p w14:paraId="4AFBD951">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[11] 郑敏, 杨瑾, 张华. 多孔金属材料的制备及应用研究进展[J]. 材料导报, 2022, 36(18): 20110092.</w:t>
      </w:r>
    </w:p>
    <w:p w14:paraId="668966F4">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[12] 曹凤, 张文彦, 张思思, 等. 多孔金属材料的化学制备方法及性能研究进展[J]. 材料导报, 2017, 31(21): 139-145.</w:t>
      </w:r>
    </w:p>
    <w:p w14:paraId="4CABE41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[13] 李言祥, 刘效邦. 定向凝固多孔金属研究进展[J]. 金属学报, 2018, 54(5): 727-741.</w:t>
      </w:r>
    </w:p>
    <w:p w14:paraId="12303DD0">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[14] SHAO H, WU A, BAO Y, et al. Novel Transient Liquid Phase Bonding through Capillary Action for High-Temperature Power Devices Packaging[J]. Materials Science and Engineering: A, 2018, 724: 231-238.</w:t>
      </w:r>
    </w:p>
    <w:p w14:paraId="0F548D41">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[15] SU Y, HANG C, CHEN H, et al. Interconnection Method Based on Solder-Filled Nanoporous Copper as Interlayer for High-Temperature Applications[J]. Microelectronic Engineering, 2019, 214: 60-67.</w:t>
      </w:r>
    </w:p>
    <w:p w14:paraId="5EFCC367">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[16] WANG J, LIU X, HUO F, et al. Novel Transient Liquid Phase Bonding Method Using In-Coated Cu Sheet for High-Temperature Die Attach[J]. Materials Research Bulletin, 2022, 149: 111713.</w:t>
      </w:r>
    </w:p>
    <w:p w14:paraId="6AA4B1D2">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[17] XIONG B, HE S, GE J, et al. Cu-Cu Joint with Sn-58Bi/Porous Cu/Sn-58Bi Transient Liquid Phase Bonding under Formic Acid Atmosphere[J]. Soldering &amp; Surface Mount Technology, 2024, 36(1): 39-50.</w:t>
      </w:r>
    </w:p>
    <w:p w14:paraId="22467FAE">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[18] KIM H S, CHO S M, LEE J K, et al. Microstructure and Mechanical Properties of Transient Liquid Phase Bonded Joints with Lotus-Type Porous Cu Interlayer[J]. Journal of Materials Research and Technology, 2025, 38: 4559-4566.</w:t>
      </w:r>
    </w:p>
    <w:p w14:paraId="15A8118D">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[19] SHIN J H, KIM K S, KIM S W, et al. Evaluation of Reliability of Lotus-Type Porous Cu Joint Soldered by SAC305[J]. Microelectronics Reliability, 2025, 175: 115933.</w:t>
      </w:r>
    </w:p>
    <w:p w14:paraId="703DDFFC">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[20] OUYANG Y, LU J, YAN H, HONG S, WU Z. High-Reliability and Cost-Efficient Transient Liquid Phase Bonding for Large-Area Interconnects in Power Modules[J]. IEEE Transactions on Components, Packaging and Manufacturing Technology, 2026, 16(2): 307-318.</w:t>
      </w:r>
    </w:p>
    <w:p w14:paraId="3BFC88D6">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[21] SHAO H, WU A, BAO Y, et al. Interfacial Reaction and Mechanical Properties for Cu/Sn/Ag System Low Temperature Transient Liquid Phase Bonding[J]. Journal of Materials Science: Materials in Electronics, 2016, 27: 4839-4848.</w:t>
      </w:r>
    </w:p>
    <w:p w14:paraId="39FE7B84">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[22] SHAO H, WU A, BAO Y, et al. Microstructure Evolution and Mechanical Properties of Cu/Sn/Ag TLP-Bonded Joint during Thermal Aging[J]. Materials Characterization, 2018, 144: 469-478.</w:t>
      </w:r>
    </w:p>
    <w:p w14:paraId="5E09624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[23] YANG M, KO Y H, BANG J, et al. Effects of Ag Addition on Solid-State Interfacial Reactions between Sn-Ag-Cu Solder and Cu Substrate[J]. Materials Characterization, 2017, 124: 250-259.</w:t>
      </w:r>
    </w:p>
    <w:p w14:paraId="0DBFF9BD">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[24] YUAN P, CHEN D, QIN J, et al. Effects of Ag</w:t>
      </w:r>
      <w:r>
        <w:rPr>
          <w:rFonts w:ascii="Times New Roman" w:cs="Times New Roman" w:eastAsia="宋体" w:hAnsi="Times New Roman"/>
          <w:b w:val="false"/>
          <w:i w:val="false"/>
          <w:color w:val="auto"/>
          <w:sz w:val="24"/>
          <w:vertAlign w:val="subscript"/>
        </w:rPr>
        <w:t>3Sn</w:t>
      </w:r>
      <w:r>
        <w:rPr>
          <w:rFonts w:ascii="Times New Roman" w:cs="Times New Roman" w:eastAsia="宋体" w:hAnsi="Times New Roman"/>
          <w:b w:val="false"/>
          <w:i w:val="false"/>
          <w:color w:val="auto"/>
          <w:sz w:val="24"/>
        </w:rPr>
        <w:t xml:space="preserve"> Nanoparticles and Isothermal Aging on IMC Layer Growth, Mechanical Properties, and Life Prediction of SAC305/Cu Solder Joints[J]. Composites and Advanced Materials, 2023, 32: 26349833231163598.</w:t>
      </w:r>
    </w:p>
    <w:p w14:paraId="024594C3">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[25] TATSUMI H, LIS A, YAMAGUCHI H, et al. Evolution of Transient Liquid-Phase Sintered Cu-Sn Skeleton Microstructure during Thermal Aging[J]. Applied Sciences, 2019, 9(1): 157.</w:t>
      </w:r>
    </w:p>
    <w:p w14:paraId="6822012E">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[26] WANG J, WANG J, DUAN F, et al. Cu</w:t>
      </w:r>
      <w:r>
        <w:rPr>
          <w:rFonts w:ascii="Times New Roman" w:cs="Times New Roman" w:eastAsia="宋体" w:hAnsi="Times New Roman"/>
          <w:b w:val="false"/>
          <w:i w:val="false"/>
          <w:color w:val="auto"/>
          <w:sz w:val="24"/>
          <w:vertAlign w:val="subscript"/>
        </w:rPr>
        <w:t>3Sn</w:t>
      </w:r>
      <w:r>
        <w:rPr>
          <w:rFonts w:ascii="Times New Roman" w:cs="Times New Roman" w:eastAsia="宋体" w:hAnsi="Times New Roman"/>
          <w:b w:val="false"/>
          <w:i w:val="false"/>
          <w:color w:val="auto"/>
          <w:sz w:val="24"/>
        </w:rPr>
        <w:t xml:space="preserve"> Joint Based on Transient Liquid Phase Bonding of Cu@Cu6Sn5 Core-Shell Particles[J]. Scientific Reports, 2023, 13: 668.</w:t>
      </w:r>
    </w:p>
    <w:p w14:paraId="72A0F5C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[27] 陈捷狮, 王佳宁, 张志愿, 等. 微/纳尺度Cu-Sn界面冶金行为研究进展[J]. 机械工程学报, 2022, 58(2): 223-235.</w:t>
      </w:r>
    </w:p>
    <w:p w14:paraId="683235D4">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[28] 张文武, 潘浩, 马秋晨, 李明雨, 计红军. 功率超声微纳电子封装互连技术研究进展[J]. 机械工程学报, 2022, 58(2): 100-121.</w:t>
      </w:r>
    </w:p>
    <w:p w14:paraId="4FB1626F">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[29] GAO X, JIA Q, WANG Y, et al. Review on Power Cycling Reliability of SiC Power Device[J]. Electronic Materials, 2024, 5(2): 80-100.</w:t>
      </w:r>
    </w:p>
    <w:p w14:paraId="4ED4D8F6">
      <w:pPr>
        <w:pStyle w:val="style0"/>
        <w:widowControl/>
        <w:spacing w:before="0" w:after="0" w:lineRule="auto" w:line="300"/>
        <w:ind w:left="420" w:hanging="420"/>
        <w:jc w:val="both"/>
        <w:rPr>
          <w:color w:val="auto"/>
          <w:highlight w:val="yellow"/>
        </w:rPr>
      </w:pPr>
      <w:r>
        <w:rPr>
          <w:rFonts w:ascii="Times New Roman" w:cs="Times New Roman" w:eastAsia="宋体" w:hAnsi="Times New Roman"/>
          <w:b w:val="false"/>
          <w:i w:val="false"/>
          <w:color w:val="auto"/>
          <w:sz w:val="24"/>
        </w:rPr>
        <w:t xml:space="preserve">[30] HIRASE K, TATSUMI H, ISONO H, et al. Microstructure and Thermal </w:t>
      </w:r>
      <w:r>
        <w:rPr>
          <w:rFonts w:ascii="Times New Roman" w:cs="Times New Roman" w:eastAsia="宋体" w:hAnsi="Times New Roman"/>
          <w:b w:val="false"/>
          <w:i w:val="false"/>
          <w:color w:val="auto"/>
          <w:sz w:val="24"/>
          <w:highlight w:val="yellow"/>
        </w:rPr>
        <w:t>Performance of Lotus-Type Porous Cu/Solder Composite Joints[J]. Journal of Materials Research and Technology, 2026, 41: 3825-3833.</w:t>
      </w:r>
    </w:p>
    <w:p w14:paraId="735A9531">
      <w:pPr>
        <w:pStyle w:val="style0"/>
        <w:rPr>
          <w:color w:val="auto"/>
          <w:highlight w:val="yellow"/>
        </w:rPr>
      </w:pPr>
      <w:r>
        <w:rPr>
          <w:color w:val="auto"/>
          <w:highlight w:val="yellow"/>
        </w:rPr>
        <w:t>[31] SHAO H, WU A, BAO Y, et al. Novel transient liquid phase bonding through capillary action for high-temperature power devices packaging[J]. Materials Science and Engineering: A, 2018, 724: 231-238.</w:t>
      </w:r>
    </w:p>
    <w:p w14:paraId="7860404C">
      <w:pPr>
        <w:pStyle w:val="style0"/>
        <w:rPr>
          <w:color w:val="auto"/>
          <w:highlight w:val="yellow"/>
        </w:rPr>
      </w:pPr>
      <w:r>
        <w:rPr>
          <w:color w:val="auto"/>
          <w:highlight w:val="yellow"/>
        </w:rPr>
        <w:t>[32] LIU J, ZHONG X, CHEN H, et al. High-Reliability and Cost-Efficient Transient Liquid Phase Bonding for Large-Area Interconnects in Power Modules[J]. IEEE Transactions on Components, Packaging and Manufacturing Technology, 2026, 16(2): 307-318.</w:t>
      </w:r>
    </w:p>
    <w:p w14:paraId="5CFB14D6">
      <w:pPr>
        <w:pStyle w:val="style0"/>
        <w:rPr>
          <w:color w:val="auto"/>
          <w:highlight w:val="yellow"/>
        </w:rPr>
      </w:pPr>
      <w:r>
        <w:rPr>
          <w:color w:val="auto"/>
          <w:highlight w:val="yellow"/>
        </w:rPr>
        <w:t>[33] LANG F, YAMAGUCHI H, NAKAGAWA H, et al. Thermally Stable Bonding of SiC Devices with Ceramic Substrates: Transient Liquid Phase Sintering Using Cu/Sn Powders[J]. Journal of the Electrochemical Society, 2013, 160(8): D315-D319.</w:t>
      </w:r>
    </w:p>
    <w:p w14:paraId="58C7D245">
      <w:pPr>
        <w:pStyle w:val="style0"/>
        <w:rPr>
          <w:color w:val="auto"/>
          <w:highlight w:val="yellow"/>
        </w:rPr>
      </w:pPr>
      <w:r>
        <w:rPr>
          <w:color w:val="auto"/>
          <w:highlight w:val="yellow"/>
        </w:rPr>
        <w:t>[34] ZHANG Y, WANG J, LIU P, et al. Microstructure evolution and shear strength of full Cu</w:t>
      </w:r>
      <w:r>
        <w:rPr>
          <w:color w:val="auto"/>
          <w:highlight w:val="yellow"/>
          <w:vertAlign w:val="subscript"/>
        </w:rPr>
        <w:t>3Sn</w:t>
      </w:r>
      <w:r>
        <w:rPr>
          <w:color w:val="auto"/>
          <w:highlight w:val="yellow"/>
        </w:rPr>
        <w:t>-microporous copper composite joint by thermo-compression bonding[J]. Journal of Materials Processing Technology, 2021, 291: 117057.</w:t>
      </w:r>
    </w:p>
    <w:p w14:paraId="7E8554B4">
      <w:pPr>
        <w:pStyle w:val="style0"/>
        <w:rPr>
          <w:color w:val="auto"/>
          <w:highlight w:val="yellow"/>
        </w:rPr>
      </w:pPr>
      <w:r>
        <w:rPr>
          <w:color w:val="auto"/>
          <w:highlight w:val="yellow"/>
        </w:rPr>
        <w:t>[35] SHAO H, WU A, BAO Y, et al. Microstructure evolution and mechanical properties of Cu/Sn/Ag TLP-bonded joint during thermal aging[J]. Materials Characterization, 2018, 144: 469-478.</w:t>
      </w:r>
    </w:p>
    <w:p w14:paraId="472783C0">
      <w:pPr>
        <w:pStyle w:val="style0"/>
        <w:rPr>
          <w:color w:val="auto"/>
          <w:highlight w:val="yellow"/>
        </w:rPr>
      </w:pPr>
      <w:r>
        <w:rPr>
          <w:color w:val="auto"/>
          <w:highlight w:val="yellow"/>
        </w:rPr>
        <w:t>[36] AN D, CHANG G, ZHANG H, et al. Comprehensive Study on the Characteristics of Large Area Transient Liquid Phase Sintering Joint for SiC Module[C]. PCIM Asia, 2024.</w:t>
      </w:r>
    </w:p>
    <w:sectPr>
      <w:headerReference w:type="default" r:id="rId17"/>
      <w:footerReference w:type="default" r:id="rId18"/>
      <w:pgSz w:w="11906" w:h="16838" w:orient="portrait"/>
      <w:pgMar w:top="2154" w:right="1701" w:bottom="1701" w:left="1701" w:header="1361" w:footer="1304" w:gutter="0"/>
      <w:pgNumType w:fmt="decimal" w:start="1"/>
      <w:cols w:space="720" w:num="1"/>
      <w:docGrid w:linePitch="360" w:charSpace="0"/>
    </w:sectPr>
  </w:body>
</w:document>
</file>

<file path=word/comments.xml><?xml version="1.0" encoding="utf-8"?>
<w:comment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comment w:id="1" w:author="q" w:date="2026-10-01T15:42:00Z" w:initials="q">
    <w:p w14:paraId="2DF4D6FA">
      <w:pPr>
        <w:rPr/>
      </w:pPr>
      <w:r>
        <w:rPr/>
        <w:annotationRef/>
      </w:r>
      <w:r>
        <w:t>你的目录仍然不是超链接？还是说没有更新域？</w:t>
      </w:r>
    </w:p>
  </w:comment>
  <w:comment w:id="2" w:author="q" w:date="2026-10-01T15:42:00Z" w:initials="q">
    <w:p w14:paraId="20E1D15F">
      <w:pPr>
        <w:rPr/>
      </w:pPr>
      <w:r>
        <w:rPr/>
        <w:annotationRef/>
      </w:r>
      <w:r>
        <w:t>第一次出现的编号必须按顺序</w:t>
      </w:r>
    </w:p>
  </w:comment>
  <w:comment w:id="3" w:author="q" w:date="2026-10-01T15:44:00Z" w:initials="q">
    <w:p w14:paraId="3CF9B40B">
      <w:pPr>
        <w:rPr/>
      </w:pPr>
      <w:r>
        <w:rPr/>
        <w:annotationRef/>
      </w:r>
      <w:r>
        <w:t>多引几篇，不能说一篇综述说了这些你就直接引过来</w:t>
      </w:r>
    </w:p>
  </w:comment>
  <w:comment w:id="4" w:author="q" w:date="2026-10-01T15:46:00Z" w:initials="q">
    <w:p w14:paraId="129430FE">
      <w:pPr>
        <w:rPr/>
      </w:pPr>
      <w:r>
        <w:rPr/>
        <w:annotationRef/>
      </w:r>
      <w:r>
        <w:t>缺少印证</w:t>
      </w:r>
    </w:p>
  </w:comment>
  <w:comment w:id="5" w:author="q" w:date="2026-10-01T15:47:00Z" w:initials="q">
    <w:p w14:paraId="E981F959">
      <w:pPr>
        <w:rPr/>
      </w:pPr>
      <w:r>
        <w:rPr/>
        <w:annotationRef/>
      </w:r>
      <w:r>
        <w:t>引用放在人名后面 类似于Su等[]</w:t>
      </w:r>
    </w:p>
  </w:comment>
  <w:comment w:id="6" w:author="q" w:date="2026-10-01T15:51:00Z" w:initials="q">
    <w:p w14:paraId="C10CD718">
      <w:pPr>
        <w:rPr/>
      </w:pPr>
      <w:r>
        <w:rPr/>
        <w:annotationRef/>
      </w:r>
      <w:r>
        <w:t>第一次出现要写全称</w:t>
      </w:r>
    </w:p>
  </w:comment>
  <w:comment w:id="7" w:author="q" w:date="2026-10-01T15:49:00Z" w:initials="q">
    <w:p w14:paraId="2C456F7A">
      <w:pPr>
        <w:rPr/>
      </w:pPr>
      <w:r>
        <w:rPr/>
        <w:annotationRef/>
      </w:r>
      <w:r>
        <w:t>这里不是传统叠层TLP吗？</w:t>
      </w:r>
    </w:p>
  </w:comment>
  <w:comment w:id="8" w:author="q" w:date="2026-10-01T15:50:00Z" w:initials="q">
    <w:p w14:paraId="481E2745">
      <w:pPr>
        <w:rPr/>
      </w:pPr>
      <w:r>
        <w:rPr/>
        <w:annotationRef/>
      </w:r>
      <w:r>
        <w:t>缺少交叉引用</w:t>
      </w:r>
    </w:p>
  </w:comment>
  <w:comment w:id="9" w:author="q" w:date="2026-10-01T15:53:00Z" w:initials="q">
    <w:p w14:paraId="3EB148D6">
      <w:pPr>
        <w:rPr/>
      </w:pPr>
      <w:r>
        <w:rPr/>
        <w:annotationRef/>
      </w:r>
      <w:r>
        <w:t>一眼AI假下标</w:t>
      </w:r>
    </w:p>
  </w:comment>
  <w:comment w:id="10" w:author="q" w:date="2026-10-01T15:55:00Z" w:initials="q">
    <w:p w14:paraId="D516E6E6">
      <w:pPr>
        <w:rPr/>
      </w:pPr>
      <w:r>
        <w:rPr/>
        <w:annotationRef/>
      </w:r>
      <w:r>
        <w:t>所有的左上角角标以及涉及微观图标尺的，都要自己做</w:t>
      </w:r>
    </w:p>
  </w:comment>
  <w:comment w:id="11" w:author="q" w:date="2026-10-01T15:55:00Z" w:initials="q">
    <w:p w14:paraId="439E39D0">
      <w:pPr>
        <w:rPr/>
      </w:pPr>
      <w:r>
        <w:rPr/>
        <w:annotationRef/>
      </w:r>
      <w:r>
        <w:t>这个图自己画</w:t>
      </w:r>
    </w:p>
  </w:comment>
  <w:comment w:id="12" w:author="q" w:date="2026-10-01T16:04:00Z" w:initials="q">
    <w:p w14:paraId="5DD3AC29">
      <w:pPr>
        <w:rPr/>
      </w:pPr>
      <w:r>
        <w:rPr/>
        <w:annotationRef/>
      </w:r>
      <w:r>
        <w:t>提高多少？降低多少？</w:t>
      </w:r>
    </w:p>
  </w:comment>
  <w:comment w:id="13" w:author="q" w:date="2026-10-01T16:05:00Z" w:initials="q">
    <w:p w14:paraId="065CE798">
      <w:pPr>
        <w:rPr/>
      </w:pPr>
      <w:r>
        <w:rPr/>
        <w:annotationRef/>
      </w:r>
      <w:r>
        <w:t>这些文献并不能支持</w:t>
      </w:r>
    </w:p>
  </w:comment>
  <w:comment w:id="14" w:author="q" w:date="2026-10-01T16:07:00Z" w:initials="q">
    <w:p w14:paraId="722F5738">
      <w:pPr>
        <w:rPr/>
      </w:pPr>
      <w:r>
        <w:rPr/>
        <w:annotationRef/>
      </w:r>
      <w:r>
        <w:t>这里需要一张流程图</w:t>
      </w:r>
    </w:p>
  </w:comment>
  <w:comment w:id="15" w:author="q" w:date="2026-10-01T16:09:00Z" w:initials="q">
    <w:p w14:paraId="DACCDC1A">
      <w:pPr>
        <w:rPr/>
      </w:pPr>
      <w:r>
        <w:rPr/>
        <w:annotationRef/>
      </w:r>
      <w:r>
        <w:t>主要是热学参数</w:t>
      </w:r>
    </w:p>
  </w:comment>
  <w:comment w:id="16" w:author="q" w:date="2026-10-01T16:10:00Z" w:initials="q">
    <w:p w14:paraId="2C95C7B7">
      <w:pPr>
        <w:rPr/>
      </w:pPr>
      <w:r>
        <w:rPr/>
        <w:annotationRef/>
      </w:r>
      <w:r>
        <w:t>梯度不足</w:t>
      </w:r>
    </w:p>
  </w:comment>
  <w:comment w:id="17" w:author="q" w:date="2026-10-01T16:11:00Z" w:initials="q">
    <w:p w14:paraId="2B5381E2">
      <w:pPr>
        <w:rPr/>
      </w:pPr>
      <w:r>
        <w:rPr/>
        <w:annotationRef/>
      </w:r>
      <w:r>
        <w:t>高度300微米～400微米</w:t>
      </w:r>
    </w:p>
  </w:comment>
  <w:comment w:id="18" w:author="q" w:date="2026-10-01T16:12:00Z" w:initials="q">
    <w:p w14:paraId="AEAEF991">
      <w:pPr>
        <w:rPr/>
      </w:pPr>
      <w:r>
        <w:rPr/>
        <w:annotationRef/>
      </w:r>
      <w:r>
        <w:t>这里也是AI假上标</w:t>
      </w:r>
    </w:p>
  </w:comment>
  <w:comment w:id="19" w:author="q" w:date="2026-10-01T16:12:00Z" w:initials="q">
    <w:p w14:paraId="1081505D">
      <w:pPr>
        <w:rPr/>
      </w:pPr>
      <w:r>
        <w:rPr/>
        <w:annotationRef/>
      </w:r>
      <w:r>
        <w:t>不要在这里对比 正常来说除了前两张不该有引用</w:t>
      </w:r>
    </w:p>
  </w:comment>
  <w:comment w:id="20" w:author="q" w:date="2026-10-01T16:13:00Z" w:initials="q">
    <w:p w14:paraId="0FF33EAE">
      <w:pPr>
        <w:rPr/>
      </w:pPr>
      <w:r>
        <w:rPr/>
        <w:annotationRef/>
      </w:r>
      <w:r>
        <w:t>缺少很多药品</w:t>
      </w:r>
    </w:p>
  </w:comment>
  <w:comment w:id="21" w:author="q" w:date="2026-10-01T16:15:00Z" w:initials="q">
    <w:p w14:paraId="88BEF558">
      <w:pPr>
        <w:rPr/>
      </w:pPr>
      <w:r>
        <w:rPr/>
        <w:annotationRef/>
      </w:r>
      <w:r>
        <w:t>一页以内</w:t>
      </w:r>
    </w:p>
  </w:comment>
</w:comments>
</file>

<file path=word/commentsExtended.xml><?xml version="1.0" encoding="utf-8"?>
<w15:commentsEx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w15="http://schemas.microsoft.com/office/word/2012/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ne="http://schemas.microsoft.com/office/word/2006/wordml" mc:Ignorable="w15 w14 wp14">
  <w15:commentEx w15:paraId="2DF4D6FA"/>
  <w15:commentEx w15:paraId="20E1D15F"/>
  <w15:commentEx w15:paraId="3CF9B40B"/>
  <w15:commentEx w15:paraId="129430FE"/>
  <w15:commentEx w15:paraId="E981F959"/>
  <w15:commentEx w15:paraId="C10CD718"/>
  <w15:commentEx w15:paraId="2C456F7A"/>
  <w15:commentEx w15:paraId="481E2745"/>
  <w15:commentEx w15:paraId="3EB148D6"/>
  <w15:commentEx w15:paraId="D516E6E6"/>
  <w15:commentEx w15:paraId="439E39D0"/>
  <w15:commentEx w15:paraId="5DD3AC29"/>
  <w15:commentEx w15:paraId="065CE798"/>
  <w15:commentEx w15:paraId="722F5738"/>
  <w15:commentEx w15:paraId="DACCDC1A"/>
  <w15:commentEx w15:paraId="2C95C7B7"/>
  <w15:commentEx w15:paraId="2B5381E2"/>
  <w15:commentEx w15:paraId="AEAEF991"/>
  <w15:commentEx w15:paraId="1081505D"/>
  <w15:commentEx w15:paraId="0FF33EAE"/>
  <w15:commentEx w15:paraId="88BEF558"/>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MS Gothic">
    <w:altName w:val="MS Gothic"/>
    <w:panose1 w:val="020b0609070002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altName w:val="Yu Gothic"/>
    <w:panose1 w:val="020b0400000000000000"/>
    <w:charset w:val="80"/>
    <w:family w:val="auto"/>
    <w:pitch w:val="default"/>
    <w:sig w:usb0="E00002FF" w:usb1="2AC7FDFF" w:usb2="00000016" w:usb3="00000000" w:csb0="2002009F" w:csb1="00000000"/>
  </w:font>
  <w:font w:name="Cambria">
    <w:altName w:val="Cambria"/>
    <w:panose1 w:val="02040503050004030204"/>
    <w:charset w:val="00"/>
    <w:family w:val="auto"/>
    <w:pitch w:val="default"/>
    <w:sig w:usb0="E00006FF" w:usb1="420024FF" w:usb2="02000000" w:usb3="00000000" w:csb0="2000019F" w:csb1="00000000"/>
  </w:font>
  <w:font w:name="隶书">
    <w:altName w:val="隶书"/>
    <w:panose1 w:val="02010509060001010101"/>
    <w:charset w:val="86"/>
    <w:family w:val="modern"/>
    <w:pitch w:val="default"/>
    <w:sig w:usb0="00000001" w:usb1="080E0000" w:usb2="00000000" w:usb3="00000000" w:csb0="00040000" w:csb1="00000000"/>
  </w:font>
  <w:font w:name="Wingdings 2">
    <w:altName w:val="Wingdings 2"/>
    <w:panose1 w:val="05020102010005070707"/>
    <w:charset w:val="02"/>
    <w:family w:val="auto"/>
    <w:pitch w:val="default"/>
    <w:sig w:usb0="00000000" w:usb1="00000000" w:usb2="00000000" w:usb3="00000000" w:csb0="80000000" w:csb1="00000000"/>
  </w:font>
  <w:font w:name="华文新魏">
    <w:altName w:val="华文新魏"/>
    <w:panose1 w:val="02010800040001010101"/>
    <w:charset w:val="86"/>
    <w:family w:val="auto"/>
    <w:pitch w:val="default"/>
    <w:sig w:usb0="00000001" w:usb1="080F0000" w:usb2="00000000" w:usb3="00000000" w:csb0="00040000" w:csb1="00000000"/>
  </w:font>
  <w:font w:name="Microsoft YaHei UI">
    <w:altName w:val="Microsoft YaHei UI"/>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 w:name="AMGDT">
    <w:altName w:val="AMGDT"/>
    <w:panose1 w:val="02000400000000000000"/>
    <w:charset w:val="00"/>
    <w:family w:val="auto"/>
    <w:pitch w:val="default"/>
    <w:sig w:usb0="80000003" w:usb1="10000000" w:usb2="00000000" w:usb3="00000000" w:csb0="00000001" w:csb1="00000000"/>
  </w:font>
  <w:font w:name="ＭＳ ゴシック">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B4E1FAD">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551C32">
    <w:pPr>
      <w:pStyle w:val="style32"/>
      <w:jc w:val="center"/>
      <w:rPr/>
    </w:pPr>
    <w:r>
      <w:rPr>
        <w:rFonts w:ascii="Times New Roman" w:cs="Times New Roman" w:eastAsia="宋体" w:hAnsi="Times New Roman"/>
        <w:b w:val="false"/>
        <w:i w:val="false"/>
        <w:color w:val="000000"/>
        <w:sz w:val="21"/>
      </w:rPr>
      <w:fldChar w:fldCharType="begin"/>
    </w:r>
    <w:r>
      <w:rPr>
        <w:rFonts w:ascii="Times New Roman" w:cs="Times New Roman" w:eastAsia="宋体" w:hAnsi="Times New Roman"/>
        <w:b w:val="false"/>
        <w:i w:val="false"/>
        <w:color w:val="000000"/>
        <w:sz w:val="21"/>
      </w:rPr>
      <w:instrText>PAGE</w:instrText>
    </w:r>
    <w:r>
      <w:rPr>
        <w:rFonts w:ascii="Times New Roman" w:cs="Times New Roman" w:eastAsia="宋体" w:hAnsi="Times New Roman"/>
        <w:b w:val="false"/>
        <w:i w:val="false"/>
        <w:color w:val="000000"/>
        <w:sz w:val="21"/>
      </w:rPr>
      <w:fldChar w:fldCharType="separate"/>
    </w:r>
    <w:r>
      <w:rPr>
        <w:rFonts w:ascii="Times New Roman" w:cs="Times New Roman" w:eastAsia="宋体" w:hAnsi="Times New Roman"/>
        <w:b w:val="false"/>
        <w:i w:val="false"/>
        <w:color w:val="000000"/>
        <w:sz w:val="21"/>
      </w:rPr>
      <w:t>1</w:t>
    </w:r>
    <w:r>
      <w:rPr>
        <w:rFonts w:ascii="Times New Roman" w:cs="Times New Roman" w:eastAsia="宋体" w:hAnsi="Times New Roman"/>
        <w:b w:val="false"/>
        <w:i w:val="false"/>
        <w:color w:val="000000"/>
        <w:sz w:val="21"/>
      </w:rPr>
      <w:fldChar w:fldCharType="end"/>
    </w: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F880ED1">
    <w:pPr>
      <w:pStyle w:val="style32"/>
      <w:jc w:val="center"/>
      <w:rPr/>
    </w:pPr>
    <w:r>
      <w:rPr>
        <w:rFonts w:ascii="Times New Roman" w:cs="Times New Roman" w:eastAsia="宋体" w:hAnsi="Times New Roman"/>
        <w:b w:val="false"/>
        <w:i w:val="false"/>
        <w:color w:val="000000"/>
        <w:sz w:val="21"/>
      </w:rPr>
      <w:t xml:space="preserve">- </w:t>
    </w:r>
    <w:r>
      <w:rPr>
        <w:rFonts w:ascii="Times New Roman" w:cs="Times New Roman" w:eastAsia="宋体" w:hAnsi="Times New Roman"/>
        <w:b w:val="false"/>
        <w:i w:val="false"/>
        <w:color w:val="000000"/>
        <w:sz w:val="21"/>
      </w:rPr>
      <w:fldChar w:fldCharType="begin"/>
    </w:r>
    <w:r>
      <w:rPr>
        <w:rFonts w:ascii="Times New Roman" w:cs="Times New Roman" w:eastAsia="宋体" w:hAnsi="Times New Roman"/>
        <w:b w:val="false"/>
        <w:i w:val="false"/>
        <w:color w:val="000000"/>
        <w:sz w:val="21"/>
      </w:rPr>
      <w:instrText>PAGE</w:instrText>
    </w:r>
    <w:r>
      <w:rPr>
        <w:rFonts w:ascii="Times New Roman" w:cs="Times New Roman" w:eastAsia="宋体" w:hAnsi="Times New Roman"/>
        <w:b w:val="false"/>
        <w:i w:val="false"/>
        <w:color w:val="000000"/>
        <w:sz w:val="21"/>
      </w:rPr>
      <w:fldChar w:fldCharType="separate"/>
    </w:r>
    <w:r>
      <w:rPr>
        <w:rFonts w:ascii="Times New Roman" w:cs="Times New Roman" w:eastAsia="宋体" w:hAnsi="Times New Roman"/>
        <w:b w:val="false"/>
        <w:i w:val="false"/>
        <w:color w:val="000000"/>
        <w:sz w:val="21"/>
      </w:rPr>
      <w:t>1</w:t>
    </w:r>
    <w:r>
      <w:rPr>
        <w:rFonts w:ascii="Times New Roman" w:cs="Times New Roman" w:eastAsia="宋体" w:hAnsi="Times New Roman"/>
        <w:b w:val="false"/>
        <w:i w:val="false"/>
        <w:color w:val="000000"/>
        <w:sz w:val="21"/>
      </w:rPr>
      <w:fldChar w:fldCharType="end"/>
    </w:r>
    <w:r>
      <w:rPr>
        <w:rFonts w:ascii="Times New Roman" w:cs="Times New Roman" w:eastAsia="宋体" w:hAnsi="Times New Roman"/>
        <w:b w:val="false"/>
        <w:i w:val="false"/>
        <w:color w:val="000000"/>
        <w:sz w:val="21"/>
      </w:rPr>
      <w:t xml:space="preserv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F3CB6AB">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2151436">
    <w:pPr>
      <w:pStyle w:val="style31"/>
      <w:pBdr>
        <w:bottom w:val="double" w:sz="6" w:space="4" w:color="000000"/>
      </w:pBdr>
      <w:jc w:val="center"/>
      <w:rPr/>
    </w:pPr>
    <w:r>
      <w:rPr>
        <w:rFonts w:ascii="Times New Roman" w:cs="Times New Roman" w:eastAsia="宋体" w:hAnsi="Times New Roman"/>
        <w:b w:val="false"/>
        <w:i w:val="false"/>
        <w:color w:val="000000"/>
        <w:sz w:val="18"/>
      </w:rPr>
      <w:t>哈尔滨工业大学本科毕业论文（设计）</w: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111C4C5">
    <w:pPr>
      <w:pStyle w:val="style31"/>
      <w:pBdr>
        <w:bottom w:val="double" w:sz="6" w:space="4" w:color="000000"/>
      </w:pBdr>
      <w:jc w:val="center"/>
      <w:rPr/>
    </w:pPr>
    <w:r>
      <w:rPr>
        <w:rFonts w:ascii="Times New Roman" w:cs="Times New Roman" w:eastAsia="宋体" w:hAnsi="Times New Roman"/>
        <w:b w:val="false"/>
        <w:i w:val="false"/>
        <w:color w:val="000000"/>
        <w:sz w:val="18"/>
      </w:rPr>
      <w:t>哈尔滨工业大学本科毕业论文（设计）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71866F89"/>
    <w:lvl w:ilvl="0">
      <w:start w:val="1"/>
      <w:numFmt w:val="decimal"/>
      <w:pStyle w:val="style4128"/>
      <w:lvlText w:val="[%1]"/>
      <w:lvlJc w:val="left"/>
      <w:pPr>
        <w:ind w:left="420" w:hanging="420"/>
      </w:pPr>
      <w:rPr>
        <w:rFonts w:hint="eastAsia"/>
        <w:caps w:val="fals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1"/>
  <w:displayVerticalDrawingGridEvery w:val="1"/>
  <w:noPunctuationKerning/>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spacing w:after="200" w:lineRule="auto" w:line="276"/>
    </w:pPr>
    <w:rPr>
      <w:rFonts w:ascii="Times New Roman" w:cs="宋体" w:eastAsia="宋体" w:hAnsi="Times New Roman"/>
      <w:sz w:val="24"/>
      <w:szCs w:val="22"/>
      <w:lang w:val="en-US" w:bidi="ar-SA" w:eastAsia="en-US"/>
    </w:rPr>
  </w:style>
  <w:style w:type="paragraph" w:styleId="style1">
    <w:name w:val="heading 1"/>
    <w:basedOn w:val="style0"/>
    <w:next w:val="style0"/>
    <w:link w:val="style4099"/>
    <w:qFormat/>
    <w:uiPriority w:val="9"/>
    <w:pPr>
      <w:keepNext/>
      <w:keepLines/>
      <w:pageBreakBefore/>
      <w:spacing w:before="288" w:after="240" w:lineRule="auto" w:line="300"/>
      <w:outlineLvl w:val="0"/>
    </w:pPr>
    <w:rPr>
      <w:rFonts w:ascii="Calibri" w:cs="宋体" w:eastAsia="ＭＳ ゴシック" w:hAnsi="Calibri"/>
      <w:b/>
      <w:bCs/>
      <w:color w:val="376092"/>
      <w:sz w:val="36"/>
      <w:szCs w:val="28"/>
    </w:rPr>
  </w:style>
  <w:style w:type="paragraph" w:styleId="style2">
    <w:name w:val="heading 2"/>
    <w:basedOn w:val="style0"/>
    <w:next w:val="style0"/>
    <w:link w:val="style4100"/>
    <w:qFormat/>
    <w:uiPriority w:val="9"/>
    <w:pPr>
      <w:keepNext/>
      <w:keepLines/>
      <w:spacing w:before="120" w:after="120" w:lineRule="auto" w:line="300"/>
      <w:outlineLvl w:val="1"/>
    </w:pPr>
    <w:rPr>
      <w:rFonts w:ascii="Calibri" w:cs="宋体" w:eastAsia="ＭＳ ゴシック" w:hAnsi="Calibri"/>
      <w:b/>
      <w:bCs/>
      <w:color w:val="4f81bd"/>
      <w:sz w:val="30"/>
      <w:szCs w:val="26"/>
    </w:rPr>
  </w:style>
  <w:style w:type="paragraph" w:styleId="style3">
    <w:name w:val="heading 3"/>
    <w:basedOn w:val="style0"/>
    <w:next w:val="style0"/>
    <w:link w:val="style4101"/>
    <w:qFormat/>
    <w:uiPriority w:val="9"/>
    <w:pPr>
      <w:keepNext/>
      <w:keepLines/>
      <w:spacing w:before="120" w:after="120" w:lineRule="auto" w:line="300"/>
      <w:outlineLvl w:val="2"/>
    </w:pPr>
    <w:rPr>
      <w:rFonts w:ascii="Calibri" w:cs="宋体" w:eastAsia="ＭＳ ゴシック" w:hAnsi="Calibri"/>
      <w:b/>
      <w:bCs/>
      <w:color w:val="4f81bd"/>
      <w:sz w:val="28"/>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paragraph" w:styleId="style51">
    <w:name w:val="List 3"/>
    <w:basedOn w:val="style0"/>
    <w:next w:val="style51"/>
    <w:qFormat/>
    <w:uiPriority w:val="99"/>
    <w:pPr>
      <w:ind w:left="1080" w:hanging="360"/>
      <w:contextualSpacing/>
    </w:pPr>
    <w:rPr/>
  </w:style>
  <w:style w:type="paragraph" w:styleId="style58">
    <w:name w:val="List Number 2"/>
    <w:basedOn w:val="style0"/>
    <w:next w:val="style58"/>
    <w:qFormat/>
    <w:uiPriority w:val="99"/>
    <w:pPr>
      <w:numPr>
        <w:ilvl w:val="0"/>
        <w:numId w:val="1"/>
      </w:numPr>
      <w:contextualSpacing/>
    </w:pPr>
    <w:rPr/>
  </w:style>
  <w:style w:type="paragraph" w:styleId="style49">
    <w:name w:val="List Number"/>
    <w:basedOn w:val="style0"/>
    <w:next w:val="style49"/>
    <w:qFormat/>
    <w:uiPriority w:val="99"/>
    <w:pPr>
      <w:numPr>
        <w:ilvl w:val="0"/>
        <w:numId w:val="2"/>
      </w:numPr>
      <w:contextualSpacing/>
    </w:pPr>
    <w:rPr/>
  </w:style>
  <w:style w:type="paragraph" w:styleId="style34">
    <w:name w:val="caption"/>
    <w:basedOn w:val="style0"/>
    <w:next w:val="style0"/>
    <w:qFormat/>
    <w:uiPriority w:val="35"/>
    <w:pPr>
      <w:spacing w:lineRule="auto" w:line="240"/>
    </w:pPr>
    <w:rPr>
      <w:b/>
      <w:bCs/>
      <w:color w:val="4f81bd"/>
      <w:sz w:val="18"/>
      <w:szCs w:val="18"/>
    </w:rPr>
  </w:style>
  <w:style w:type="paragraph" w:styleId="style48">
    <w:name w:val="List Bullet"/>
    <w:basedOn w:val="style0"/>
    <w:next w:val="style48"/>
    <w:qFormat/>
    <w:uiPriority w:val="99"/>
    <w:pPr>
      <w:numPr>
        <w:ilvl w:val="0"/>
        <w:numId w:val="3"/>
      </w:numPr>
      <w:contextualSpacing/>
    </w:pPr>
    <w:rPr/>
  </w:style>
  <w:style w:type="paragraph" w:styleId="style81">
    <w:name w:val="Body Text 3"/>
    <w:basedOn w:val="style0"/>
    <w:next w:val="style81"/>
    <w:link w:val="style4106"/>
    <w:qFormat/>
    <w:uiPriority w:val="99"/>
    <w:pPr>
      <w:spacing w:after="120"/>
    </w:pPr>
    <w:rPr>
      <w:sz w:val="16"/>
      <w:szCs w:val="16"/>
    </w:rPr>
  </w:style>
  <w:style w:type="paragraph" w:styleId="style55">
    <w:name w:val="List Bullet 3"/>
    <w:basedOn w:val="style0"/>
    <w:next w:val="style55"/>
    <w:qFormat/>
    <w:uiPriority w:val="99"/>
    <w:pPr>
      <w:numPr>
        <w:ilvl w:val="0"/>
        <w:numId w:val="4"/>
      </w:numPr>
      <w:contextualSpacing/>
    </w:pPr>
    <w:rPr/>
  </w:style>
  <w:style w:type="paragraph" w:styleId="style66">
    <w:name w:val="Body Text"/>
    <w:basedOn w:val="style0"/>
    <w:next w:val="style66"/>
    <w:link w:val="style4104"/>
    <w:qFormat/>
    <w:uiPriority w:val="99"/>
    <w:pPr>
      <w:spacing w:after="120"/>
    </w:pPr>
    <w:rPr/>
  </w:style>
  <w:style w:type="paragraph" w:styleId="style59">
    <w:name w:val="List Number 3"/>
    <w:basedOn w:val="style0"/>
    <w:next w:val="style59"/>
    <w:qFormat/>
    <w:uiPriority w:val="99"/>
    <w:pPr>
      <w:numPr>
        <w:ilvl w:val="0"/>
        <w:numId w:val="5"/>
      </w:numPr>
      <w:contextualSpacing/>
    </w:pPr>
    <w:rPr/>
  </w:style>
  <w:style w:type="paragraph" w:styleId="style50">
    <w:name w:val="List 2"/>
    <w:basedOn w:val="style0"/>
    <w:next w:val="style50"/>
    <w:qFormat/>
    <w:uiPriority w:val="99"/>
    <w:pPr>
      <w:ind w:left="720" w:hanging="360"/>
      <w:contextualSpacing/>
    </w:pPr>
    <w:rPr/>
  </w:style>
  <w:style w:type="paragraph" w:styleId="style68">
    <w:name w:val="List Continue"/>
    <w:basedOn w:val="style0"/>
    <w:next w:val="style68"/>
    <w:qFormat/>
    <w:uiPriority w:val="99"/>
    <w:pPr>
      <w:spacing w:after="120"/>
      <w:ind w:left="360"/>
      <w:contextualSpacing/>
    </w:pPr>
    <w:rPr/>
  </w:style>
  <w:style w:type="paragraph" w:styleId="style54">
    <w:name w:val="List Bullet 2"/>
    <w:basedOn w:val="style0"/>
    <w:next w:val="style54"/>
    <w:qFormat/>
    <w:uiPriority w:val="99"/>
    <w:pPr>
      <w:numPr>
        <w:ilvl w:val="0"/>
        <w:numId w:val="6"/>
      </w:numPr>
      <w:contextualSpacing/>
    </w:pPr>
    <w:rPr/>
  </w:style>
  <w:style w:type="paragraph" w:styleId="style43">
    <w:name w:val="endnote text"/>
    <w:basedOn w:val="style0"/>
    <w:next w:val="style43"/>
    <w:qFormat/>
    <w:uiPriority w:val="0"/>
    <w:pPr>
      <w:adjustRightInd w:val="false"/>
      <w:snapToGrid w:val="false"/>
      <w:spacing w:lineRule="auto" w:line="300"/>
      <w:ind w:firstLine="505"/>
    </w:pPr>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 w:val="24"/>
      <w:szCs w:val="24"/>
    </w:rPr>
  </w:style>
  <w:style w:type="paragraph" w:styleId="style47">
    <w:name w:val="List"/>
    <w:basedOn w:val="style0"/>
    <w:next w:val="style47"/>
    <w:qFormat/>
    <w:uiPriority w:val="99"/>
    <w:pPr>
      <w:ind w:left="360" w:hanging="360"/>
      <w:contextualSpacing/>
    </w:pPr>
    <w:rPr/>
  </w:style>
  <w:style w:type="paragraph" w:styleId="style80">
    <w:name w:val="Body Text 2"/>
    <w:basedOn w:val="style0"/>
    <w:next w:val="style80"/>
    <w:link w:val="style4105"/>
    <w:qFormat/>
    <w:uiPriority w:val="99"/>
    <w:pPr>
      <w:spacing w:after="120" w:lineRule="auto" w:line="480"/>
    </w:pPr>
    <w:rPr/>
  </w:style>
  <w:style w:type="paragraph" w:styleId="style69">
    <w:name w:val="List Continue 2"/>
    <w:basedOn w:val="style0"/>
    <w:next w:val="style69"/>
    <w:qFormat/>
    <w:uiPriority w:val="99"/>
    <w:pPr>
      <w:spacing w:after="120"/>
      <w:ind w:left="720"/>
      <w:contextualSpacing/>
    </w:pPr>
    <w:rPr/>
  </w:style>
  <w:style w:type="paragraph" w:styleId="style94">
    <w:name w:val="Normal (Web)"/>
    <w:basedOn w:val="style0"/>
    <w:next w:val="style94"/>
    <w:qFormat/>
    <w:uiPriority w:val="99"/>
    <w:pPr>
      <w:spacing w:before="0" w:beforeAutospacing="true" w:after="0" w:afterAutospacing="true"/>
      <w:ind w:left="0" w:right="0"/>
      <w:jc w:val="left"/>
    </w:pPr>
    <w:rPr>
      <w:kern w:val="0"/>
      <w:sz w:val="24"/>
      <w:lang w:val="en-US" w:eastAsia="zh-CN"/>
    </w:rPr>
  </w:style>
  <w:style w:type="paragraph" w:styleId="style70">
    <w:name w:val="List Continue 3"/>
    <w:basedOn w:val="style0"/>
    <w:next w:val="style70"/>
    <w:qFormat/>
    <w:uiPriority w:val="99"/>
    <w:pPr>
      <w:spacing w:after="120"/>
      <w:ind w:left="1080"/>
      <w:contextualSpacing/>
    </w:pPr>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75e"/>
      <w:spacing w:val="5"/>
      <w:kern w:val="28"/>
      <w:sz w:val="52"/>
      <w:szCs w:val="52"/>
    </w:rPr>
  </w:style>
  <w:style w:type="paragraph" w:styleId="style77">
    <w:name w:val="Body Text First Indent"/>
    <w:basedOn w:val="style66"/>
    <w:next w:val="style77"/>
    <w:qFormat/>
    <w:uiPriority w:val="0"/>
    <w:pPr>
      <w:ind w:firstLine="420" w:firstLineChars="100"/>
    </w:pPr>
    <w:rPr/>
  </w:style>
  <w:style w:type="table" w:styleId="style154">
    <w:name w:val="Table Grid"/>
    <w:basedOn w:val="style105"/>
    <w:next w:val="style154"/>
    <w:qFormat/>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qFormat/>
    <w:uiPriority w:val="60"/>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qFormat/>
    <w:uiPriority w:val="60"/>
    <w:pPr>
      <w:spacing w:after="0" w:lineRule="auto" w:line="240"/>
    </w:pPr>
    <w:rPr>
      <w:color w:val="376092"/>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spacing w:after="0" w:lineRule="auto" w:line="240"/>
    </w:pPr>
    <w:rPr>
      <w:color w:val="953735"/>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qFormat/>
    <w:uiPriority w:val="60"/>
    <w:pPr>
      <w:spacing w:after="0" w:lineRule="auto" w:line="240"/>
    </w:pPr>
    <w:rPr>
      <w:color w:val="77933c"/>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qFormat/>
    <w:uiPriority w:val="60"/>
    <w:pPr>
      <w:spacing w:after="0" w:lineRule="auto" w:line="240"/>
    </w:pPr>
    <w:rPr>
      <w:color w:val="604a7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spacing w:after="0" w:lineRule="auto" w:line="240"/>
    </w:pPr>
    <w:rPr>
      <w:color w:val="31859c"/>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qFormat/>
    <w:uiPriority w:val="60"/>
    <w:pPr>
      <w:spacing w:after="0" w:lineRule="auto" w:line="240"/>
    </w:pPr>
    <w:rPr>
      <w:color w:val="e46c0a"/>
    </w:rPr>
    <w:tblPr>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qFormat/>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qFormat/>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qFormat/>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qFormat/>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qFormat/>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qFormat/>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qFormat/>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qFormat/>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qFormat/>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qFormat/>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qFormat/>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qFormat/>
    <w:uiPriority w:val="65"/>
    <w:pPr>
      <w:spacing w:after="0" w:lineRule="auto" w:line="240"/>
    </w:pPr>
    <w:rPr>
      <w:color w:val="000000"/>
    </w:rPr>
    <w:tblPr>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spacing w:after="0" w:lineRule="auto" w:line="240"/>
    </w:pPr>
    <w:rPr>
      <w:color w:val="000000"/>
    </w:rPr>
    <w:tblPr>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qFormat/>
    <w:uiPriority w:val="65"/>
    <w:pPr>
      <w:spacing w:after="0" w:lineRule="auto" w:line="240"/>
    </w:pPr>
    <w:rPr>
      <w:color w:val="000000"/>
    </w:rPr>
    <w:tblPr>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qFormat/>
    <w:uiPriority w:val="65"/>
    <w:pPr>
      <w:spacing w:after="0" w:lineRule="auto" w:line="240"/>
    </w:pPr>
    <w:rPr>
      <w:color w:val="000000"/>
    </w:rPr>
    <w:tblPr>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spacing w:after="0" w:lineRule="auto" w:line="240"/>
    </w:pPr>
    <w:rPr>
      <w:color w:val="000000"/>
    </w:rPr>
    <w:tblPr>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qFormat/>
    <w:uiPriority w:val="65"/>
    <w:pPr>
      <w:spacing w:after="0" w:lineRule="auto" w:line="240"/>
    </w:pPr>
    <w:rPr>
      <w:color w:val="000000"/>
    </w:rPr>
    <w:tblPr>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qFormat/>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qFormat/>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qFormat/>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qFormat/>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qFormat/>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qFormat/>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qFormat/>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CellMar>
        <w:top w:w="0" w:type="dxa"/>
        <w:left w:w="108" w:type="dxa"/>
        <w:bottom w:w="0" w:type="dxa"/>
        <w:right w:w="108" w:type="dxa"/>
      </w:tblCellMar>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qFormat/>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qFormat/>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qFormat/>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qFormat/>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qFormat/>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qFormat/>
    <w:uiPriority w:val="70"/>
    <w:pPr>
      <w:spacing w:after="0" w:lineRule="auto" w:line="240"/>
    </w:pPr>
    <w:rPr>
      <w:color w:val="ffffff"/>
    </w:rPr>
    <w:tblPr>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qFormat/>
    <w:uiPriority w:val="70"/>
    <w:pPr>
      <w:spacing w:after="0" w:lineRule="auto" w:line="240"/>
    </w:pPr>
    <w:rPr>
      <w:color w:val="ffffff"/>
    </w:rPr>
    <w:tblPr>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qFormat/>
    <w:uiPriority w:val="70"/>
    <w:pPr>
      <w:spacing w:after="0" w:lineRule="auto" w:line="240"/>
    </w:pPr>
    <w:rPr>
      <w:color w:val="ffffff"/>
    </w:rPr>
    <w:tblPr>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qFormat/>
    <w:uiPriority w:val="70"/>
    <w:pPr>
      <w:spacing w:after="0" w:lineRule="auto" w:line="240"/>
    </w:pPr>
    <w:rPr>
      <w:color w:val="ffffff"/>
    </w:rPr>
    <w:tblPr>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qFormat/>
    <w:uiPriority w:val="70"/>
    <w:pPr>
      <w:spacing w:after="0" w:lineRule="auto" w:line="240"/>
    </w:pPr>
    <w:rPr>
      <w:color w:val="ffffff"/>
    </w:rPr>
    <w:tblPr>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qFormat/>
    <w:uiPriority w:val="70"/>
    <w:pPr>
      <w:spacing w:after="0" w:lineRule="auto" w:line="240"/>
    </w:pPr>
    <w:rPr>
      <w:color w:val="ffffff"/>
    </w:rPr>
    <w:tblPr>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qFormat/>
    <w:uiPriority w:val="70"/>
    <w:pPr>
      <w:spacing w:after="0" w:lineRule="auto" w:line="240"/>
    </w:pPr>
    <w:rPr>
      <w:color w:val="ffffff"/>
    </w:rPr>
    <w:tblPr>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qFormat/>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qFormat/>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qFormat/>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qFormat/>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qFormat/>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qFormat/>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qFormat/>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qFormat/>
    <w:uiPriority w:val="72"/>
    <w:pPr>
      <w:spacing w:after="0" w:lineRule="auto" w:line="240"/>
    </w:pPr>
    <w:rPr>
      <w:color w:val="000000"/>
    </w:rPr>
    <w:tblPr>
      <w:shd w:val="clear" w:color="auto" w:fill="e5e5e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qFormat/>
    <w:uiPriority w:val="72"/>
    <w:pPr>
      <w:spacing w:after="0" w:lineRule="auto" w:line="240"/>
    </w:pPr>
    <w:rPr>
      <w:color w:val="000000"/>
    </w:rPr>
    <w:tblPr>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qFormat/>
    <w:uiPriority w:val="72"/>
    <w:pPr>
      <w:spacing w:after="0" w:lineRule="auto" w:line="240"/>
    </w:pPr>
    <w:rPr>
      <w:color w:val="000000"/>
    </w:rPr>
    <w:tblPr>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qFormat/>
    <w:uiPriority w:val="72"/>
    <w:pPr>
      <w:spacing w:after="0" w:lineRule="auto" w:line="240"/>
    </w:pPr>
    <w:rPr>
      <w:color w:val="000000"/>
    </w:rPr>
    <w:tblPr>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qFormat/>
    <w:uiPriority w:val="72"/>
    <w:pPr>
      <w:spacing w:after="0" w:lineRule="auto" w:line="240"/>
    </w:pPr>
    <w:rPr>
      <w:color w:val="000000"/>
    </w:rPr>
    <w:tblPr>
      <w:shd w:val="clear" w:color="auto" w:fill="f2eff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qFormat/>
    <w:uiPriority w:val="72"/>
    <w:pPr>
      <w:spacing w:after="0" w:lineRule="auto" w:line="240"/>
    </w:pPr>
    <w:rPr>
      <w:color w:val="000000"/>
    </w:rPr>
    <w:tblPr>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qFormat/>
    <w:uiPriority w:val="72"/>
    <w:pPr>
      <w:spacing w:after="0" w:lineRule="auto" w:line="240"/>
    </w:pPr>
    <w:rPr>
      <w:color w:val="000000"/>
    </w:rPr>
    <w:tblPr>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qFormat/>
    <w:uiPriority w:val="73"/>
    <w:pPr>
      <w:spacing w:after="0" w:lineRule="auto" w:line="240"/>
    </w:pPr>
    <w:rPr>
      <w:color w:val="000000"/>
    </w:rPr>
    <w:tblPr>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qFormat/>
    <w:uiPriority w:val="73"/>
    <w:pPr>
      <w:spacing w:after="0" w:lineRule="auto" w:line="240"/>
    </w:pPr>
    <w:rPr>
      <w:color w:val="000000"/>
    </w:rPr>
    <w:tblPr>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qFormat/>
    <w:uiPriority w:val="73"/>
    <w:pPr>
      <w:spacing w:after="0" w:lineRule="auto" w:line="240"/>
    </w:pPr>
    <w:rPr>
      <w:color w:val="000000"/>
    </w:rPr>
    <w:tblPr>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qFormat/>
    <w:uiPriority w:val="73"/>
    <w:pPr>
      <w:spacing w:after="0" w:lineRule="auto" w:line="240"/>
    </w:pPr>
    <w:rPr>
      <w:color w:val="000000"/>
    </w:rPr>
    <w:tblPr>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qFormat/>
    <w:uiPriority w:val="73"/>
    <w:pPr>
      <w:spacing w:after="0" w:lineRule="auto" w:line="240"/>
    </w:pPr>
    <w:rPr>
      <w:color w:val="000000"/>
    </w:rPr>
    <w:tblPr>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qFormat/>
    <w:uiPriority w:val="73"/>
    <w:pPr>
      <w:spacing w:after="0" w:lineRule="auto" w:line="240"/>
    </w:pPr>
    <w:rPr>
      <w:color w:val="000000"/>
    </w:rPr>
    <w:tblPr>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qFormat/>
    <w:uiPriority w:val="73"/>
    <w:pPr>
      <w:spacing w:after="0" w:lineRule="auto" w:line="240"/>
    </w:pPr>
    <w:rPr>
      <w:color w:val="000000"/>
    </w:rPr>
    <w:tblPr>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 w:type="character" w:styleId="style87">
    <w:name w:val="Strong"/>
    <w:basedOn w:val="style65"/>
    <w:next w:val="style87"/>
    <w:qFormat/>
    <w:uiPriority w:val="22"/>
    <w:rPr>
      <w:b/>
      <w:bCs/>
    </w:rPr>
  </w:style>
  <w:style w:type="character" w:styleId="style42">
    <w:name w:val="endnote reference"/>
    <w:basedOn w:val="style65"/>
    <w:next w:val="style42"/>
    <w:qFormat/>
    <w:uiPriority w:val="0"/>
    <w:rPr>
      <w:rFonts w:ascii="Times New Roman" w:eastAsia="宋体" w:hAnsi="Times New Roman"/>
      <w:sz w:val="24"/>
      <w:vertAlign w:val="superscript"/>
    </w:rPr>
  </w:style>
  <w:style w:type="character" w:styleId="style88">
    <w:name w:val="Emphasis"/>
    <w:basedOn w:val="style65"/>
    <w:next w:val="style88"/>
    <w:qFormat/>
    <w:uiPriority w:val="20"/>
    <w:rPr>
      <w:i/>
      <w:iCs/>
    </w:rPr>
  </w:style>
  <w:style w:type="character" w:customStyle="1" w:styleId="style4097">
    <w:name w:val="Header Char_0df90814-fbf2-4c63-9b63-6984590978c5"/>
    <w:basedOn w:val="style65"/>
    <w:next w:val="style4097"/>
    <w:link w:val="style31"/>
    <w:qFormat/>
    <w:uiPriority w:val="99"/>
  </w:style>
  <w:style w:type="character" w:customStyle="1" w:styleId="style4098">
    <w:name w:val="Footer Char_2936f360-00b5-4cad-8403-5c24fc0c85aa"/>
    <w:basedOn w:val="style65"/>
    <w:next w:val="style4098"/>
    <w:link w:val="style32"/>
    <w:qFormat/>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ff9d69a0-580e-40f7-bdf0-3d3a7de198b1"/>
    <w:basedOn w:val="style65"/>
    <w:next w:val="style4099"/>
    <w:link w:val="style1"/>
    <w:qFormat/>
    <w:uiPriority w:val="9"/>
    <w:rPr>
      <w:rFonts w:ascii="Calibri" w:cs="宋体" w:eastAsia="ＭＳ ゴシック" w:hAnsi="Calibri"/>
      <w:b/>
      <w:bCs/>
      <w:color w:val="376092"/>
      <w:sz w:val="28"/>
      <w:szCs w:val="28"/>
    </w:rPr>
  </w:style>
  <w:style w:type="character" w:customStyle="1" w:styleId="style4100">
    <w:name w:val="Heading 2 Char_2d5f6c2a-936a-4560-a35c-d3398fa5f6c4"/>
    <w:basedOn w:val="style65"/>
    <w:next w:val="style4100"/>
    <w:link w:val="style2"/>
    <w:qFormat/>
    <w:uiPriority w:val="9"/>
    <w:rPr>
      <w:rFonts w:ascii="Calibri" w:cs="宋体" w:eastAsia="ＭＳ ゴシック" w:hAnsi="Calibri"/>
      <w:b/>
      <w:bCs/>
      <w:color w:val="4f81bd"/>
      <w:sz w:val="26"/>
      <w:szCs w:val="26"/>
    </w:rPr>
  </w:style>
  <w:style w:type="character" w:customStyle="1" w:styleId="style4101">
    <w:name w:val="Heading 3 Char_ecae29f8-8ed6-45c1-99ed-65f0ef18a449"/>
    <w:basedOn w:val="style65"/>
    <w:next w:val="style4101"/>
    <w:link w:val="style3"/>
    <w:qFormat/>
    <w:uiPriority w:val="9"/>
    <w:rPr>
      <w:rFonts w:ascii="Calibri" w:cs="宋体" w:eastAsia="ＭＳ ゴシック" w:hAnsi="Calibri"/>
      <w:b/>
      <w:bCs/>
      <w:color w:val="4f81bd"/>
    </w:rPr>
  </w:style>
  <w:style w:type="character" w:customStyle="1" w:styleId="style4102">
    <w:name w:val="Title Char_968c9c72-9777-417f-b54a-0a2ef48a726f"/>
    <w:basedOn w:val="style65"/>
    <w:next w:val="style4102"/>
    <w:link w:val="style62"/>
    <w:qFormat/>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qFormat/>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6e2925e-c6c4-4f1d-8ce3-72c4ae65e5e2"/>
    <w:basedOn w:val="style65"/>
    <w:next w:val="style4108"/>
    <w:link w:val="style180"/>
    <w:qFormat/>
    <w:uiPriority w:val="29"/>
    <w:rPr>
      <w:i/>
      <w:iCs/>
      <w:color w:val="000000"/>
    </w:rPr>
  </w:style>
  <w:style w:type="character" w:customStyle="1" w:styleId="style4109">
    <w:name w:val="Heading 4 Char_bea2d8b3-c6f0-4b17-a7fd-54af75c188b8"/>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52d8a741-ca07-4888-ad4d-c65fbcf4719d"/>
    <w:basedOn w:val="style65"/>
    <w:next w:val="style4110"/>
    <w:link w:val="style5"/>
    <w:qFormat/>
    <w:uiPriority w:val="9"/>
    <w:rPr>
      <w:rFonts w:ascii="Calibri" w:cs="宋体" w:eastAsia="ＭＳ ゴシック" w:hAnsi="Calibri"/>
      <w:color w:val="254061"/>
    </w:rPr>
  </w:style>
  <w:style w:type="character" w:customStyle="1" w:styleId="style4111">
    <w:name w:val="Heading 6 Char_0c134b4d-581b-4d1e-a666-4899f6380604"/>
    <w:basedOn w:val="style65"/>
    <w:next w:val="style4111"/>
    <w:link w:val="style6"/>
    <w:qFormat/>
    <w:uiPriority w:val="9"/>
    <w:rPr>
      <w:rFonts w:ascii="Calibri" w:cs="宋体" w:eastAsia="ＭＳ ゴシック" w:hAnsi="Calibri"/>
      <w:i/>
      <w:iCs/>
      <w:color w:val="254061"/>
    </w:rPr>
  </w:style>
  <w:style w:type="character" w:customStyle="1" w:styleId="style4112">
    <w:name w:val="Heading 7 Char_d43d8ff0-c2a9-438e-b59f-437864fc15e5"/>
    <w:basedOn w:val="style65"/>
    <w:next w:val="style4112"/>
    <w:link w:val="style7"/>
    <w:qFormat/>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ae272807-1320-43d8-8df0-2284431868f6"/>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4432cf29-857a-462a-819d-cab482887c2c"/>
    <w:basedOn w:val="style65"/>
    <w:next w:val="style4114"/>
    <w:link w:val="style9"/>
    <w:qFormat/>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3c91c7f-96a8-4abc-9267-47e9f9faad6f"/>
    <w:basedOn w:val="style65"/>
    <w:next w:val="style4115"/>
    <w:link w:val="style181"/>
    <w:qFormat/>
    <w:uiPriority w:val="30"/>
    <w:rPr>
      <w:b/>
      <w:bCs/>
      <w:i/>
      <w:iCs/>
      <w:color w:val="4f81bd"/>
    </w:rPr>
  </w:style>
  <w:style w:type="character" w:customStyle="1" w:styleId="style4116">
    <w:name w:val="Subtle Emphasis_61923248-34e5-426d-b5da-64f059aa7b17"/>
    <w:basedOn w:val="style65"/>
    <w:next w:val="style4116"/>
    <w:qFormat/>
    <w:uiPriority w:val="19"/>
    <w:rPr>
      <w:i/>
      <w:iCs/>
      <w:color w:val="808080"/>
      <w14:textFill>
        <w14:solidFill>
          <w14:srgbClr w14:val="7f7f7f"/>
        </w14:solidFill>
      </w14:textFill>
    </w:rPr>
  </w:style>
  <w:style w:type="character" w:customStyle="1" w:styleId="style4117">
    <w:name w:val="Intense Emphasis_ca831a90-3af6-4e60-908f-5733989cdcb6"/>
    <w:basedOn w:val="style65"/>
    <w:next w:val="style4117"/>
    <w:qFormat/>
    <w:uiPriority w:val="21"/>
    <w:rPr>
      <w:b/>
      <w:bCs/>
      <w:i/>
      <w:iCs/>
      <w:color w:val="4f81bd"/>
    </w:rPr>
  </w:style>
  <w:style w:type="character" w:customStyle="1" w:styleId="style4118">
    <w:name w:val="Subtle Reference_34b658b0-8ab9-47f9-92fe-30f7d7c3400f"/>
    <w:basedOn w:val="style65"/>
    <w:next w:val="style4118"/>
    <w:qFormat/>
    <w:uiPriority w:val="31"/>
    <w:rPr>
      <w:smallCaps/>
      <w:color w:val="c0504d"/>
      <w:u w:val="single"/>
    </w:rPr>
  </w:style>
  <w:style w:type="character" w:customStyle="1" w:styleId="style4119">
    <w:name w:val="Intense Reference_d372df46-bbaf-4c57-a214-7feb0a248fcf"/>
    <w:basedOn w:val="style65"/>
    <w:next w:val="style4119"/>
    <w:qFormat/>
    <w:uiPriority w:val="32"/>
    <w:rPr>
      <w:b/>
      <w:bCs/>
      <w:smallCaps/>
      <w:color w:val="c0504d"/>
      <w:spacing w:val="5"/>
      <w:u w:val="single"/>
    </w:rPr>
  </w:style>
  <w:style w:type="character" w:customStyle="1" w:styleId="style4120">
    <w:name w:val="Book Title_2d3cc8fa-443d-41da-9d3f-6f1dcd4ea245"/>
    <w:basedOn w:val="style65"/>
    <w:next w:val="style4120"/>
    <w:qFormat/>
    <w:uiPriority w:val="33"/>
    <w:rPr>
      <w:b/>
      <w:bCs/>
      <w:smallCaps/>
      <w:spacing w:val="5"/>
    </w:rPr>
  </w:style>
  <w:style w:type="paragraph" w:customStyle="1" w:styleId="style4121">
    <w:name w:val="TOC Heading_79daf489-d3b0-4dfe-948b-e0b06c4b1294"/>
    <w:basedOn w:val="style1"/>
    <w:next w:val="style0"/>
    <w:qFormat/>
    <w:uiPriority w:val="39"/>
    <w:pPr>
      <w:outlineLvl w:val="9"/>
    </w:pPr>
    <w:rPr/>
  </w:style>
  <w:style w:type="paragraph" w:customStyle="1" w:styleId="style4122">
    <w:name w:val="正文1"/>
    <w:basedOn w:val="style0"/>
    <w:next w:val="style4122"/>
    <w:qFormat/>
    <w:uiPriority w:val="0"/>
    <w:pPr>
      <w:adjustRightInd w:val="false"/>
      <w:snapToGrid w:val="false"/>
      <w:spacing w:lineRule="auto" w:line="300"/>
      <w:ind w:firstLine="200" w:firstLineChars="200"/>
      <w:contextualSpacing/>
    </w:pPr>
    <w:rPr/>
  </w:style>
  <w:style w:type="paragraph" w:customStyle="1" w:styleId="style4123">
    <w:name w:val="本节标题"/>
    <w:basedOn w:val="style0"/>
    <w:next w:val="style4123"/>
    <w:qFormat/>
    <w:uiPriority w:val="0"/>
    <w:pPr>
      <w:keepNext/>
      <w:keepLines/>
      <w:spacing w:before="0" w:after="200"/>
      <w:outlineLvl w:val="1"/>
    </w:pPr>
    <w:rPr>
      <w:rFonts w:eastAsia="黑体"/>
      <w:b/>
      <w:sz w:val="30"/>
    </w:rPr>
  </w:style>
  <w:style w:type="paragraph" w:customStyle="1" w:styleId="style4124">
    <w:name w:val="研究现状小标题"/>
    <w:basedOn w:val="style0"/>
    <w:next w:val="style4124"/>
    <w:qFormat/>
    <w:uiPriority w:val="0"/>
    <w:pPr>
      <w:keepNext/>
      <w:keepLines/>
      <w:spacing w:before="160" w:after="120"/>
      <w:outlineLvl w:val="2"/>
    </w:pPr>
    <w:rPr>
      <w:rFonts w:eastAsia="黑体"/>
      <w:b/>
      <w:sz w:val="26"/>
    </w:rPr>
  </w:style>
  <w:style w:type="paragraph" w:customStyle="1" w:styleId="style4125">
    <w:name w:val="研究段落"/>
    <w:basedOn w:val="style0"/>
    <w:next w:val="style4125"/>
    <w:qFormat/>
    <w:uiPriority w:val="0"/>
    <w:pPr>
      <w:keepNext/>
      <w:keepLines/>
      <w:spacing w:after="100" w:lineRule="auto" w:line="360"/>
      <w:ind w:firstLine="480"/>
      <w:jc w:val="both"/>
    </w:pPr>
    <w:rPr/>
  </w:style>
  <w:style w:type="paragraph" w:customStyle="1" w:styleId="style4126">
    <w:name w:val="插图"/>
    <w:basedOn w:val="style0"/>
    <w:next w:val="style4126"/>
    <w:qFormat/>
    <w:uiPriority w:val="0"/>
    <w:pPr>
      <w:keepNext/>
      <w:keepLines/>
      <w:spacing w:before="60" w:after="60" w:lineRule="auto" w:line="240"/>
      <w:jc w:val="center"/>
    </w:pPr>
    <w:rPr/>
  </w:style>
  <w:style w:type="paragraph" w:customStyle="1" w:styleId="style4127">
    <w:name w:val="图题"/>
    <w:basedOn w:val="style0"/>
    <w:next w:val="style4127"/>
    <w:qFormat/>
    <w:uiPriority w:val="0"/>
    <w:pPr>
      <w:keepLines/>
      <w:spacing w:after="160" w:lineRule="auto" w:line="280"/>
      <w:jc w:val="center"/>
    </w:pPr>
    <w:rPr>
      <w:sz w:val="21"/>
    </w:rPr>
  </w:style>
  <w:style w:type="paragraph" w:customStyle="1" w:styleId="style4128">
    <w:name w:val="尾注"/>
    <w:basedOn w:val="style43"/>
    <w:next w:val="style4128"/>
    <w:qFormat/>
    <w:uiPriority w:val="0"/>
    <w:pPr>
      <w:numPr>
        <w:ilvl w:val="0"/>
        <w:numId w:val="7"/>
      </w:numPr>
      <w:overflowPunct w:val="false"/>
      <w:ind w:left="505" w:hanging="505"/>
      <w:contextualSpacing/>
    </w:pPr>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
</file>

<file path=customXml/item4.xml>
</file>

<file path=customXml/item5.xml>
</file>

<file path=customXml/item6.xml>
</file>

<file path=customXml/item7.xml>
</file>

<file path=customXml/item8.xml>
</file>

<file path=customXml/item9.xml>
</file>

<file path=customXml/item10.xml>
</file>

<file path=customXml/item11.xml>
</file>

<file path=customXml/item12.xml>
</file>

<file path=customXml/item13.xml>
</file>

<file path=customXml/item14.xml>
</file>

<file path=customXml/item15.xml>
</file>

<file path=customXml/item16.xml>
</file>

<file path=customXml/item17.xml>
</file>

<file path=customXml/item18.xml>
</file>

<file path=customXml/item19.xml>
</file>

<file path=customXml/item20.xml>
</file>

<file path=customXml/item21.xml>
</file>

<file path=customXml/item22.xml>
</file>

<file path=customXml/item23.xml>
</file>

<file path=customXml/item24.xml>
</file>

<file path=customXml/item25.xml>
</file>

<file path=customXml/item26.xml>
</file>

<file path=customXml/item27.xml>
</file>

<file path=customXml/item28.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
</file>

<file path=customXml/itemProps4.xml>
</file>

<file path=customXml/itemProps5.xml>
</file>

<file path=customXml/itemProps6.xml>
</file>

<file path=customXml/itemProps7.xml>
</file>

<file path=customXml/itemProps8.xml>
</file>

<file path=customXml/itemProps9.xml>
</file>

<file path=customXml/itemProps10.xml>
</file>

<file path=customXml/itemProps11.xml>
</file>

<file path=customXml/itemProps12.xml>
</file>

<file path=customXml/itemProps13.xml>
</file>

<file path=customXml/itemProps14.xml>
</file>

<file path=customXml/itemProps15.xml>
</file>

<file path=customXml/itemProps16.xml>
</file>

<file path=customXml/itemProps17.xml>
</file>

<file path=customXml/itemProps18.xml>
</file>

<file path=customXml/itemProps19.xml>
</file>

<file path=customXml/itemProps20.xml>
</file>

<file path=customXml/itemProps21.xml>
</file>

<file path=customXml/itemProps22.xml>
</file>

<file path=customXml/itemProps23.xml>
</file>

<file path=customXml/itemProps24.xml>
</file>

<file path=customXml/itemProps25.xml>
</file>

<file path=customXml/itemProps26.xml>
</file>

<file path=customXml/itemProps27.xml>
</file>

<file path=customXml/itemProps28.xml><?xml version="1.0" encoding="utf-8"?>
<ds:datastoreItem xmlns:ds="http://schemas.openxmlformats.org/officeDocument/2006/customXml" ds:itemID="{af15d011-4b82-45c3-ba92-37638e25e42e}">
  <ds:schemaRefs>
    <ds:schemaRef ds:uri="http://www.wps.cn/android/officeDocument/2013/mofficeCustomData"/>
  </ds:schemaRefs>
</ds:datastoreItem>
</file>