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4D16" w14:textId="77777777" w:rsidR="00F7602E" w:rsidRDefault="00F7602E" w:rsidP="00877DD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C1DB9D0" w14:textId="77777777" w:rsidR="00F7602E" w:rsidRPr="00715563" w:rsidRDefault="00F7602E" w:rsidP="00877DD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291841B" w14:textId="77777777" w:rsidR="00D46E46" w:rsidRDefault="00D46E46" w:rsidP="00D46E46">
      <w:pPr>
        <w:jc w:val="center"/>
      </w:pPr>
      <w:r>
        <w:rPr>
          <w:noProof/>
        </w:rPr>
        <w:drawing>
          <wp:inline distT="0" distB="0" distL="0" distR="0" wp14:anchorId="428B1500" wp14:editId="0CA6E959">
            <wp:extent cx="3403034" cy="2835862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044" cy="284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E411" w14:textId="7A952B6E" w:rsidR="00D46E46" w:rsidRDefault="00D46E46" w:rsidP="00D46E4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15563">
        <w:rPr>
          <w:rFonts w:ascii="Arial" w:hAnsi="Arial" w:cs="Arial"/>
          <w:b/>
          <w:sz w:val="24"/>
          <w:szCs w:val="24"/>
          <w:lang w:val="en-US"/>
        </w:rPr>
        <w:t>Fig. S</w:t>
      </w:r>
      <w:r w:rsidR="00F7030E">
        <w:rPr>
          <w:rFonts w:ascii="Arial" w:hAnsi="Arial" w:cs="Arial"/>
          <w:b/>
          <w:sz w:val="24"/>
          <w:szCs w:val="24"/>
          <w:lang w:val="en-US"/>
        </w:rPr>
        <w:t>2</w:t>
      </w:r>
      <w:r w:rsidRPr="00715563">
        <w:rPr>
          <w:rFonts w:ascii="Arial" w:hAnsi="Arial" w:cs="Arial"/>
          <w:b/>
          <w:sz w:val="24"/>
          <w:szCs w:val="24"/>
          <w:lang w:val="en-US"/>
        </w:rPr>
        <w:t>-</w:t>
      </w:r>
      <w:r w:rsidR="005B0F82">
        <w:rPr>
          <w:rFonts w:ascii="Arial" w:hAnsi="Arial" w:cs="Arial"/>
          <w:b/>
          <w:sz w:val="24"/>
          <w:szCs w:val="24"/>
          <w:lang w:val="en-US"/>
        </w:rPr>
        <w:t>1</w:t>
      </w:r>
      <w:r w:rsidRPr="00715563">
        <w:rPr>
          <w:rFonts w:ascii="Arial" w:hAnsi="Arial" w:cs="Arial"/>
          <w:sz w:val="24"/>
          <w:szCs w:val="24"/>
          <w:lang w:val="en-US"/>
        </w:rPr>
        <w:t xml:space="preserve">. Principal component analysis (PCA) of </w:t>
      </w:r>
      <w:r w:rsidR="00F022F8">
        <w:rPr>
          <w:rFonts w:ascii="Arial" w:hAnsi="Arial" w:cs="Arial"/>
          <w:sz w:val="24"/>
          <w:szCs w:val="24"/>
          <w:lang w:val="en-US"/>
        </w:rPr>
        <w:t xml:space="preserve">Belgian </w:t>
      </w:r>
      <w:r w:rsidRPr="00FC6EAF">
        <w:rPr>
          <w:rFonts w:ascii="Arial" w:hAnsi="Arial" w:cs="Arial"/>
          <w:b/>
          <w:bCs/>
          <w:sz w:val="24"/>
          <w:szCs w:val="24"/>
          <w:lang w:val="en-US"/>
        </w:rPr>
        <w:t xml:space="preserve">Pietrain </w:t>
      </w:r>
      <w:r w:rsidRPr="005332C0">
        <w:rPr>
          <w:rFonts w:ascii="Arial" w:hAnsi="Arial" w:cs="Arial"/>
          <w:b/>
          <w:bCs/>
          <w:sz w:val="24"/>
          <w:szCs w:val="24"/>
          <w:lang w:val="en-US"/>
        </w:rPr>
        <w:t xml:space="preserve">x </w:t>
      </w:r>
      <w:r w:rsidRPr="00FC6EAF">
        <w:rPr>
          <w:rFonts w:ascii="Arial" w:hAnsi="Arial" w:cs="Arial"/>
          <w:b/>
          <w:bCs/>
          <w:sz w:val="24"/>
          <w:szCs w:val="24"/>
          <w:lang w:val="en-US"/>
        </w:rPr>
        <w:t>Landrace crossbred pigs</w:t>
      </w:r>
      <w:r>
        <w:rPr>
          <w:rFonts w:ascii="Arial" w:hAnsi="Arial" w:cs="Arial"/>
          <w:sz w:val="24"/>
          <w:szCs w:val="24"/>
          <w:lang w:val="en-US"/>
        </w:rPr>
        <w:t xml:space="preserve"> used in the ssGWAS</w:t>
      </w:r>
      <w:r w:rsidRPr="00715563">
        <w:rPr>
          <w:rFonts w:ascii="Arial" w:hAnsi="Arial" w:cs="Arial"/>
          <w:sz w:val="24"/>
          <w:szCs w:val="24"/>
          <w:lang w:val="en-US"/>
        </w:rPr>
        <w:t>. The percentages shown on the x- and y-axes represent the proportion of total variation explained by PC1 and PC2, respectively.</w:t>
      </w:r>
    </w:p>
    <w:p w14:paraId="05AF8990" w14:textId="3A3D1ABA" w:rsidR="00D46E46" w:rsidRDefault="00D46E46" w:rsidP="00626DA4">
      <w:pPr>
        <w:rPr>
          <w:rFonts w:ascii="Arial" w:hAnsi="Arial" w:cs="Arial"/>
          <w:lang w:val="en-US"/>
        </w:rPr>
      </w:pPr>
    </w:p>
    <w:p w14:paraId="55371B00" w14:textId="3E13A924" w:rsidR="00D46E46" w:rsidRDefault="00D46E46" w:rsidP="00715563">
      <w:pPr>
        <w:jc w:val="center"/>
        <w:rPr>
          <w:rFonts w:ascii="Arial" w:hAnsi="Arial" w:cs="Arial"/>
          <w:lang w:val="en-US"/>
        </w:rPr>
      </w:pPr>
    </w:p>
    <w:p w14:paraId="134C9143" w14:textId="55B1B034" w:rsidR="00D46E46" w:rsidRDefault="005F46DE" w:rsidP="00715563">
      <w:pPr>
        <w:jc w:val="center"/>
        <w:rPr>
          <w:rFonts w:ascii="Arial" w:hAnsi="Arial" w:cs="Arial"/>
          <w:lang w:val="en-US"/>
        </w:rPr>
      </w:pPr>
      <w:r w:rsidRPr="005F46DE">
        <w:rPr>
          <w:rFonts w:ascii="Arial" w:hAnsi="Arial" w:cs="Arial"/>
          <w:noProof/>
        </w:rPr>
        <w:drawing>
          <wp:inline distT="0" distB="0" distL="0" distR="0" wp14:anchorId="1CC19076" wp14:editId="03D53E86">
            <wp:extent cx="3725008" cy="2376972"/>
            <wp:effectExtent l="0" t="0" r="8890" b="4445"/>
            <wp:docPr id="4" name="内容占位符 3">
              <a:extLst xmlns:a="http://schemas.openxmlformats.org/drawingml/2006/main">
                <a:ext uri="{FF2B5EF4-FFF2-40B4-BE49-F238E27FC236}">
                  <a16:creationId xmlns:a16="http://schemas.microsoft.com/office/drawing/2014/main" id="{EDCB98CC-3007-4E38-ACB0-64D632FCA1C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>
                      <a:extLst>
                        <a:ext uri="{FF2B5EF4-FFF2-40B4-BE49-F238E27FC236}">
                          <a16:creationId xmlns:a16="http://schemas.microsoft.com/office/drawing/2014/main" id="{EDCB98CC-3007-4E38-ACB0-64D632FCA1C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7067" cy="239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F31D" w14:textId="4A3FC9BB" w:rsidR="00D46E46" w:rsidRDefault="00D46E46" w:rsidP="00D46E4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15563">
        <w:rPr>
          <w:rFonts w:ascii="Arial" w:hAnsi="Arial" w:cs="Arial"/>
          <w:b/>
          <w:sz w:val="24"/>
          <w:szCs w:val="24"/>
          <w:lang w:val="en-US"/>
        </w:rPr>
        <w:t>Fig. S</w:t>
      </w:r>
      <w:r w:rsidR="00F7030E">
        <w:rPr>
          <w:rFonts w:ascii="Arial" w:hAnsi="Arial" w:cs="Arial"/>
          <w:b/>
          <w:sz w:val="24"/>
          <w:szCs w:val="24"/>
          <w:lang w:val="en-US"/>
        </w:rPr>
        <w:t>2</w:t>
      </w:r>
      <w:r w:rsidRPr="00715563">
        <w:rPr>
          <w:rFonts w:ascii="Arial" w:hAnsi="Arial" w:cs="Arial"/>
          <w:b/>
          <w:sz w:val="24"/>
          <w:szCs w:val="24"/>
          <w:lang w:val="en-US"/>
        </w:rPr>
        <w:t>-</w:t>
      </w:r>
      <w:r w:rsidR="005B0F82">
        <w:rPr>
          <w:rFonts w:ascii="Arial" w:hAnsi="Arial" w:cs="Arial"/>
          <w:b/>
          <w:sz w:val="24"/>
          <w:szCs w:val="24"/>
          <w:lang w:val="en-US"/>
        </w:rPr>
        <w:t>2</w:t>
      </w:r>
      <w:r w:rsidRPr="00715563">
        <w:rPr>
          <w:rFonts w:ascii="Arial" w:hAnsi="Arial" w:cs="Arial"/>
          <w:sz w:val="24"/>
          <w:szCs w:val="24"/>
          <w:lang w:val="en-US"/>
        </w:rPr>
        <w:t xml:space="preserve">. Principal component analysis (PCA) of </w:t>
      </w:r>
      <w:r w:rsidR="00F022F8">
        <w:rPr>
          <w:rFonts w:ascii="Arial" w:hAnsi="Arial" w:cs="Arial"/>
          <w:sz w:val="24"/>
          <w:szCs w:val="24"/>
          <w:lang w:val="en-US"/>
        </w:rPr>
        <w:t>Belgain</w:t>
      </w:r>
      <w:r w:rsidR="009F0633">
        <w:rPr>
          <w:rFonts w:ascii="Arial" w:hAnsi="Arial" w:cs="Arial"/>
          <w:sz w:val="24"/>
          <w:szCs w:val="24"/>
          <w:lang w:val="en-US"/>
        </w:rPr>
        <w:t xml:space="preserve"> </w:t>
      </w:r>
      <w:r w:rsidRPr="00D46E46">
        <w:rPr>
          <w:rFonts w:ascii="Arial" w:hAnsi="Arial" w:cs="Arial"/>
          <w:b/>
          <w:sz w:val="24"/>
          <w:szCs w:val="24"/>
          <w:lang w:val="en-US"/>
        </w:rPr>
        <w:t xml:space="preserve">Pietrain </w:t>
      </w:r>
      <w:r w:rsidRPr="00D46E46">
        <w:rPr>
          <w:rFonts w:ascii="Arial" w:hAnsi="Arial" w:cs="Arial" w:hint="eastAsia"/>
          <w:b/>
          <w:sz w:val="24"/>
          <w:szCs w:val="24"/>
          <w:lang w:val="en-US"/>
        </w:rPr>
        <w:t>and</w:t>
      </w:r>
      <w:r w:rsidRPr="00D46E46">
        <w:rPr>
          <w:rFonts w:ascii="Arial" w:hAnsi="Arial" w:cs="Arial"/>
          <w:b/>
          <w:sz w:val="24"/>
          <w:szCs w:val="24"/>
          <w:lang w:val="en-US"/>
        </w:rPr>
        <w:t xml:space="preserve"> Landrace</w:t>
      </w:r>
      <w:r w:rsidRPr="00715563">
        <w:rPr>
          <w:rFonts w:ascii="Arial" w:hAnsi="Arial" w:cs="Arial"/>
          <w:sz w:val="24"/>
          <w:szCs w:val="24"/>
          <w:lang w:val="en-US"/>
        </w:rPr>
        <w:t>. The percentages shown on the x- and y-axes represent the proportion of total variation explained by PC1 and PC2, respectively.</w:t>
      </w:r>
    </w:p>
    <w:p w14:paraId="4D0E78D6" w14:textId="77777777" w:rsidR="00D46E46" w:rsidRPr="00550115" w:rsidRDefault="00D46E46" w:rsidP="00715563">
      <w:pPr>
        <w:jc w:val="center"/>
        <w:rPr>
          <w:rFonts w:ascii="Arial" w:hAnsi="Arial" w:cs="Arial"/>
          <w:lang w:val="en-US"/>
        </w:rPr>
      </w:pPr>
    </w:p>
    <w:sectPr w:rsidR="00D46E46" w:rsidRPr="00550115" w:rsidSect="003E6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469AB" w14:textId="77777777" w:rsidR="001C3A59" w:rsidRDefault="001C3A59" w:rsidP="001C3A59">
      <w:pPr>
        <w:spacing w:after="0" w:line="240" w:lineRule="auto"/>
      </w:pPr>
      <w:r>
        <w:separator/>
      </w:r>
    </w:p>
  </w:endnote>
  <w:endnote w:type="continuationSeparator" w:id="0">
    <w:p w14:paraId="72F8C2FE" w14:textId="77777777" w:rsidR="001C3A59" w:rsidRDefault="001C3A59" w:rsidP="001C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AFA36" w14:textId="77777777" w:rsidR="001C3A59" w:rsidRDefault="001C3A59" w:rsidP="001C3A59">
      <w:pPr>
        <w:spacing w:after="0" w:line="240" w:lineRule="auto"/>
      </w:pPr>
      <w:r>
        <w:separator/>
      </w:r>
    </w:p>
  </w:footnote>
  <w:footnote w:type="continuationSeparator" w:id="0">
    <w:p w14:paraId="76C92D95" w14:textId="77777777" w:rsidR="001C3A59" w:rsidRDefault="001C3A59" w:rsidP="001C3A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E2"/>
    <w:rsid w:val="001C3A59"/>
    <w:rsid w:val="00286F3D"/>
    <w:rsid w:val="002B1786"/>
    <w:rsid w:val="003E6CBE"/>
    <w:rsid w:val="00404D77"/>
    <w:rsid w:val="0041016C"/>
    <w:rsid w:val="005332C0"/>
    <w:rsid w:val="00550115"/>
    <w:rsid w:val="00582722"/>
    <w:rsid w:val="00595378"/>
    <w:rsid w:val="005B0F82"/>
    <w:rsid w:val="005F46DE"/>
    <w:rsid w:val="00626DA4"/>
    <w:rsid w:val="00715563"/>
    <w:rsid w:val="00726314"/>
    <w:rsid w:val="00865F76"/>
    <w:rsid w:val="00877DDA"/>
    <w:rsid w:val="008A1C25"/>
    <w:rsid w:val="00914C7D"/>
    <w:rsid w:val="009F0633"/>
    <w:rsid w:val="00B36166"/>
    <w:rsid w:val="00CA16D0"/>
    <w:rsid w:val="00D46E46"/>
    <w:rsid w:val="00DC5D85"/>
    <w:rsid w:val="00DF54E2"/>
    <w:rsid w:val="00F022F8"/>
    <w:rsid w:val="00F03F47"/>
    <w:rsid w:val="00F7030E"/>
    <w:rsid w:val="00F7602E"/>
    <w:rsid w:val="00FC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132F"/>
  <w15:chartTrackingRefBased/>
  <w15:docId w15:val="{97E77D4C-11C9-417B-B9DB-93713003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3A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C3A59"/>
  </w:style>
  <w:style w:type="paragraph" w:styleId="a5">
    <w:name w:val="footer"/>
    <w:basedOn w:val="a"/>
    <w:link w:val="a6"/>
    <w:uiPriority w:val="99"/>
    <w:unhideWhenUsed/>
    <w:rsid w:val="001C3A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C3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341D4689FFA40A553152C49F9C930" ma:contentTypeVersion="13" ma:contentTypeDescription="Crée un document." ma:contentTypeScope="" ma:versionID="7d0071e1a6a12aaa042b900af200ad76">
  <xsd:schema xmlns:xsd="http://www.w3.org/2001/XMLSchema" xmlns:xs="http://www.w3.org/2001/XMLSchema" xmlns:p="http://schemas.microsoft.com/office/2006/metadata/properties" xmlns:ns2="724f88b2-2c90-460c-a8e3-27c20b1762d0" xmlns:ns3="eab4b052-0dc8-4870-98bd-18c9ce8f5eea" targetNamespace="http://schemas.microsoft.com/office/2006/metadata/properties" ma:root="true" ma:fieldsID="7353bbfbb46a1b7410cb1b36b8d5da8b" ns2:_="" ns3:_="">
    <xsd:import namespace="724f88b2-2c90-460c-a8e3-27c20b1762d0"/>
    <xsd:import namespace="eab4b052-0dc8-4870-98bd-18c9ce8f5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f88b2-2c90-460c-a8e3-27c20b176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434ded7-6e41-4000-8be6-3d063d771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b052-0dc8-4870-98bd-18c9ce8f5e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506c171-8aa4-43db-b7fe-c5277cd8807a}" ma:internalName="TaxCatchAll" ma:showField="CatchAllData" ma:web="eab4b052-0dc8-4870-98bd-18c9ce8f5e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b4b052-0dc8-4870-98bd-18c9ce8f5eea" xsi:nil="true"/>
    <lcf76f155ced4ddcb4097134ff3c332f xmlns="724f88b2-2c90-460c-a8e3-27c20b1762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552463-F6B1-4087-8186-03E71B4674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1ABA47-6222-4D49-AD0F-B6548DF72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f88b2-2c90-460c-a8e3-27c20b1762d0"/>
    <ds:schemaRef ds:uri="eab4b052-0dc8-4870-98bd-18c9ce8f5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331464-5746-416C-8ECD-0BFEA7C76EB6}">
  <ds:schemaRefs>
    <ds:schemaRef ds:uri="724f88b2-2c90-460c-a8e3-27c20b1762d0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purl.org/dc/elements/1.1/"/>
    <ds:schemaRef ds:uri="eab4b052-0dc8-4870-98bd-18c9ce8f5eea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Yansen</dc:creator>
  <cp:keywords/>
  <dc:description/>
  <cp:lastModifiedBy>Chen Yansen</cp:lastModifiedBy>
  <cp:revision>22</cp:revision>
  <dcterms:created xsi:type="dcterms:W3CDTF">2025-12-01T16:03:00Z</dcterms:created>
  <dcterms:modified xsi:type="dcterms:W3CDTF">2025-12-04T18:10:00Z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0x01010085C341D4689FFA40A553152C49F9C930</vt:lpwstr>
  </property>
  <property fmtid="{D5CDD505-2E9C-101B-9397-08002B2CF9AE}" pid="3" name="MediaServiceImageTags">
    <vt:lpwstr/>
  </property>
</Properties>
</file>