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i w:val="0"/>
          <w:sz w:val="28"/>
        </w:rPr>
        <w:t>UNIVERSIDAD PRIVADA ANTENOR ORREGO</w:t>
      </w:r>
    </w:p>
    <w:p>
      <w:pPr>
        <w:jc w:val="center"/>
      </w:pPr>
      <w:r>
        <w:rPr>
          <w:rFonts w:ascii="Arial" w:hAnsi="Arial"/>
          <w:b w:val="0"/>
          <w:i w:val="0"/>
          <w:sz w:val="24"/>
        </w:rPr>
        <w:t>Taller Integrador 1</w:t>
      </w:r>
    </w:p>
    <w:p>
      <w:pPr>
        <w:spacing w:before="800"/>
        <w:jc w:val="center"/>
      </w:pPr>
      <w:r>
        <w:rPr>
          <w:rFonts w:ascii="Arial" w:hAnsi="Arial"/>
          <w:b/>
          <w:i w:val="0"/>
          <w:color w:val="1F3864"/>
          <w:sz w:val="44"/>
        </w:rPr>
        <w:t>Presentación de Avances</w:t>
      </w:r>
    </w:p>
    <w:p>
      <w:pPr>
        <w:jc w:val="center"/>
      </w:pPr>
      <w:r>
        <w:rPr>
          <w:rFonts w:ascii="Arial" w:hAnsi="Arial"/>
          <w:b/>
          <w:i w:val="0"/>
          <w:sz w:val="24"/>
        </w:rPr>
        <w:t>Plataforma de generación asistida de contenido educativo y evaluaciones a partir del material del docente, interoperable con sistemas de gestión del aprendizaje</w:t>
      </w:r>
    </w:p>
    <w:p>
      <w:pPr>
        <w:spacing w:before="360"/>
        <w:jc w:val="center"/>
      </w:pPr>
      <w:r>
        <w:rPr>
          <w:rFonts w:ascii="Arial" w:hAnsi="Arial"/>
          <w:b w:val="0"/>
          <w:i/>
          <w:sz w:val="22"/>
        </w:rPr>
        <w:t>Versión actualizada · incluye el registro de dedicación de 10 horas semanales por integrante</w:t>
      </w:r>
    </w:p>
    <w:p>
      <w:pPr>
        <w:spacing w:before="1000"/>
        <w:jc w:val="center"/>
      </w:pPr>
      <w:r>
        <w:rPr>
          <w:rFonts w:ascii="Arial" w:hAnsi="Arial"/>
          <w:b w:val="0"/>
          <w:i w:val="0"/>
          <w:sz w:val="22"/>
        </w:rPr>
        <w:t>Juan Alegria · Silvana Diaz · Yan Liu Dai · Sergio Celi</w:t>
      </w:r>
    </w:p>
    <w:p>
      <w:pPr>
        <w:jc w:val="center"/>
      </w:pPr>
      <w:r>
        <w:rPr>
          <w:rFonts w:ascii="Arial" w:hAnsi="Arial"/>
          <w:b w:val="0"/>
          <w:i w:val="0"/>
          <w:sz w:val="22"/>
        </w:rPr>
        <w:t>Trujillo – Perú, setiembre de 2026</w:t>
      </w:r>
    </w:p>
    <w:p>
      <w:r>
        <w:br w:type="page"/>
      </w:r>
    </w:p>
    <w:p>
      <w:pPr>
        <w:spacing w:before="280" w:after="120"/>
      </w:pPr>
      <w:r>
        <w:rPr>
          <w:rFonts w:ascii="Arial" w:hAnsi="Arial"/>
          <w:b/>
          <w:color w:val="1F3864"/>
          <w:sz w:val="30"/>
        </w:rPr>
        <w:t>1. Estado del proyecto y evolución del enfoque</w:t>
      </w:r>
    </w:p>
    <w:p>
      <w:pPr>
        <w:spacing w:after="100"/>
        <w:jc w:val="both"/>
      </w:pPr>
      <w:r>
        <w:rPr>
          <w:rFonts w:ascii="Arial" w:hAnsi="Arial"/>
          <w:b w:val="0"/>
          <w:i w:val="0"/>
          <w:sz w:val="21"/>
        </w:rPr>
        <w:t>El proyecto atraviesa su tercera formulación. Cada cambio respondió a una observación del docente asesor: la primera pidió no duplicar plataformas existentes, y la segunda exigió una base pedagógica explícita y claridad sobre dónde se aplica el procesamiento de lenguaje natural. La versión actual adopta el modelo instruccional de las 5E y una arquitectura de generación aumentada por recuperación sobre base de datos vectorial.</w:t>
      </w:r>
    </w:p>
    <w:tbl>
      <w:tblPr>
        <w:tblStyle w:val="TableGrid"/>
        <w:tblW w:type="auto" w:w="0"/>
        <w:tblLook w:firstColumn="1" w:firstRow="1" w:lastColumn="0" w:lastRow="0" w:noHBand="0" w:noVBand="1" w:val="04A0"/>
      </w:tblPr>
      <w:tblGrid>
        <w:gridCol w:w="2409"/>
        <w:gridCol w:w="2409"/>
        <w:gridCol w:w="2409"/>
        <w:gridCol w:w="2409"/>
      </w:tblGrid>
      <w:tr>
        <w:tc>
          <w:tcPr>
            <w:tcW w:type="dxa" w:w="1701"/>
          </w:tcPr>
          <w:p>
            <w:r/>
            <w:r>
              <w:rPr>
                <w:rFonts w:ascii="Arial" w:hAnsi="Arial"/>
                <w:b/>
                <w:i w:val="0"/>
                <w:sz w:val="17"/>
              </w:rPr>
              <w:t>Aspecto</w:t>
            </w:r>
          </w:p>
        </w:tc>
        <w:tc>
          <w:tcPr>
            <w:tcW w:type="dxa" w:w="2041"/>
          </w:tcPr>
          <w:p>
            <w:r/>
            <w:r>
              <w:rPr>
                <w:rFonts w:ascii="Arial" w:hAnsi="Arial"/>
                <w:b/>
                <w:i w:val="0"/>
                <w:sz w:val="17"/>
              </w:rPr>
              <w:t>v1 (semana 1)</w:t>
            </w:r>
          </w:p>
        </w:tc>
        <w:tc>
          <w:tcPr>
            <w:tcW w:type="dxa" w:w="2494"/>
          </w:tcPr>
          <w:p>
            <w:r/>
            <w:r>
              <w:rPr>
                <w:rFonts w:ascii="Arial" w:hAnsi="Arial"/>
                <w:b/>
                <w:i w:val="0"/>
                <w:sz w:val="17"/>
              </w:rPr>
              <w:t>v2 (semana 3)</w:t>
            </w:r>
          </w:p>
        </w:tc>
        <w:tc>
          <w:tcPr>
            <w:tcW w:type="dxa" w:w="3345"/>
          </w:tcPr>
          <w:p>
            <w:r/>
            <w:r>
              <w:rPr>
                <w:rFonts w:ascii="Arial" w:hAnsi="Arial"/>
                <w:b/>
                <w:i w:val="0"/>
                <w:sz w:val="17"/>
              </w:rPr>
              <w:t>v3 (actual)</w:t>
            </w:r>
          </w:p>
        </w:tc>
      </w:tr>
      <w:tr>
        <w:tc>
          <w:tcPr>
            <w:tcW w:type="dxa" w:w="1701"/>
          </w:tcPr>
          <w:p>
            <w:r/>
            <w:r>
              <w:rPr>
                <w:rFonts w:ascii="Arial" w:hAnsi="Arial"/>
                <w:b w:val="0"/>
                <w:i w:val="0"/>
                <w:sz w:val="17"/>
              </w:rPr>
              <w:t>Qué construimos</w:t>
            </w:r>
          </w:p>
        </w:tc>
        <w:tc>
          <w:tcPr>
            <w:tcW w:type="dxa" w:w="2041"/>
          </w:tcPr>
          <w:p>
            <w:r/>
            <w:r>
              <w:rPr>
                <w:rFonts w:ascii="Arial" w:hAnsi="Arial"/>
                <w:b w:val="0"/>
                <w:i w:val="0"/>
                <w:sz w:val="17"/>
              </w:rPr>
              <w:t>Plataforma web propia tipo LMS</w:t>
            </w:r>
          </w:p>
        </w:tc>
        <w:tc>
          <w:tcPr>
            <w:tcW w:type="dxa" w:w="2494"/>
          </w:tcPr>
          <w:p>
            <w:r/>
            <w:r>
              <w:rPr>
                <w:rFonts w:ascii="Arial" w:hAnsi="Arial"/>
                <w:b w:val="0"/>
                <w:i w:val="0"/>
                <w:sz w:val="17"/>
              </w:rPr>
              <w:t>Componente que se integra a LMS existentes</w:t>
            </w:r>
          </w:p>
        </w:tc>
        <w:tc>
          <w:tcPr>
            <w:tcW w:type="dxa" w:w="3345"/>
          </w:tcPr>
          <w:p>
            <w:r/>
            <w:r>
              <w:rPr>
                <w:rFonts w:ascii="Arial" w:hAnsi="Arial"/>
                <w:b w:val="0"/>
                <w:i w:val="0"/>
                <w:sz w:val="17"/>
              </w:rPr>
              <w:t>Igual que v2, con fundación arquitectónica y UX/UI estandarizada antes de programar</w:t>
            </w:r>
          </w:p>
        </w:tc>
      </w:tr>
      <w:tr>
        <w:tc>
          <w:tcPr>
            <w:tcW w:type="dxa" w:w="1701"/>
          </w:tcPr>
          <w:p>
            <w:r/>
            <w:r>
              <w:rPr>
                <w:rFonts w:ascii="Arial" w:hAnsi="Arial"/>
                <w:b w:val="0"/>
                <w:i w:val="0"/>
                <w:sz w:val="17"/>
              </w:rPr>
              <w:t>Qué genera</w:t>
            </w:r>
          </w:p>
        </w:tc>
        <w:tc>
          <w:tcPr>
            <w:tcW w:type="dxa" w:w="2041"/>
          </w:tcPr>
          <w:p>
            <w:r/>
            <w:r>
              <w:rPr>
                <w:rFonts w:ascii="Arial" w:hAnsi="Arial"/>
                <w:b w:val="0"/>
                <w:i w:val="0"/>
                <w:sz w:val="17"/>
              </w:rPr>
              <w:t>Preguntas de opción múltiple</w:t>
            </w:r>
          </w:p>
        </w:tc>
        <w:tc>
          <w:tcPr>
            <w:tcW w:type="dxa" w:w="2494"/>
          </w:tcPr>
          <w:p>
            <w:r/>
            <w:r>
              <w:rPr>
                <w:rFonts w:ascii="Arial" w:hAnsi="Arial"/>
                <w:b w:val="0"/>
                <w:i w:val="0"/>
                <w:sz w:val="17"/>
              </w:rPr>
              <w:t>Evaluaciones, contenido y actividades</w:t>
            </w:r>
          </w:p>
        </w:tc>
        <w:tc>
          <w:tcPr>
            <w:tcW w:type="dxa" w:w="3345"/>
          </w:tcPr>
          <w:p>
            <w:r/>
            <w:r>
              <w:rPr>
                <w:rFonts w:ascii="Arial" w:hAnsi="Arial"/>
                <w:b w:val="0"/>
                <w:i w:val="0"/>
                <w:sz w:val="17"/>
              </w:rPr>
              <w:t>Secuencia didáctica completa conforme al modelo 5E</w:t>
            </w:r>
          </w:p>
        </w:tc>
      </w:tr>
      <w:tr>
        <w:tc>
          <w:tcPr>
            <w:tcW w:type="dxa" w:w="1701"/>
          </w:tcPr>
          <w:p>
            <w:r/>
            <w:r>
              <w:rPr>
                <w:rFonts w:ascii="Arial" w:hAnsi="Arial"/>
                <w:b w:val="0"/>
                <w:i w:val="0"/>
                <w:sz w:val="17"/>
              </w:rPr>
              <w:t>Base pedagógica</w:t>
            </w:r>
          </w:p>
        </w:tc>
        <w:tc>
          <w:tcPr>
            <w:tcW w:type="dxa" w:w="2041"/>
          </w:tcPr>
          <w:p>
            <w:r/>
            <w:r>
              <w:rPr>
                <w:rFonts w:ascii="Arial" w:hAnsi="Arial"/>
                <w:b w:val="0"/>
                <w:i w:val="0"/>
                <w:sz w:val="17"/>
              </w:rPr>
              <w:t>No declarada</w:t>
            </w:r>
          </w:p>
        </w:tc>
        <w:tc>
          <w:tcPr>
            <w:tcW w:type="dxa" w:w="2494"/>
          </w:tcPr>
          <w:p>
            <w:r/>
            <w:r>
              <w:rPr>
                <w:rFonts w:ascii="Arial" w:hAnsi="Arial"/>
                <w:b w:val="0"/>
                <w:i w:val="0"/>
                <w:sz w:val="17"/>
              </w:rPr>
              <w:t>No declarada</w:t>
            </w:r>
          </w:p>
        </w:tc>
        <w:tc>
          <w:tcPr>
            <w:tcW w:type="dxa" w:w="3345"/>
          </w:tcPr>
          <w:p>
            <w:r/>
            <w:r>
              <w:rPr>
                <w:rFonts w:ascii="Arial" w:hAnsi="Arial"/>
                <w:b w:val="0"/>
                <w:i w:val="0"/>
                <w:sz w:val="17"/>
              </w:rPr>
              <w:t>Modelo instruccional de las 5E (Bybee et al., 2006)</w:t>
            </w:r>
          </w:p>
        </w:tc>
      </w:tr>
      <w:tr>
        <w:tc>
          <w:tcPr>
            <w:tcW w:type="dxa" w:w="1701"/>
          </w:tcPr>
          <w:p>
            <w:r/>
            <w:r>
              <w:rPr>
                <w:rFonts w:ascii="Arial" w:hAnsi="Arial"/>
                <w:b w:val="0"/>
                <w:i w:val="0"/>
                <w:sz w:val="17"/>
              </w:rPr>
              <w:t>Cómo funciona el PLN</w:t>
            </w:r>
          </w:p>
        </w:tc>
        <w:tc>
          <w:tcPr>
            <w:tcW w:type="dxa" w:w="2041"/>
          </w:tcPr>
          <w:p>
            <w:r/>
            <w:r>
              <w:rPr>
                <w:rFonts w:ascii="Arial" w:hAnsi="Arial"/>
                <w:b w:val="0"/>
                <w:i w:val="0"/>
                <w:sz w:val="17"/>
              </w:rPr>
              <w:t>Solicitud directa al modelo</w:t>
            </w:r>
          </w:p>
        </w:tc>
        <w:tc>
          <w:tcPr>
            <w:tcW w:type="dxa" w:w="2494"/>
          </w:tcPr>
          <w:p>
            <w:r/>
            <w:r>
              <w:rPr>
                <w:rFonts w:ascii="Arial" w:hAnsi="Arial"/>
                <w:b w:val="0"/>
                <w:i w:val="0"/>
                <w:sz w:val="17"/>
              </w:rPr>
              <w:t>Solicitud directa con anclaje conceptual</w:t>
            </w:r>
          </w:p>
        </w:tc>
        <w:tc>
          <w:tcPr>
            <w:tcW w:type="dxa" w:w="3345"/>
          </w:tcPr>
          <w:p>
            <w:r/>
            <w:r>
              <w:rPr>
                <w:rFonts w:ascii="Arial" w:hAnsi="Arial"/>
                <w:b w:val="0"/>
                <w:i w:val="0"/>
                <w:sz w:val="17"/>
              </w:rPr>
              <w:t>Arquitectura RAG sobre base vectorial, con citación y verificación de anclaje</w:t>
            </w:r>
          </w:p>
        </w:tc>
      </w:tr>
      <w:tr>
        <w:tc>
          <w:tcPr>
            <w:tcW w:type="dxa" w:w="1701"/>
          </w:tcPr>
          <w:p>
            <w:r/>
            <w:r>
              <w:rPr>
                <w:rFonts w:ascii="Arial" w:hAnsi="Arial"/>
                <w:b w:val="0"/>
                <w:i w:val="0"/>
                <w:sz w:val="17"/>
              </w:rPr>
              <w:t>Cómo se entrega</w:t>
            </w:r>
          </w:p>
        </w:tc>
        <w:tc>
          <w:tcPr>
            <w:tcW w:type="dxa" w:w="2041"/>
          </w:tcPr>
          <w:p>
            <w:r/>
            <w:r>
              <w:rPr>
                <w:rFonts w:ascii="Arial" w:hAnsi="Arial"/>
                <w:b w:val="0"/>
                <w:i w:val="0"/>
                <w:sz w:val="17"/>
              </w:rPr>
              <w:t>Publicación en nuestra propia web</w:t>
            </w:r>
          </w:p>
        </w:tc>
        <w:tc>
          <w:tcPr>
            <w:tcW w:type="dxa" w:w="2494"/>
          </w:tcPr>
          <w:p>
            <w:r/>
            <w:r>
              <w:rPr>
                <w:rFonts w:ascii="Arial" w:hAnsi="Arial"/>
                <w:b w:val="0"/>
                <w:i w:val="0"/>
                <w:sz w:val="17"/>
              </w:rPr>
              <w:t>Paquetes QTI, SCORM o Common Cartridge</w:t>
            </w:r>
          </w:p>
        </w:tc>
        <w:tc>
          <w:tcPr>
            <w:tcW w:type="dxa" w:w="3345"/>
          </w:tcPr>
          <w:p>
            <w:r/>
            <w:r>
              <w:rPr>
                <w:rFonts w:ascii="Arial" w:hAnsi="Arial"/>
                <w:b w:val="0"/>
                <w:i w:val="0"/>
                <w:sz w:val="17"/>
              </w:rPr>
              <w:t>Igual que v2</w:t>
            </w:r>
          </w:p>
        </w:tc>
      </w:tr>
      <w:tr>
        <w:tc>
          <w:tcPr>
            <w:tcW w:type="dxa" w:w="1701"/>
          </w:tcPr>
          <w:p>
            <w:r/>
            <w:r>
              <w:rPr>
                <w:rFonts w:ascii="Arial" w:hAnsi="Arial"/>
                <w:b w:val="0"/>
                <w:i w:val="0"/>
                <w:sz w:val="17"/>
              </w:rPr>
              <w:t>Equipo</w:t>
            </w:r>
          </w:p>
        </w:tc>
        <w:tc>
          <w:tcPr>
            <w:tcW w:type="dxa" w:w="2041"/>
          </w:tcPr>
          <w:p>
            <w:r/>
            <w:r>
              <w:rPr>
                <w:rFonts w:ascii="Arial" w:hAnsi="Arial"/>
                <w:b w:val="0"/>
                <w:i w:val="0"/>
                <w:sz w:val="17"/>
              </w:rPr>
              <w:t>3 integrantes</w:t>
            </w:r>
          </w:p>
        </w:tc>
        <w:tc>
          <w:tcPr>
            <w:tcW w:type="dxa" w:w="2494"/>
          </w:tcPr>
          <w:p>
            <w:r/>
            <w:r>
              <w:rPr>
                <w:rFonts w:ascii="Arial" w:hAnsi="Arial"/>
                <w:b w:val="0"/>
                <w:i w:val="0"/>
                <w:sz w:val="17"/>
              </w:rPr>
              <w:t>4 integrantes, un módulo por persona</w:t>
            </w:r>
          </w:p>
        </w:tc>
        <w:tc>
          <w:tcPr>
            <w:tcW w:type="dxa" w:w="3345"/>
          </w:tcPr>
          <w:p>
            <w:r/>
            <w:r>
              <w:rPr>
                <w:rFonts w:ascii="Arial" w:hAnsi="Arial"/>
                <w:b w:val="0"/>
                <w:i w:val="0"/>
                <w:sz w:val="17"/>
              </w:rPr>
              <w:t>4 integrantes, una etapa 5E por persona más responsabilidad transversal</w:t>
            </w:r>
          </w:p>
        </w:tc>
      </w:tr>
      <w:tr>
        <w:tc>
          <w:tcPr>
            <w:tcW w:type="dxa" w:w="1701"/>
          </w:tcPr>
          <w:p>
            <w:r/>
            <w:r>
              <w:rPr>
                <w:rFonts w:ascii="Arial" w:hAnsi="Arial"/>
                <w:b w:val="0"/>
                <w:i w:val="0"/>
                <w:sz w:val="17"/>
              </w:rPr>
              <w:t>Indicadores</w:t>
            </w:r>
          </w:p>
        </w:tc>
        <w:tc>
          <w:tcPr>
            <w:tcW w:type="dxa" w:w="2041"/>
          </w:tcPr>
          <w:p>
            <w:r/>
            <w:r>
              <w:rPr>
                <w:rFonts w:ascii="Arial" w:hAnsi="Arial"/>
                <w:b w:val="0"/>
                <w:i w:val="0"/>
                <w:sz w:val="17"/>
              </w:rPr>
              <w:t>15</w:t>
            </w:r>
          </w:p>
        </w:tc>
        <w:tc>
          <w:tcPr>
            <w:tcW w:type="dxa" w:w="2494"/>
          </w:tcPr>
          <w:p>
            <w:r/>
            <w:r>
              <w:rPr>
                <w:rFonts w:ascii="Arial" w:hAnsi="Arial"/>
                <w:b w:val="0"/>
                <w:i w:val="0"/>
                <w:sz w:val="17"/>
              </w:rPr>
              <w:t>19</w:t>
            </w:r>
          </w:p>
        </w:tc>
        <w:tc>
          <w:tcPr>
            <w:tcW w:type="dxa" w:w="3345"/>
          </w:tcPr>
          <w:p>
            <w:r/>
            <w:r>
              <w:rPr>
                <w:rFonts w:ascii="Arial" w:hAnsi="Arial"/>
                <w:b w:val="0"/>
                <w:i w:val="0"/>
                <w:sz w:val="17"/>
              </w:rPr>
              <w:t>23 (se añaden I20 a I23 de recuperación, anclaje, trazabilidad y cobertura 5E)</w:t>
            </w:r>
          </w:p>
        </w:tc>
      </w:tr>
      <w:tr>
        <w:tc>
          <w:tcPr>
            <w:tcW w:type="dxa" w:w="1701"/>
          </w:tcPr>
          <w:p>
            <w:r/>
            <w:r>
              <w:rPr>
                <w:rFonts w:ascii="Arial" w:hAnsi="Arial"/>
                <w:b w:val="0"/>
                <w:i w:val="0"/>
                <w:sz w:val="17"/>
              </w:rPr>
              <w:t>Brechas</w:t>
            </w:r>
          </w:p>
        </w:tc>
        <w:tc>
          <w:tcPr>
            <w:tcW w:type="dxa" w:w="2041"/>
          </w:tcPr>
          <w:p>
            <w:r/>
            <w:r>
              <w:rPr>
                <w:rFonts w:ascii="Arial" w:hAnsi="Arial"/>
                <w:b w:val="0"/>
                <w:i w:val="0"/>
                <w:sz w:val="17"/>
              </w:rPr>
              <w:t>9 dimensiones</w:t>
            </w:r>
          </w:p>
        </w:tc>
        <w:tc>
          <w:tcPr>
            <w:tcW w:type="dxa" w:w="2494"/>
          </w:tcPr>
          <w:p>
            <w:r/>
            <w:r>
              <w:rPr>
                <w:rFonts w:ascii="Arial" w:hAnsi="Arial"/>
                <w:b w:val="0"/>
                <w:i w:val="0"/>
                <w:sz w:val="17"/>
              </w:rPr>
              <w:t>11 dimensiones</w:t>
            </w:r>
          </w:p>
        </w:tc>
        <w:tc>
          <w:tcPr>
            <w:tcW w:type="dxa" w:w="3345"/>
          </w:tcPr>
          <w:p>
            <w:r/>
            <w:r>
              <w:rPr>
                <w:rFonts w:ascii="Arial" w:hAnsi="Arial"/>
                <w:b w:val="0"/>
                <w:i w:val="0"/>
                <w:sz w:val="17"/>
              </w:rPr>
              <w:t>12 dimensiones</w:t>
            </w:r>
          </w:p>
        </w:tc>
      </w:tr>
    </w:tbl>
    <w:p/>
    <w:p>
      <w:pPr>
        <w:spacing w:before="200" w:after="120"/>
      </w:pPr>
      <w:r>
        <w:rPr>
          <w:rFonts w:ascii="Arial" w:hAnsi="Arial"/>
          <w:b/>
          <w:color w:val="2F5496"/>
          <w:sz w:val="24"/>
        </w:rPr>
        <w:t>Reparto del equipo por etapa del modelo 5E</w:t>
      </w:r>
    </w:p>
    <w:tbl>
      <w:tblPr>
        <w:tblStyle w:val="TableGrid"/>
        <w:tblW w:type="auto" w:w="0"/>
        <w:tblLook w:firstColumn="1" w:firstRow="1" w:lastColumn="0" w:lastRow="0" w:noHBand="0" w:noVBand="1" w:val="04A0"/>
      </w:tblPr>
      <w:tblGrid>
        <w:gridCol w:w="3213"/>
        <w:gridCol w:w="3213"/>
        <w:gridCol w:w="3213"/>
      </w:tblGrid>
      <w:tr>
        <w:tc>
          <w:tcPr>
            <w:tcW w:type="dxa" w:w="2041"/>
          </w:tcPr>
          <w:p>
            <w:r/>
            <w:r>
              <w:rPr>
                <w:rFonts w:ascii="Arial" w:hAnsi="Arial"/>
                <w:b/>
                <w:i w:val="0"/>
                <w:sz w:val="18"/>
              </w:rPr>
              <w:t>Integrante</w:t>
            </w:r>
          </w:p>
        </w:tc>
        <w:tc>
          <w:tcPr>
            <w:tcW w:type="dxa" w:w="3175"/>
          </w:tcPr>
          <w:p>
            <w:r/>
            <w:r>
              <w:rPr>
                <w:rFonts w:ascii="Arial" w:hAnsi="Arial"/>
                <w:b/>
                <w:i w:val="0"/>
                <w:sz w:val="18"/>
              </w:rPr>
              <w:t>Etapa 5E</w:t>
            </w:r>
          </w:p>
        </w:tc>
        <w:tc>
          <w:tcPr>
            <w:tcW w:type="dxa" w:w="4365"/>
          </w:tcPr>
          <w:p>
            <w:r/>
            <w:r>
              <w:rPr>
                <w:rFonts w:ascii="Arial" w:hAnsi="Arial"/>
                <w:b/>
                <w:i w:val="0"/>
                <w:sz w:val="18"/>
              </w:rPr>
              <w:t>Responsabilidad transversal</w:t>
            </w:r>
          </w:p>
        </w:tc>
      </w:tr>
      <w:tr>
        <w:tc>
          <w:tcPr>
            <w:tcW w:type="dxa" w:w="2041"/>
          </w:tcPr>
          <w:p>
            <w:r/>
            <w:r>
              <w:rPr>
                <w:rFonts w:ascii="Arial" w:hAnsi="Arial"/>
                <w:b w:val="0"/>
                <w:i w:val="0"/>
                <w:sz w:val="18"/>
              </w:rPr>
              <w:t>Juan Alegria</w:t>
            </w:r>
          </w:p>
        </w:tc>
        <w:tc>
          <w:tcPr>
            <w:tcW w:type="dxa" w:w="3175"/>
          </w:tcPr>
          <w:p>
            <w:r/>
            <w:r>
              <w:rPr>
                <w:rFonts w:ascii="Arial" w:hAnsi="Arial"/>
                <w:b w:val="0"/>
                <w:i w:val="0"/>
                <w:sz w:val="18"/>
              </w:rPr>
              <w:t>Engage (Enganchar) y Explain (Explicar)</w:t>
            </w:r>
          </w:p>
        </w:tc>
        <w:tc>
          <w:tcPr>
            <w:tcW w:type="dxa" w:w="4365"/>
          </w:tcPr>
          <w:p>
            <w:r/>
            <w:r>
              <w:rPr>
                <w:rFonts w:ascii="Arial" w:hAnsi="Arial"/>
                <w:b w:val="0"/>
                <w:i w:val="0"/>
                <w:sz w:val="18"/>
              </w:rPr>
              <w:t>Product Owner y gestión del backlog</w:t>
            </w:r>
          </w:p>
        </w:tc>
      </w:tr>
      <w:tr>
        <w:tc>
          <w:tcPr>
            <w:tcW w:type="dxa" w:w="2041"/>
          </w:tcPr>
          <w:p>
            <w:r/>
            <w:r>
              <w:rPr>
                <w:rFonts w:ascii="Arial" w:hAnsi="Arial"/>
                <w:b w:val="0"/>
                <w:i w:val="0"/>
                <w:sz w:val="18"/>
              </w:rPr>
              <w:t>Silvana Diaz</w:t>
            </w:r>
          </w:p>
        </w:tc>
        <w:tc>
          <w:tcPr>
            <w:tcW w:type="dxa" w:w="3175"/>
          </w:tcPr>
          <w:p>
            <w:r/>
            <w:r>
              <w:rPr>
                <w:rFonts w:ascii="Arial" w:hAnsi="Arial"/>
                <w:b w:val="0"/>
                <w:i w:val="0"/>
                <w:sz w:val="18"/>
              </w:rPr>
              <w:t>Evaluate (Evaluar)</w:t>
            </w:r>
          </w:p>
        </w:tc>
        <w:tc>
          <w:tcPr>
            <w:tcW w:type="dxa" w:w="4365"/>
          </w:tcPr>
          <w:p>
            <w:r/>
            <w:r>
              <w:rPr>
                <w:rFonts w:ascii="Arial" w:hAnsi="Arial"/>
                <w:b w:val="0"/>
                <w:i w:val="0"/>
                <w:sz w:val="18"/>
              </w:rPr>
              <w:t>Scrum Master y sistema de diseño UX/UI</w:t>
            </w:r>
          </w:p>
        </w:tc>
      </w:tr>
      <w:tr>
        <w:tc>
          <w:tcPr>
            <w:tcW w:type="dxa" w:w="2041"/>
          </w:tcPr>
          <w:p>
            <w:r/>
            <w:r>
              <w:rPr>
                <w:rFonts w:ascii="Arial" w:hAnsi="Arial"/>
                <w:b w:val="0"/>
                <w:i w:val="0"/>
                <w:sz w:val="18"/>
              </w:rPr>
              <w:t>Yan Liu Dai</w:t>
            </w:r>
          </w:p>
        </w:tc>
        <w:tc>
          <w:tcPr>
            <w:tcW w:type="dxa" w:w="3175"/>
          </w:tcPr>
          <w:p>
            <w:r/>
            <w:r>
              <w:rPr>
                <w:rFonts w:ascii="Arial" w:hAnsi="Arial"/>
                <w:b w:val="0"/>
                <w:i w:val="0"/>
                <w:sz w:val="18"/>
              </w:rPr>
              <w:t>Explore (Explorar)</w:t>
            </w:r>
          </w:p>
        </w:tc>
        <w:tc>
          <w:tcPr>
            <w:tcW w:type="dxa" w:w="4365"/>
          </w:tcPr>
          <w:p>
            <w:r/>
            <w:r>
              <w:rPr>
                <w:rFonts w:ascii="Arial" w:hAnsi="Arial"/>
                <w:b w:val="0"/>
                <w:i w:val="0"/>
                <w:sz w:val="18"/>
              </w:rPr>
              <w:t>Núcleo RAG y arquitectura de datos</w:t>
            </w:r>
          </w:p>
        </w:tc>
      </w:tr>
      <w:tr>
        <w:tc>
          <w:tcPr>
            <w:tcW w:type="dxa" w:w="2041"/>
          </w:tcPr>
          <w:p>
            <w:r/>
            <w:r>
              <w:rPr>
                <w:rFonts w:ascii="Arial" w:hAnsi="Arial"/>
                <w:b w:val="0"/>
                <w:i w:val="0"/>
                <w:sz w:val="18"/>
              </w:rPr>
              <w:t>Sergio Celi</w:t>
            </w:r>
          </w:p>
        </w:tc>
        <w:tc>
          <w:tcPr>
            <w:tcW w:type="dxa" w:w="3175"/>
          </w:tcPr>
          <w:p>
            <w:r/>
            <w:r>
              <w:rPr>
                <w:rFonts w:ascii="Arial" w:hAnsi="Arial"/>
                <w:b w:val="0"/>
                <w:i w:val="0"/>
                <w:sz w:val="18"/>
              </w:rPr>
              <w:t>Elaborate (Elaborar)</w:t>
            </w:r>
          </w:p>
        </w:tc>
        <w:tc>
          <w:tcPr>
            <w:tcW w:type="dxa" w:w="4365"/>
          </w:tcPr>
          <w:p>
            <w:r/>
            <w:r>
              <w:rPr>
                <w:rFonts w:ascii="Arial" w:hAnsi="Arial"/>
                <w:b w:val="0"/>
                <w:i w:val="0"/>
                <w:sz w:val="18"/>
              </w:rPr>
              <w:t>Arquitectura de software e interoperabilidad</w:t>
            </w:r>
          </w:p>
        </w:tc>
      </w:tr>
    </w:tbl>
    <w:p/>
    <w:p>
      <w:pPr>
        <w:spacing w:after="100"/>
        <w:jc w:val="both"/>
      </w:pPr>
      <w:r>
        <w:rPr>
          <w:rFonts w:ascii="Arial" w:hAnsi="Arial"/>
          <w:b w:val="0"/>
          <w:i/>
          <w:sz w:val="19"/>
        </w:rPr>
        <w:t>Dedicación comprometida: 10 horas semanales por integrante, 40 horas de equipo por semana y 600 horas en el ciclo. El detalle se registra en la sección 6.</w:t>
      </w:r>
    </w:p>
    <w:p>
      <w:pPr>
        <w:spacing w:before="280" w:after="120"/>
      </w:pPr>
      <w:r>
        <w:rPr>
          <w:rFonts w:ascii="Arial" w:hAnsi="Arial"/>
          <w:b/>
          <w:color w:val="1F3864"/>
          <w:sz w:val="30"/>
        </w:rPr>
        <w:t>2. Semana 1 — Inception</w:t>
      </w:r>
    </w:p>
    <w:p>
      <w:pPr>
        <w:spacing w:before="200" w:after="120"/>
      </w:pPr>
      <w:r>
        <w:rPr>
          <w:rFonts w:ascii="Arial" w:hAnsi="Arial"/>
          <w:b/>
          <w:color w:val="2F5496"/>
          <w:sz w:val="24"/>
        </w:rPr>
        <w:t>2.1 Realidad problemática</w:t>
      </w:r>
    </w:p>
    <w:p>
      <w:pPr>
        <w:spacing w:after="100"/>
        <w:jc w:val="both"/>
      </w:pPr>
      <w:r>
        <w:rPr>
          <w:rFonts w:ascii="Arial" w:hAnsi="Arial"/>
          <w:b w:val="0"/>
          <w:i w:val="0"/>
          <w:sz w:val="21"/>
        </w:rPr>
        <w:t>El atributo de calidad principal es el rendimiento del proceso de elaboración de material didáctico, medido como tiempo docente por recurso de calidad. A él se suman la adecuación pedagógica del contenido, la gestión y trazabilidad del material, la usabilidad del flujo de revisión, y la disponibilidad y seguridad del servicio.</w:t>
      </w:r>
    </w:p>
    <w:p>
      <w:pPr>
        <w:pStyle w:val="ListBullet"/>
        <w:spacing w:after="100"/>
        <w:jc w:val="both"/>
      </w:pPr>
      <w:r>
        <w:rPr>
          <w:rFonts w:ascii="Arial" w:hAnsi="Arial"/>
          <w:b/>
          <w:i w:val="0"/>
          <w:sz w:val="20"/>
        </w:rPr>
        <w:t>Alto costo de tiempo.</w:t>
      </w:r>
      <w:r>
        <w:rPr>
          <w:rFonts w:ascii="Arial" w:hAnsi="Arial"/>
          <w:b w:val="0"/>
          <w:i w:val="0"/>
          <w:sz w:val="20"/>
        </w:rPr>
        <w:t xml:space="preserve"> Un estudio con 75 especialistas registró 52 minutos promedio para el primer borrador de un ítem (Meazure Learning, 2022); en otro ensayo, dos examinadores tardaron 211 minutos en redactar 50 preguntas frente a 20 minutos del modelo de lenguaje (Cheung et al., 2023).</w:t>
      </w:r>
    </w:p>
    <w:p>
      <w:pPr>
        <w:pStyle w:val="ListBullet"/>
        <w:spacing w:after="100"/>
        <w:jc w:val="both"/>
      </w:pPr>
      <w:r>
        <w:rPr>
          <w:rFonts w:ascii="Arial" w:hAnsi="Arial"/>
          <w:b/>
          <w:i w:val="0"/>
          <w:sz w:val="20"/>
        </w:rPr>
        <w:t>Distractores que no funcionan.</w:t>
      </w:r>
      <w:r>
        <w:rPr>
          <w:rFonts w:ascii="Arial" w:hAnsi="Arial"/>
          <w:b w:val="0"/>
          <w:i w:val="0"/>
          <w:sz w:val="20"/>
        </w:rPr>
        <w:t xml:space="preserve"> En un banco de 514 ítems elaborados manualmente, solo algo más de la mitad de los distractores resultó funcional (Research Square, 2019).</w:t>
      </w:r>
    </w:p>
    <w:p>
      <w:pPr>
        <w:pStyle w:val="ListBullet"/>
        <w:spacing w:after="100"/>
        <w:jc w:val="both"/>
      </w:pPr>
      <w:r>
        <w:rPr>
          <w:rFonts w:ascii="Arial" w:hAnsi="Arial"/>
          <w:b/>
          <w:i w:val="0"/>
          <w:sz w:val="20"/>
        </w:rPr>
        <w:t>Ausencia de secuencia pedagógica.</w:t>
      </w:r>
      <w:r>
        <w:rPr>
          <w:rFonts w:ascii="Arial" w:hAnsi="Arial"/>
          <w:b w:val="0"/>
          <w:i w:val="0"/>
          <w:sz w:val="20"/>
        </w:rPr>
        <w:t xml:space="preserve"> Las herramientas asistidas por IA generan recursos sueltos, sin un modelo instruccional que ordene la progresión del aprendizaje (Bybee et al., 2006; Polanin et al., 2024).</w:t>
      </w:r>
    </w:p>
    <w:p>
      <w:pPr>
        <w:pStyle w:val="ListBullet"/>
        <w:spacing w:after="100"/>
        <w:jc w:val="both"/>
      </w:pPr>
      <w:r>
        <w:rPr>
          <w:rFonts w:ascii="Arial" w:hAnsi="Arial"/>
          <w:b/>
          <w:i w:val="0"/>
          <w:sz w:val="20"/>
        </w:rPr>
        <w:t>Generación sin evidencia.</w:t>
      </w:r>
      <w:r>
        <w:rPr>
          <w:rFonts w:ascii="Arial" w:hAnsi="Arial"/>
          <w:b w:val="0"/>
          <w:i w:val="0"/>
          <w:sz w:val="20"/>
        </w:rPr>
        <w:t xml:space="preserve"> La generación por inyección de instrucciones depende de la memoria del modelo; la alucinación es un problema central de la generación de lenguaje natural (Ji et al., 2023) y en educación constituye un riesgo de aprendizaje.</w:t>
      </w:r>
    </w:p>
    <w:p>
      <w:pPr>
        <w:pStyle w:val="ListBullet"/>
        <w:spacing w:after="100"/>
        <w:jc w:val="both"/>
      </w:pPr>
      <w:r>
        <w:rPr>
          <w:rFonts w:ascii="Arial" w:hAnsi="Arial"/>
          <w:b/>
          <w:i w:val="0"/>
          <w:sz w:val="20"/>
        </w:rPr>
        <w:t>Sin memoria entre recursos.</w:t>
      </w:r>
      <w:r>
        <w:rPr>
          <w:rFonts w:ascii="Arial" w:hAnsi="Arial"/>
          <w:b w:val="0"/>
          <w:i w:val="0"/>
          <w:sz w:val="20"/>
        </w:rPr>
        <w:t xml:space="preserve"> Cada recurso se genera de forma aislada, lo que produce repeticiones, contradicciones y saltos de nivel entre etapas.</w:t>
      </w:r>
    </w:p>
    <w:p>
      <w:pPr>
        <w:pStyle w:val="ListBullet"/>
        <w:spacing w:after="100"/>
        <w:jc w:val="both"/>
      </w:pPr>
      <w:r>
        <w:rPr>
          <w:rFonts w:ascii="Arial" w:hAnsi="Arial"/>
          <w:b/>
          <w:i w:val="0"/>
          <w:sz w:val="20"/>
        </w:rPr>
        <w:t>Contenido atrapado en una plataforma.</w:t>
      </w:r>
      <w:r>
        <w:rPr>
          <w:rFonts w:ascii="Arial" w:hAnsi="Arial"/>
          <w:b w:val="0"/>
          <w:i w:val="0"/>
          <w:sz w:val="20"/>
        </w:rPr>
        <w:t xml:space="preserve"> Al no entregarse en los formatos que los LMS saben importar, el docente copia y pega pregunta por pregunta y el material no se reutiliza.</w:t>
      </w:r>
    </w:p>
    <w:p>
      <w:pPr>
        <w:spacing w:before="200" w:after="120"/>
      </w:pPr>
      <w:r>
        <w:rPr>
          <w:rFonts w:ascii="Arial" w:hAnsi="Arial"/>
          <w:b/>
          <w:color w:val="2F5496"/>
          <w:sz w:val="24"/>
        </w:rPr>
        <w:t>2.2 Problema de investigación</w:t>
      </w:r>
    </w:p>
    <w:p>
      <w:pPr>
        <w:spacing w:after="100"/>
        <w:jc w:val="both"/>
      </w:pPr>
      <w:r>
        <w:rPr>
          <w:rFonts w:ascii="Arial" w:hAnsi="Arial"/>
          <w:b w:val="0"/>
          <w:i/>
          <w:sz w:val="21"/>
        </w:rPr>
        <w:t>¿Cómo reducir el tiempo de elaboración de secuencias didácticas de una unidad, conservando la calidad pedagógica de los recursos y la trazabilidad de su contenido, mediante una plataforma con arquitectura de generación aumentada por recuperación sobre base de datos vectorial que produzca material conforme al modelo instruccional de las 5E e importable en distintos sistemas de gestión del aprendizaje?</w:t>
      </w:r>
    </w:p>
    <w:p>
      <w:pPr>
        <w:spacing w:before="200" w:after="120"/>
      </w:pPr>
      <w:r>
        <w:rPr>
          <w:rFonts w:ascii="Arial" w:hAnsi="Arial"/>
          <w:b/>
          <w:color w:val="2F5496"/>
          <w:sz w:val="24"/>
        </w:rPr>
        <w:t>2.3 Objetivo general</w:t>
      </w:r>
    </w:p>
    <w:p>
      <w:pPr>
        <w:spacing w:after="100"/>
        <w:jc w:val="both"/>
      </w:pPr>
      <w:r>
        <w:rPr>
          <w:rFonts w:ascii="Arial" w:hAnsi="Arial"/>
          <w:b w:val="0"/>
          <w:i w:val="0"/>
          <w:sz w:val="21"/>
        </w:rPr>
        <w:t>Desarrollar una plataforma de generación de secuencias didácticas conforme al modelo instruccional de las 5E, sustentada en una arquitectura de generación aumentada por recuperación sobre base de datos vectorial, que produzca recursos trazables al material del docente y exportables a sistemas de gestión del aprendizaje mediante estándares de interoperabilidad, reduciendo en al menos 50 % el tiempo medio de elaboración por recurso respecto de la línea base manual, en un plazo de quince semanas.</w:t>
      </w:r>
    </w:p>
    <w:p>
      <w:pPr>
        <w:spacing w:before="200" w:after="120"/>
      </w:pPr>
      <w:r>
        <w:rPr>
          <w:rFonts w:ascii="Arial" w:hAnsi="Arial"/>
          <w:b/>
          <w:color w:val="2F5496"/>
          <w:sz w:val="24"/>
        </w:rPr>
        <w:t>2.4 Objetivos específicos</w:t>
      </w:r>
    </w:p>
    <w:p>
      <w:pPr>
        <w:pStyle w:val="ListBullet"/>
        <w:spacing w:after="100"/>
        <w:jc w:val="both"/>
      </w:pPr>
      <w:r>
        <w:rPr>
          <w:rFonts w:ascii="Arial" w:hAnsi="Arial"/>
          <w:b/>
          <w:i w:val="0"/>
          <w:sz w:val="20"/>
        </w:rPr>
        <w:t>OE1 – Investigar</w:t>
      </w:r>
      <w:r>
        <w:rPr>
          <w:rFonts w:ascii="Arial" w:hAnsi="Arial"/>
          <w:b w:val="0"/>
          <w:i w:val="0"/>
          <w:sz w:val="20"/>
        </w:rPr>
        <w:t xml:space="preserve"> las técnicas de generación de contenido educativo, las métricas de evaluación de sistemas de recuperación aumentada y los estándares de interoperabilidad aplicables, y definir sobre esa base la arquitectura de software, el modelo de datos y el sistema de diseño de interfaz.</w:t>
      </w:r>
    </w:p>
    <w:p>
      <w:pPr>
        <w:pStyle w:val="ListBullet"/>
        <w:spacing w:after="100"/>
        <w:jc w:val="both"/>
      </w:pPr>
      <w:r>
        <w:rPr>
          <w:rFonts w:ascii="Arial" w:hAnsi="Arial"/>
          <w:b/>
          <w:i w:val="0"/>
          <w:sz w:val="20"/>
        </w:rPr>
        <w:t>OE2 – Construir</w:t>
      </w:r>
      <w:r>
        <w:rPr>
          <w:rFonts w:ascii="Arial" w:hAnsi="Arial"/>
          <w:b w:val="0"/>
          <w:i w:val="0"/>
          <w:sz w:val="20"/>
        </w:rPr>
        <w:t xml:space="preserve"> el núcleo de recuperación aumentada sobre base vectorial, con recall@10 no menor a 0,80 y latencia de recuperación p95 no mayor a 2 segundos.</w:t>
      </w:r>
    </w:p>
    <w:p>
      <w:pPr>
        <w:pStyle w:val="ListBullet"/>
        <w:spacing w:after="100"/>
        <w:jc w:val="both"/>
      </w:pPr>
      <w:r>
        <w:rPr>
          <w:rFonts w:ascii="Arial" w:hAnsi="Arial"/>
          <w:b/>
          <w:i w:val="0"/>
          <w:sz w:val="20"/>
        </w:rPr>
        <w:t>OE3 – Implementar</w:t>
      </w:r>
      <w:r>
        <w:rPr>
          <w:rFonts w:ascii="Arial" w:hAnsi="Arial"/>
          <w:b w:val="0"/>
          <w:i w:val="0"/>
          <w:sz w:val="20"/>
        </w:rPr>
        <w:t xml:space="preserve"> la generación anclada para las cinco etapas del modelo 5E, con trazabilidad no menor al 95 %, tasa de alucinación no mayor al 3 %, distractores sin sentido no mayores al 10 % y aceptación docente directa no menor al 50 %.</w:t>
      </w:r>
    </w:p>
    <w:p>
      <w:pPr>
        <w:pStyle w:val="ListBullet"/>
        <w:spacing w:after="100"/>
        <w:jc w:val="both"/>
      </w:pPr>
      <w:r>
        <w:rPr>
          <w:rFonts w:ascii="Arial" w:hAnsi="Arial"/>
          <w:b/>
          <w:i w:val="0"/>
          <w:sz w:val="20"/>
        </w:rPr>
        <w:t>OE4 – Integrar</w:t>
      </w:r>
      <w:r>
        <w:rPr>
          <w:rFonts w:ascii="Arial" w:hAnsi="Arial"/>
          <w:b w:val="0"/>
          <w:i w:val="0"/>
          <w:sz w:val="20"/>
        </w:rPr>
        <w:t xml:space="preserve"> la capa de interoperabilidad con 100 % de paquetes válidos, importación exitosa no menor al 95 %, portabilidad en al menos dos LMS y SUS no menor a 68.</w:t>
      </w:r>
    </w:p>
    <w:p>
      <w:pPr>
        <w:pStyle w:val="ListBullet"/>
        <w:spacing w:after="100"/>
        <w:jc w:val="both"/>
      </w:pPr>
      <w:r>
        <w:rPr>
          <w:rFonts w:ascii="Arial" w:hAnsi="Arial"/>
          <w:b/>
          <w:i w:val="0"/>
          <w:sz w:val="20"/>
        </w:rPr>
        <w:t>OE5 – Evaluar</w:t>
      </w:r>
      <w:r>
        <w:rPr>
          <w:rFonts w:ascii="Arial" w:hAnsi="Arial"/>
          <w:b w:val="0"/>
          <w:i w:val="0"/>
          <w:sz w:val="20"/>
        </w:rPr>
        <w:t xml:space="preserve"> el uso en un piloto con docentes y estudiantes: reducción no menor al 50 % del tiempo por recurso, cobertura del 100 % de las cinco etapas, eficiencia de distractores no menor al 65 % y r-pb no menor a 0,20 en al menos el 70 % de los ítems.</w:t>
      </w:r>
    </w:p>
    <w:p>
      <w:pPr>
        <w:sectPr>
          <w:pgSz w:w="11906" w:h="16838"/>
          <w:pgMar w:top="1134" w:right="1134" w:bottom="1134" w:left="1134" w:header="720" w:footer="720" w:gutter="0"/>
          <w:cols w:space="720"/>
          <w:docGrid w:linePitch="360"/>
        </w:sectPr>
      </w:pPr>
    </w:p>
    <w:p>
      <w:pPr>
        <w:spacing w:before="280" w:after="120"/>
      </w:pPr>
      <w:r>
        <w:rPr>
          <w:rFonts w:ascii="Arial" w:hAnsi="Arial"/>
          <w:b/>
          <w:color w:val="1F3864"/>
          <w:sz w:val="30"/>
        </w:rPr>
        <w:t>2.5 Análisis de brechas</w:t>
      </w:r>
    </w:p>
    <w:tbl>
      <w:tblPr>
        <w:tblStyle w:val="TableGrid"/>
        <w:tblW w:type="auto" w:w="0"/>
        <w:tblLook w:firstColumn="1" w:firstRow="1" w:lastColumn="0" w:lastRow="0" w:noHBand="0" w:noVBand="1" w:val="04A0"/>
      </w:tblPr>
      <w:tblGrid>
        <w:gridCol w:w="2504"/>
        <w:gridCol w:w="2504"/>
        <w:gridCol w:w="2504"/>
        <w:gridCol w:w="2504"/>
        <w:gridCol w:w="2504"/>
        <w:gridCol w:w="2504"/>
      </w:tblGrid>
      <w:tr>
        <w:tc>
          <w:tcPr>
            <w:tcW w:type="dxa" w:w="1814"/>
          </w:tcPr>
          <w:p>
            <w:r/>
            <w:r>
              <w:rPr>
                <w:rFonts w:ascii="Arial" w:hAnsi="Arial"/>
                <w:b/>
                <w:i w:val="0"/>
                <w:sz w:val="15"/>
              </w:rPr>
              <w:t>Dimensión</w:t>
            </w:r>
          </w:p>
        </w:tc>
        <w:tc>
          <w:tcPr>
            <w:tcW w:type="dxa" w:w="2494"/>
          </w:tcPr>
          <w:p>
            <w:r/>
            <w:r>
              <w:rPr>
                <w:rFonts w:ascii="Arial" w:hAnsi="Arial"/>
                <w:b/>
                <w:i w:val="0"/>
                <w:sz w:val="15"/>
              </w:rPr>
              <w:t>Brecha identificada</w:t>
            </w:r>
          </w:p>
        </w:tc>
        <w:tc>
          <w:tcPr>
            <w:tcW w:type="dxa" w:w="3175"/>
          </w:tcPr>
          <w:p>
            <w:r/>
            <w:r>
              <w:rPr>
                <w:rFonts w:ascii="Arial" w:hAnsi="Arial"/>
                <w:b/>
                <w:i w:val="0"/>
                <w:sz w:val="15"/>
              </w:rPr>
              <w:t>Situación actual (AS-IS)</w:t>
            </w:r>
          </w:p>
        </w:tc>
        <w:tc>
          <w:tcPr>
            <w:tcW w:type="dxa" w:w="2835"/>
          </w:tcPr>
          <w:p>
            <w:r/>
            <w:r>
              <w:rPr>
                <w:rFonts w:ascii="Arial" w:hAnsi="Arial"/>
                <w:b/>
                <w:i w:val="0"/>
                <w:sz w:val="15"/>
              </w:rPr>
              <w:t>Situación deseada (TO-BE)</w:t>
            </w:r>
          </w:p>
        </w:tc>
        <w:tc>
          <w:tcPr>
            <w:tcW w:type="dxa" w:w="2835"/>
          </w:tcPr>
          <w:p>
            <w:r/>
            <w:r>
              <w:rPr>
                <w:rFonts w:ascii="Arial" w:hAnsi="Arial"/>
                <w:b/>
                <w:i w:val="0"/>
                <w:sz w:val="15"/>
              </w:rPr>
              <w:t>Acción de cierre</w:t>
            </w:r>
          </w:p>
        </w:tc>
        <w:tc>
          <w:tcPr>
            <w:tcW w:type="dxa" w:w="1304"/>
          </w:tcPr>
          <w:p>
            <w:r/>
            <w:r>
              <w:rPr>
                <w:rFonts w:ascii="Arial" w:hAnsi="Arial"/>
                <w:b/>
                <w:i w:val="0"/>
                <w:sz w:val="15"/>
              </w:rPr>
              <w:t>Ind.</w:t>
            </w:r>
          </w:p>
        </w:tc>
      </w:tr>
      <w:tr>
        <w:tc>
          <w:tcPr>
            <w:tcW w:type="dxa" w:w="1814"/>
          </w:tcPr>
          <w:p>
            <w:r/>
            <w:r>
              <w:rPr>
                <w:rFonts w:ascii="Arial" w:hAnsi="Arial"/>
                <w:b w:val="0"/>
                <w:i w:val="0"/>
                <w:sz w:val="15"/>
              </w:rPr>
              <w:t>1. Tiempo de elaboración</w:t>
            </w:r>
          </w:p>
        </w:tc>
        <w:tc>
          <w:tcPr>
            <w:tcW w:type="dxa" w:w="2494"/>
          </w:tcPr>
          <w:p>
            <w:r/>
            <w:r>
              <w:rPr>
                <w:rFonts w:ascii="Arial" w:hAnsi="Arial"/>
                <w:b w:val="0"/>
                <w:i w:val="0"/>
                <w:sz w:val="15"/>
              </w:rPr>
              <w:t>Costo de tiempo elevado y sin línea base local para comparar.</w:t>
            </w:r>
          </w:p>
        </w:tc>
        <w:tc>
          <w:tcPr>
            <w:tcW w:type="dxa" w:w="3175"/>
          </w:tcPr>
          <w:p>
            <w:r/>
            <w:r>
              <w:rPr>
                <w:rFonts w:ascii="Arial" w:hAnsi="Arial"/>
                <w:b w:val="0"/>
                <w:i w:val="0"/>
                <w:sz w:val="15"/>
              </w:rPr>
              <w:t>Redacción manual: de ~4 min por ítem (211 min por 50 preguntas; Cheung et al., 2023) a 52 min por primer borrador (Meazure Learning, 2022).</w:t>
            </w:r>
          </w:p>
        </w:tc>
        <w:tc>
          <w:tcPr>
            <w:tcW w:type="dxa" w:w="2835"/>
          </w:tcPr>
          <w:p>
            <w:r/>
            <w:r>
              <w:rPr>
                <w:rFonts w:ascii="Arial" w:hAnsi="Arial"/>
                <w:b w:val="0"/>
                <w:i w:val="0"/>
                <w:sz w:val="15"/>
              </w:rPr>
              <w:t>Generación asistida con revisión docente; el modelo produjo 50 preguntas en ~20 min (Cheung et al., 2023).</w:t>
            </w:r>
          </w:p>
        </w:tc>
        <w:tc>
          <w:tcPr>
            <w:tcW w:type="dxa" w:w="2835"/>
          </w:tcPr>
          <w:p>
            <w:r/>
            <w:r>
              <w:rPr>
                <w:rFonts w:ascii="Arial" w:hAnsi="Arial"/>
                <w:b w:val="0"/>
                <w:i w:val="0"/>
                <w:sz w:val="15"/>
              </w:rPr>
              <w:t>Cronometrar el flujo manual con docentes en la iteración 1 y el asistido en el piloto.</w:t>
            </w:r>
          </w:p>
        </w:tc>
        <w:tc>
          <w:tcPr>
            <w:tcW w:type="dxa" w:w="1304"/>
          </w:tcPr>
          <w:p>
            <w:r/>
            <w:r>
              <w:rPr>
                <w:rFonts w:ascii="Arial" w:hAnsi="Arial"/>
                <w:b w:val="0"/>
                <w:i w:val="0"/>
                <w:sz w:val="15"/>
              </w:rPr>
              <w:t>I1</w:t>
            </w:r>
          </w:p>
        </w:tc>
      </w:tr>
      <w:tr>
        <w:tc>
          <w:tcPr>
            <w:tcW w:type="dxa" w:w="1814"/>
          </w:tcPr>
          <w:p>
            <w:r/>
            <w:r>
              <w:rPr>
                <w:rFonts w:ascii="Arial" w:hAnsi="Arial"/>
                <w:b w:val="0"/>
                <w:i w:val="0"/>
                <w:sz w:val="15"/>
              </w:rPr>
              <w:t>2. Funcionalidad de los distractores</w:t>
            </w:r>
          </w:p>
        </w:tc>
        <w:tc>
          <w:tcPr>
            <w:tcW w:type="dxa" w:w="2494"/>
          </w:tcPr>
          <w:p>
            <w:r/>
            <w:r>
              <w:rPr>
                <w:rFonts w:ascii="Arial" w:hAnsi="Arial"/>
                <w:b w:val="0"/>
                <w:i w:val="0"/>
                <w:sz w:val="15"/>
              </w:rPr>
              <w:t>Entre 13 y 22 puntos porcentuales por debajo de un banco de buena calidad.</w:t>
            </w:r>
          </w:p>
        </w:tc>
        <w:tc>
          <w:tcPr>
            <w:tcW w:type="dxa" w:w="3175"/>
          </w:tcPr>
          <w:p>
            <w:r/>
            <w:r>
              <w:rPr>
                <w:rFonts w:ascii="Arial" w:hAnsi="Arial"/>
                <w:b w:val="0"/>
                <w:i w:val="0"/>
                <w:sz w:val="15"/>
              </w:rPr>
              <w:t>En un banco manual de 514 ítems, solo ~52 % de los distractores funcionaba (Research Square, 2019).</w:t>
            </w:r>
          </w:p>
        </w:tc>
        <w:tc>
          <w:tcPr>
            <w:tcW w:type="dxa" w:w="2835"/>
          </w:tcPr>
          <w:p>
            <w:r/>
            <w:r>
              <w:rPr>
                <w:rFonts w:ascii="Arial" w:hAnsi="Arial"/>
                <w:b w:val="0"/>
                <w:i w:val="0"/>
                <w:sz w:val="15"/>
              </w:rPr>
              <w:t>74,6 % de distractores con elección ≥ 5 % en un banco de estadística (Testa et al., 2018).</w:t>
            </w:r>
          </w:p>
        </w:tc>
        <w:tc>
          <w:tcPr>
            <w:tcW w:type="dxa" w:w="2835"/>
          </w:tcPr>
          <w:p>
            <w:r/>
            <w:r>
              <w:rPr>
                <w:rFonts w:ascii="Arial" w:hAnsi="Arial"/>
                <w:b w:val="0"/>
                <w:i w:val="0"/>
                <w:sz w:val="15"/>
              </w:rPr>
              <w:t>Recuperar conceptos hermanos del corpus por vecindad vectorial y verificar con análisis de ítems.</w:t>
            </w:r>
          </w:p>
        </w:tc>
        <w:tc>
          <w:tcPr>
            <w:tcW w:type="dxa" w:w="1304"/>
          </w:tcPr>
          <w:p>
            <w:r/>
            <w:r>
              <w:rPr>
                <w:rFonts w:ascii="Arial" w:hAnsi="Arial"/>
                <w:b w:val="0"/>
                <w:i w:val="0"/>
                <w:sz w:val="15"/>
              </w:rPr>
              <w:t>I8, I9, I10</w:t>
            </w:r>
          </w:p>
        </w:tc>
      </w:tr>
      <w:tr>
        <w:tc>
          <w:tcPr>
            <w:tcW w:type="dxa" w:w="1814"/>
          </w:tcPr>
          <w:p>
            <w:r/>
            <w:r>
              <w:rPr>
                <w:rFonts w:ascii="Arial" w:hAnsi="Arial"/>
                <w:b w:val="0"/>
                <w:i w:val="0"/>
                <w:sz w:val="15"/>
              </w:rPr>
              <w:t>3. Utilidad directa del contenido</w:t>
            </w:r>
          </w:p>
        </w:tc>
        <w:tc>
          <w:tcPr>
            <w:tcW w:type="dxa" w:w="2494"/>
          </w:tcPr>
          <w:p>
            <w:r/>
            <w:r>
              <w:rPr>
                <w:rFonts w:ascii="Arial" w:hAnsi="Arial"/>
                <w:b w:val="0"/>
                <w:i w:val="0"/>
                <w:sz w:val="15"/>
              </w:rPr>
              <w:t>Falta de un motor anclado al material que filtre lo absurdo y lo que en realidad es correcto.</w:t>
            </w:r>
          </w:p>
        </w:tc>
        <w:tc>
          <w:tcPr>
            <w:tcW w:type="dxa" w:w="3175"/>
          </w:tcPr>
          <w:p>
            <w:r/>
            <w:r>
              <w:rPr>
                <w:rFonts w:ascii="Arial" w:hAnsi="Arial"/>
                <w:b w:val="0"/>
                <w:i w:val="0"/>
                <w:sz w:val="15"/>
              </w:rPr>
              <w:t>Sistemas previos llegaron a ~50 % de distractores sin sentido; con prompting predictivo, 53 % apto para uso inmediato (Bitew et al., 2023).</w:t>
            </w:r>
          </w:p>
        </w:tc>
        <w:tc>
          <w:tcPr>
            <w:tcW w:type="dxa" w:w="2835"/>
          </w:tcPr>
          <w:p>
            <w:r/>
            <w:r>
              <w:rPr>
                <w:rFonts w:ascii="Arial" w:hAnsi="Arial"/>
                <w:b w:val="0"/>
                <w:i w:val="0"/>
                <w:sz w:val="15"/>
              </w:rPr>
              <w:t>Mayoría de recursos aprovechables sin edición, con rechazo automático de lo implausible.</w:t>
            </w:r>
          </w:p>
        </w:tc>
        <w:tc>
          <w:tcPr>
            <w:tcW w:type="dxa" w:w="2835"/>
          </w:tcPr>
          <w:p>
            <w:r/>
            <w:r>
              <w:rPr>
                <w:rFonts w:ascii="Arial" w:hAnsi="Arial"/>
                <w:b w:val="0"/>
                <w:i w:val="0"/>
                <w:sz w:val="15"/>
              </w:rPr>
              <w:t>Canal RAG con filtro de fiabilidad y revisión human-in-the-loop.</w:t>
            </w:r>
          </w:p>
        </w:tc>
        <w:tc>
          <w:tcPr>
            <w:tcW w:type="dxa" w:w="1304"/>
          </w:tcPr>
          <w:p>
            <w:r/>
            <w:r>
              <w:rPr>
                <w:rFonts w:ascii="Arial" w:hAnsi="Arial"/>
                <w:b w:val="0"/>
                <w:i w:val="0"/>
                <w:sz w:val="15"/>
              </w:rPr>
              <w:t>I2, I3, I5</w:t>
            </w:r>
          </w:p>
        </w:tc>
      </w:tr>
      <w:tr>
        <w:tc>
          <w:tcPr>
            <w:tcW w:type="dxa" w:w="1814"/>
          </w:tcPr>
          <w:p>
            <w:r/>
            <w:r>
              <w:rPr>
                <w:rFonts w:ascii="Arial" w:hAnsi="Arial"/>
                <w:b w:val="0"/>
                <w:i w:val="0"/>
                <w:sz w:val="15"/>
              </w:rPr>
              <w:t>4. Precisión frente a referencia</w:t>
            </w:r>
          </w:p>
        </w:tc>
        <w:tc>
          <w:tcPr>
            <w:tcW w:type="dxa" w:w="2494"/>
          </w:tcPr>
          <w:p>
            <w:r/>
            <w:r>
              <w:rPr>
                <w:rFonts w:ascii="Arial" w:hAnsi="Arial"/>
                <w:b w:val="0"/>
                <w:i w:val="0"/>
                <w:sz w:val="15"/>
              </w:rPr>
              <w:t>Sin conjunto gold propio no hay comparación posible con el estado del arte.</w:t>
            </w:r>
          </w:p>
        </w:tc>
        <w:tc>
          <w:tcPr>
            <w:tcW w:type="dxa" w:w="3175"/>
          </w:tcPr>
          <w:p>
            <w:r/>
            <w:r>
              <w:rPr>
                <w:rFonts w:ascii="Arial" w:hAnsi="Arial"/>
                <w:b w:val="0"/>
                <w:i w:val="0"/>
                <w:sz w:val="15"/>
              </w:rPr>
              <w:t>No existe conjunto de referencia en español para los cursos objetivo.</w:t>
            </w:r>
          </w:p>
        </w:tc>
        <w:tc>
          <w:tcPr>
            <w:tcW w:type="dxa" w:w="2835"/>
          </w:tcPr>
          <w:p>
            <w:r/>
            <w:r>
              <w:rPr>
                <w:rFonts w:ascii="Arial" w:hAnsi="Arial"/>
                <w:b w:val="0"/>
                <w:i w:val="0"/>
                <w:sz w:val="15"/>
              </w:rPr>
              <w:t>F1@3 ≈ 16,5 (Yu et al., 2024); NDCG@10 = 34,17 (Chiang et al., 2022), en inglés.</w:t>
            </w:r>
          </w:p>
        </w:tc>
        <w:tc>
          <w:tcPr>
            <w:tcW w:type="dxa" w:w="2835"/>
          </w:tcPr>
          <w:p>
            <w:r/>
            <w:r>
              <w:rPr>
                <w:rFonts w:ascii="Arial" w:hAnsi="Arial"/>
                <w:b w:val="0"/>
                <w:i w:val="0"/>
                <w:sz w:val="15"/>
              </w:rPr>
              <w:t>Construir un conjunto de referencia de ≥ 150 ítems y superar la línea base de solo embeddings.</w:t>
            </w:r>
          </w:p>
        </w:tc>
        <w:tc>
          <w:tcPr>
            <w:tcW w:type="dxa" w:w="1304"/>
          </w:tcPr>
          <w:p>
            <w:r/>
            <w:r>
              <w:rPr>
                <w:rFonts w:ascii="Arial" w:hAnsi="Arial"/>
                <w:b w:val="0"/>
                <w:i w:val="0"/>
                <w:sz w:val="15"/>
              </w:rPr>
              <w:t>I6, I7</w:t>
            </w:r>
          </w:p>
        </w:tc>
      </w:tr>
      <w:tr>
        <w:tc>
          <w:tcPr>
            <w:tcW w:type="dxa" w:w="1814"/>
          </w:tcPr>
          <w:p>
            <w:r/>
            <w:r>
              <w:rPr>
                <w:rFonts w:ascii="Arial" w:hAnsi="Arial"/>
                <w:b w:val="0"/>
                <w:i w:val="0"/>
                <w:sz w:val="15"/>
              </w:rPr>
              <w:t>5. Idioma y dominio</w:t>
            </w:r>
          </w:p>
        </w:tc>
        <w:tc>
          <w:tcPr>
            <w:tcW w:type="dxa" w:w="2494"/>
          </w:tcPr>
          <w:p>
            <w:r/>
            <w:r>
              <w:rPr>
                <w:rFonts w:ascii="Arial" w:hAnsi="Arial"/>
                <w:b w:val="0"/>
                <w:i w:val="0"/>
                <w:sz w:val="15"/>
              </w:rPr>
              <w:t>Escasez de modelos y datos evaluados en español para este dominio.</w:t>
            </w:r>
          </w:p>
        </w:tc>
        <w:tc>
          <w:tcPr>
            <w:tcW w:type="dxa" w:w="3175"/>
          </w:tcPr>
          <w:p>
            <w:r/>
            <w:r>
              <w:rPr>
                <w:rFonts w:ascii="Arial" w:hAnsi="Arial"/>
                <w:b w:val="0"/>
                <w:i w:val="0"/>
                <w:sz w:val="15"/>
              </w:rPr>
              <w:t>La revisión de Alhazmi et al. (2024) cubre inglés; en español hay aportes aislados (Ramos Alvarez et al., 2024; Rodriguez-Torrealba et al., 2022).</w:t>
            </w:r>
          </w:p>
        </w:tc>
        <w:tc>
          <w:tcPr>
            <w:tcW w:type="dxa" w:w="2835"/>
          </w:tcPr>
          <w:p>
            <w:r/>
            <w:r>
              <w:rPr>
                <w:rFonts w:ascii="Arial" w:hAnsi="Arial"/>
                <w:b w:val="0"/>
                <w:i w:val="0"/>
                <w:sz w:val="15"/>
              </w:rPr>
              <w:t>Motor que opere en español sobre contenidos universitarios de ingeniería.</w:t>
            </w:r>
          </w:p>
        </w:tc>
        <w:tc>
          <w:tcPr>
            <w:tcW w:type="dxa" w:w="2835"/>
          </w:tcPr>
          <w:p>
            <w:r/>
            <w:r>
              <w:rPr>
                <w:rFonts w:ascii="Arial" w:hAnsi="Arial"/>
                <w:b w:val="0"/>
                <w:i w:val="0"/>
                <w:sz w:val="15"/>
              </w:rPr>
              <w:t>Embeddings multilingües (Chen et al., 2024) y corpus del propio docente como fuente de candidatos.</w:t>
            </w:r>
          </w:p>
        </w:tc>
        <w:tc>
          <w:tcPr>
            <w:tcW w:type="dxa" w:w="1304"/>
          </w:tcPr>
          <w:p>
            <w:r/>
            <w:r>
              <w:rPr>
                <w:rFonts w:ascii="Arial" w:hAnsi="Arial"/>
                <w:b w:val="0"/>
                <w:i w:val="0"/>
                <w:sz w:val="15"/>
              </w:rPr>
              <w:t>I6, I20</w:t>
            </w:r>
          </w:p>
        </w:tc>
      </w:tr>
      <w:tr>
        <w:tc>
          <w:tcPr>
            <w:tcW w:type="dxa" w:w="1814"/>
          </w:tcPr>
          <w:p>
            <w:r/>
            <w:r>
              <w:rPr>
                <w:rFonts w:ascii="Arial" w:hAnsi="Arial"/>
                <w:b w:val="0"/>
                <w:i w:val="0"/>
                <w:sz w:val="15"/>
              </w:rPr>
              <w:t>6. Confiabilidad de la validación humana</w:t>
            </w:r>
          </w:p>
        </w:tc>
        <w:tc>
          <w:tcPr>
            <w:tcW w:type="dxa" w:w="2494"/>
          </w:tcPr>
          <w:p>
            <w:r/>
            <w:r>
              <w:rPr>
                <w:rFonts w:ascii="Arial" w:hAnsi="Arial"/>
                <w:b w:val="0"/>
                <w:i w:val="0"/>
                <w:sz w:val="15"/>
              </w:rPr>
              <w:t>Riesgo de que la evaluación experta sea subjetiva y no replicable.</w:t>
            </w:r>
          </w:p>
        </w:tc>
        <w:tc>
          <w:tcPr>
            <w:tcW w:type="dxa" w:w="3175"/>
          </w:tcPr>
          <w:p>
            <w:r/>
            <w:r>
              <w:rPr>
                <w:rFonts w:ascii="Arial" w:hAnsi="Arial"/>
                <w:b w:val="0"/>
                <w:i w:val="0"/>
                <w:sz w:val="15"/>
              </w:rPr>
              <w:t>La concordancia entre expertos puede ser muy baja (ICC 0,07–0,18; Linde et al., 2026).</w:t>
            </w:r>
          </w:p>
        </w:tc>
        <w:tc>
          <w:tcPr>
            <w:tcW w:type="dxa" w:w="2835"/>
          </w:tcPr>
          <w:p>
            <w:r/>
            <w:r>
              <w:rPr>
                <w:rFonts w:ascii="Arial" w:hAnsi="Arial"/>
                <w:b w:val="0"/>
                <w:i w:val="0"/>
                <w:sz w:val="15"/>
              </w:rPr>
              <w:t>Rúbrica operacional con doble anotación; κ ≥ 0,41 (Landis y Koch, 1977).</w:t>
            </w:r>
          </w:p>
        </w:tc>
        <w:tc>
          <w:tcPr>
            <w:tcW w:type="dxa" w:w="2835"/>
          </w:tcPr>
          <w:p>
            <w:r/>
            <w:r>
              <w:rPr>
                <w:rFonts w:ascii="Arial" w:hAnsi="Arial"/>
                <w:b w:val="0"/>
                <w:i w:val="0"/>
                <w:sz w:val="15"/>
              </w:rPr>
              <w:t>Diseñar y validar la rúbrica por etapa 5E; doble anotación en una muestra.</w:t>
            </w:r>
          </w:p>
        </w:tc>
        <w:tc>
          <w:tcPr>
            <w:tcW w:type="dxa" w:w="1304"/>
          </w:tcPr>
          <w:p>
            <w:r/>
            <w:r>
              <w:rPr>
                <w:rFonts w:ascii="Arial" w:hAnsi="Arial"/>
                <w:b w:val="0"/>
                <w:i w:val="0"/>
                <w:sz w:val="15"/>
              </w:rPr>
              <w:t>I4</w:t>
            </w:r>
          </w:p>
        </w:tc>
      </w:tr>
      <w:tr>
        <w:tc>
          <w:tcPr>
            <w:tcW w:type="dxa" w:w="1814"/>
          </w:tcPr>
          <w:p>
            <w:r/>
            <w:r>
              <w:rPr>
                <w:rFonts w:ascii="Arial" w:hAnsi="Arial"/>
                <w:b w:val="0"/>
                <w:i w:val="0"/>
                <w:sz w:val="15"/>
              </w:rPr>
              <w:t>7. Ausencia de secuencia pedagógica</w:t>
            </w:r>
          </w:p>
        </w:tc>
        <w:tc>
          <w:tcPr>
            <w:tcW w:type="dxa" w:w="2494"/>
          </w:tcPr>
          <w:p>
            <w:r/>
            <w:r>
              <w:rPr>
                <w:rFonts w:ascii="Arial" w:hAnsi="Arial"/>
                <w:b w:val="0"/>
                <w:i w:val="0"/>
                <w:sz w:val="15"/>
              </w:rPr>
              <w:t>El contenido generado carece de intención pedagógica declarada y verificable.</w:t>
            </w:r>
          </w:p>
        </w:tc>
        <w:tc>
          <w:tcPr>
            <w:tcW w:type="dxa" w:w="3175"/>
          </w:tcPr>
          <w:p>
            <w:r/>
            <w:r>
              <w:rPr>
                <w:rFonts w:ascii="Arial" w:hAnsi="Arial"/>
                <w:b w:val="0"/>
                <w:i w:val="0"/>
                <w:sz w:val="15"/>
              </w:rPr>
              <w:t>Las herramientas de IA generan recursos sueltos, sin modelo instruccional que ordene la progresión.</w:t>
            </w:r>
          </w:p>
        </w:tc>
        <w:tc>
          <w:tcPr>
            <w:tcW w:type="dxa" w:w="2835"/>
          </w:tcPr>
          <w:p>
            <w:r/>
            <w:r>
              <w:rPr>
                <w:rFonts w:ascii="Arial" w:hAnsi="Arial"/>
                <w:b w:val="0"/>
                <w:i w:val="0"/>
                <w:sz w:val="15"/>
              </w:rPr>
              <w:t>Secuencia conforme al modelo 5E, con efectividad documentada (Bybee et al., 2006; Polanin et al., 2024).</w:t>
            </w:r>
          </w:p>
        </w:tc>
        <w:tc>
          <w:tcPr>
            <w:tcW w:type="dxa" w:w="2835"/>
          </w:tcPr>
          <w:p>
            <w:r/>
            <w:r>
              <w:rPr>
                <w:rFonts w:ascii="Arial" w:hAnsi="Arial"/>
                <w:b w:val="0"/>
                <w:i w:val="0"/>
                <w:sz w:val="15"/>
              </w:rPr>
              <w:t>Orquestador que planifica las cinco etapas por unidad y rúbrica de validación por etapa.</w:t>
            </w:r>
          </w:p>
        </w:tc>
        <w:tc>
          <w:tcPr>
            <w:tcW w:type="dxa" w:w="1304"/>
          </w:tcPr>
          <w:p>
            <w:r/>
            <w:r>
              <w:rPr>
                <w:rFonts w:ascii="Arial" w:hAnsi="Arial"/>
                <w:b w:val="0"/>
                <w:i w:val="0"/>
                <w:sz w:val="15"/>
              </w:rPr>
              <w:t>I4, I23</w:t>
            </w:r>
          </w:p>
        </w:tc>
      </w:tr>
      <w:tr>
        <w:tc>
          <w:tcPr>
            <w:tcW w:type="dxa" w:w="1814"/>
          </w:tcPr>
          <w:p>
            <w:r/>
            <w:r>
              <w:rPr>
                <w:rFonts w:ascii="Arial" w:hAnsi="Arial"/>
                <w:b w:val="0"/>
                <w:i w:val="0"/>
                <w:sz w:val="15"/>
              </w:rPr>
              <w:t>8. Generación sin recuperación de evidencia</w:t>
            </w:r>
          </w:p>
        </w:tc>
        <w:tc>
          <w:tcPr>
            <w:tcW w:type="dxa" w:w="2494"/>
          </w:tcPr>
          <w:p>
            <w:r/>
            <w:r>
              <w:rPr>
                <w:rFonts w:ascii="Arial" w:hAnsi="Arial"/>
                <w:b w:val="0"/>
                <w:i w:val="0"/>
                <w:sz w:val="15"/>
              </w:rPr>
              <w:t>El contenido no es trazable ni auditable y puede introducir errores en el curso.</w:t>
            </w:r>
          </w:p>
        </w:tc>
        <w:tc>
          <w:tcPr>
            <w:tcW w:type="dxa" w:w="3175"/>
          </w:tcPr>
          <w:p>
            <w:r/>
            <w:r>
              <w:rPr>
                <w:rFonts w:ascii="Arial" w:hAnsi="Arial"/>
                <w:b w:val="0"/>
                <w:i w:val="0"/>
                <w:sz w:val="15"/>
              </w:rPr>
              <w:t>La generación por inyección de prompts depende de la memoria del modelo; la alucinación es un problema central (Ji et al., 2023).</w:t>
            </w:r>
          </w:p>
        </w:tc>
        <w:tc>
          <w:tcPr>
            <w:tcW w:type="dxa" w:w="2835"/>
          </w:tcPr>
          <w:p>
            <w:r/>
            <w:r>
              <w:rPr>
                <w:rFonts w:ascii="Arial" w:hAnsi="Arial"/>
                <w:b w:val="0"/>
                <w:i w:val="0"/>
                <w:sz w:val="15"/>
              </w:rPr>
              <w:t>Generación condicionada por evidencia recuperada (Lewis et al., 2020); en un tutor con RAG solo 1,5 % de respuestas fue incorrecta.</w:t>
            </w:r>
          </w:p>
        </w:tc>
        <w:tc>
          <w:tcPr>
            <w:tcW w:type="dxa" w:w="2835"/>
          </w:tcPr>
          <w:p>
            <w:r/>
            <w:r>
              <w:rPr>
                <w:rFonts w:ascii="Arial" w:hAnsi="Arial"/>
                <w:b w:val="0"/>
                <w:i w:val="0"/>
                <w:sz w:val="15"/>
              </w:rPr>
              <w:t>Canal RAG con citación por afirmación, verificación de anclaje y rechazo por evidencia insuficiente.</w:t>
            </w:r>
          </w:p>
        </w:tc>
        <w:tc>
          <w:tcPr>
            <w:tcW w:type="dxa" w:w="1304"/>
          </w:tcPr>
          <w:p>
            <w:r/>
            <w:r>
              <w:rPr>
                <w:rFonts w:ascii="Arial" w:hAnsi="Arial"/>
                <w:b w:val="0"/>
                <w:i w:val="0"/>
                <w:sz w:val="15"/>
              </w:rPr>
              <w:t>I20, I21, I22</w:t>
            </w:r>
          </w:p>
        </w:tc>
      </w:tr>
      <w:tr>
        <w:tc>
          <w:tcPr>
            <w:tcW w:type="dxa" w:w="1814"/>
          </w:tcPr>
          <w:p>
            <w:r/>
            <w:r>
              <w:rPr>
                <w:rFonts w:ascii="Arial" w:hAnsi="Arial"/>
                <w:b w:val="0"/>
                <w:i w:val="0"/>
                <w:sz w:val="15"/>
              </w:rPr>
              <w:t>9. Ausencia de memoria entre recursos</w:t>
            </w:r>
          </w:p>
        </w:tc>
        <w:tc>
          <w:tcPr>
            <w:tcW w:type="dxa" w:w="2494"/>
          </w:tcPr>
          <w:p>
            <w:r/>
            <w:r>
              <w:rPr>
                <w:rFonts w:ascii="Arial" w:hAnsi="Arial"/>
                <w:b w:val="0"/>
                <w:i w:val="0"/>
                <w:sz w:val="15"/>
              </w:rPr>
              <w:t>Repeticiones, contradicciones y saltos de nivel entre etapas.</w:t>
            </w:r>
          </w:p>
        </w:tc>
        <w:tc>
          <w:tcPr>
            <w:tcW w:type="dxa" w:w="3175"/>
          </w:tcPr>
          <w:p>
            <w:r/>
            <w:r>
              <w:rPr>
                <w:rFonts w:ascii="Arial" w:hAnsi="Arial"/>
                <w:b w:val="0"/>
                <w:i w:val="0"/>
                <w:sz w:val="15"/>
              </w:rPr>
              <w:t>Cada recurso se genera de forma aislada, sin conocimiento de lo ya producido para la unidad.</w:t>
            </w:r>
          </w:p>
        </w:tc>
        <w:tc>
          <w:tcPr>
            <w:tcW w:type="dxa" w:w="2835"/>
          </w:tcPr>
          <w:p>
            <w:r/>
            <w:r>
              <w:rPr>
                <w:rFonts w:ascii="Arial" w:hAnsi="Arial"/>
                <w:b w:val="0"/>
                <w:i w:val="0"/>
                <w:sz w:val="15"/>
              </w:rPr>
              <w:t>Base vectorial que almacena material y recursos aprobados, recuperables por las etapas siguientes.</w:t>
            </w:r>
          </w:p>
        </w:tc>
        <w:tc>
          <w:tcPr>
            <w:tcW w:type="dxa" w:w="2835"/>
          </w:tcPr>
          <w:p>
            <w:r/>
            <w:r>
              <w:rPr>
                <w:rFonts w:ascii="Arial" w:hAnsi="Arial"/>
                <w:b w:val="0"/>
                <w:i w:val="0"/>
                <w:sz w:val="15"/>
              </w:rPr>
              <w:t>Reindexación de lo aprobado como evidencia de segundo orden y detección de duplicidad.</w:t>
            </w:r>
          </w:p>
        </w:tc>
        <w:tc>
          <w:tcPr>
            <w:tcW w:type="dxa" w:w="1304"/>
          </w:tcPr>
          <w:p>
            <w:r/>
            <w:r>
              <w:rPr>
                <w:rFonts w:ascii="Arial" w:hAnsi="Arial"/>
                <w:b w:val="0"/>
                <w:i w:val="0"/>
                <w:sz w:val="15"/>
              </w:rPr>
              <w:t>I7, I23</w:t>
            </w:r>
          </w:p>
        </w:tc>
      </w:tr>
      <w:tr>
        <w:tc>
          <w:tcPr>
            <w:tcW w:type="dxa" w:w="1814"/>
          </w:tcPr>
          <w:p>
            <w:r/>
            <w:r>
              <w:rPr>
                <w:rFonts w:ascii="Arial" w:hAnsi="Arial"/>
                <w:b w:val="0"/>
                <w:i w:val="0"/>
                <w:sz w:val="15"/>
              </w:rPr>
              <w:t>10. Interoperabilidad del contenido</w:t>
            </w:r>
          </w:p>
        </w:tc>
        <w:tc>
          <w:tcPr>
            <w:tcW w:type="dxa" w:w="2494"/>
          </w:tcPr>
          <w:p>
            <w:r/>
            <w:r>
              <w:rPr>
                <w:rFonts w:ascii="Arial" w:hAnsi="Arial"/>
                <w:b w:val="0"/>
                <w:i w:val="0"/>
                <w:sz w:val="15"/>
              </w:rPr>
              <w:t>No existe puente estándar entre el motor y las plataformas educativas.</w:t>
            </w:r>
          </w:p>
        </w:tc>
        <w:tc>
          <w:tcPr>
            <w:tcW w:type="dxa" w:w="3175"/>
          </w:tcPr>
          <w:p>
            <w:r/>
            <w:r>
              <w:rPr>
                <w:rFonts w:ascii="Arial" w:hAnsi="Arial"/>
                <w:b w:val="0"/>
                <w:i w:val="0"/>
                <w:sz w:val="15"/>
              </w:rPr>
              <w:t>El docente copia y pega el contenido generado, pregunta por pregunta, en su LMS.</w:t>
            </w:r>
          </w:p>
        </w:tc>
        <w:tc>
          <w:tcPr>
            <w:tcW w:type="dxa" w:w="2835"/>
          </w:tcPr>
          <w:p>
            <w:r/>
            <w:r>
              <w:rPr>
                <w:rFonts w:ascii="Arial" w:hAnsi="Arial"/>
                <w:b w:val="0"/>
                <w:i w:val="0"/>
                <w:sz w:val="15"/>
              </w:rPr>
              <w:t>Paquetes QTI y SCORM o Common Cartridge listos para importar (1EdTech, 2022).</w:t>
            </w:r>
          </w:p>
        </w:tc>
        <w:tc>
          <w:tcPr>
            <w:tcW w:type="dxa" w:w="2835"/>
          </w:tcPr>
          <w:p>
            <w:r/>
            <w:r>
              <w:rPr>
                <w:rFonts w:ascii="Arial" w:hAnsi="Arial"/>
                <w:b w:val="0"/>
                <w:i w:val="0"/>
                <w:sz w:val="15"/>
              </w:rPr>
              <w:t>Exportador QTI y empaquetador, con validación de conformidad antes de cada entrega.</w:t>
            </w:r>
          </w:p>
        </w:tc>
        <w:tc>
          <w:tcPr>
            <w:tcW w:type="dxa" w:w="1304"/>
          </w:tcPr>
          <w:p>
            <w:r/>
            <w:r>
              <w:rPr>
                <w:rFonts w:ascii="Arial" w:hAnsi="Arial"/>
                <w:b w:val="0"/>
                <w:i w:val="0"/>
                <w:sz w:val="15"/>
              </w:rPr>
              <w:t>I16, I19</w:t>
            </w:r>
          </w:p>
        </w:tc>
      </w:tr>
      <w:tr>
        <w:tc>
          <w:tcPr>
            <w:tcW w:type="dxa" w:w="1814"/>
          </w:tcPr>
          <w:p>
            <w:r/>
            <w:r>
              <w:rPr>
                <w:rFonts w:ascii="Arial" w:hAnsi="Arial"/>
                <w:b w:val="0"/>
                <w:i w:val="0"/>
                <w:sz w:val="15"/>
              </w:rPr>
              <w:t>11. Portabilidad y vigencia de plataformas</w:t>
            </w:r>
          </w:p>
        </w:tc>
        <w:tc>
          <w:tcPr>
            <w:tcW w:type="dxa" w:w="2494"/>
          </w:tcPr>
          <w:p>
            <w:r/>
            <w:r>
              <w:rPr>
                <w:rFonts w:ascii="Arial" w:hAnsi="Arial"/>
                <w:b w:val="0"/>
                <w:i w:val="0"/>
                <w:sz w:val="15"/>
              </w:rPr>
              <w:t>Soporte desigual del estándar y riesgo de construir sobre una plataforma descontinuada.</w:t>
            </w:r>
          </w:p>
        </w:tc>
        <w:tc>
          <w:tcPr>
            <w:tcW w:type="dxa" w:w="3175"/>
          </w:tcPr>
          <w:p>
            <w:r/>
            <w:r>
              <w:rPr>
                <w:rFonts w:ascii="Arial" w:hAnsi="Arial"/>
                <w:b w:val="0"/>
                <w:i w:val="0"/>
                <w:sz w:val="15"/>
              </w:rPr>
              <w:t>El contenido queda atado al LMS donde fue creado; los LMS de código abierto tienen mantenimiento dispar.</w:t>
            </w:r>
          </w:p>
        </w:tc>
        <w:tc>
          <w:tcPr>
            <w:tcW w:type="dxa" w:w="2835"/>
          </w:tcPr>
          <w:p>
            <w:r/>
            <w:r>
              <w:rPr>
                <w:rFonts w:ascii="Arial" w:hAnsi="Arial"/>
                <w:b w:val="0"/>
                <w:i w:val="0"/>
                <w:sz w:val="15"/>
              </w:rPr>
              <w:t>Un paquete importable sin pérdida en al menos dos LMS activos y con comunidad vigente.</w:t>
            </w:r>
          </w:p>
        </w:tc>
        <w:tc>
          <w:tcPr>
            <w:tcW w:type="dxa" w:w="2835"/>
          </w:tcPr>
          <w:p>
            <w:r/>
            <w:r>
              <w:rPr>
                <w:rFonts w:ascii="Arial" w:hAnsi="Arial"/>
                <w:b w:val="0"/>
                <w:i w:val="0"/>
                <w:sz w:val="15"/>
              </w:rPr>
              <w:t>Matriz de compatibilidad con instancias instaladas y pruebas de importación reales.</w:t>
            </w:r>
          </w:p>
        </w:tc>
        <w:tc>
          <w:tcPr>
            <w:tcW w:type="dxa" w:w="1304"/>
          </w:tcPr>
          <w:p>
            <w:r/>
            <w:r>
              <w:rPr>
                <w:rFonts w:ascii="Arial" w:hAnsi="Arial"/>
                <w:b w:val="0"/>
                <w:i w:val="0"/>
                <w:sz w:val="15"/>
              </w:rPr>
              <w:t>I17, I18</w:t>
            </w:r>
          </w:p>
        </w:tc>
      </w:tr>
      <w:tr>
        <w:tc>
          <w:tcPr>
            <w:tcW w:type="dxa" w:w="1814"/>
          </w:tcPr>
          <w:p>
            <w:r/>
            <w:r>
              <w:rPr>
                <w:rFonts w:ascii="Arial" w:hAnsi="Arial"/>
                <w:b w:val="0"/>
                <w:i w:val="0"/>
                <w:sz w:val="15"/>
              </w:rPr>
              <w:t>12. Estandarización técnica y calidad</w:t>
            </w:r>
          </w:p>
        </w:tc>
        <w:tc>
          <w:tcPr>
            <w:tcW w:type="dxa" w:w="2494"/>
          </w:tcPr>
          <w:p>
            <w:r/>
            <w:r>
              <w:rPr>
                <w:rFonts w:ascii="Arial" w:hAnsi="Arial"/>
                <w:b w:val="0"/>
                <w:i w:val="0"/>
                <w:sz w:val="15"/>
              </w:rPr>
              <w:t>Riesgo de divergencia entre los cuatro módulos y requisitos no funcionales sin verificar.</w:t>
            </w:r>
          </w:p>
        </w:tc>
        <w:tc>
          <w:tcPr>
            <w:tcW w:type="dxa" w:w="3175"/>
          </w:tcPr>
          <w:p>
            <w:r/>
            <w:r>
              <w:rPr>
                <w:rFonts w:ascii="Arial" w:hAnsi="Arial"/>
                <w:b w:val="0"/>
                <w:i w:val="0"/>
                <w:sz w:val="15"/>
              </w:rPr>
              <w:t>El sistema no existe aún y cada módulo podría desarrollarse con criterios distintos.</w:t>
            </w:r>
          </w:p>
        </w:tc>
        <w:tc>
          <w:tcPr>
            <w:tcW w:type="dxa" w:w="2835"/>
          </w:tcPr>
          <w:p>
            <w:r/>
            <w:r>
              <w:rPr>
                <w:rFonts w:ascii="Arial" w:hAnsi="Arial"/>
                <w:b w:val="0"/>
                <w:i w:val="0"/>
                <w:sz w:val="15"/>
              </w:rPr>
              <w:t>Arquitectura, modelo de datos, contratos de API y sistema de diseño comunes, con metas de latencia y seguridad.</w:t>
            </w:r>
          </w:p>
        </w:tc>
        <w:tc>
          <w:tcPr>
            <w:tcW w:type="dxa" w:w="2835"/>
          </w:tcPr>
          <w:p>
            <w:r/>
            <w:r>
              <w:rPr>
                <w:rFonts w:ascii="Arial" w:hAnsi="Arial"/>
                <w:b w:val="0"/>
                <w:i w:val="0"/>
                <w:sz w:val="15"/>
              </w:rPr>
              <w:t>Fundación arquitectónica y UX/UI antes de programar los módulos; pruebas de carga y escaneo de seguridad.</w:t>
            </w:r>
          </w:p>
        </w:tc>
        <w:tc>
          <w:tcPr>
            <w:tcW w:type="dxa" w:w="1304"/>
          </w:tcPr>
          <w:p>
            <w:r/>
            <w:r>
              <w:rPr>
                <w:rFonts w:ascii="Arial" w:hAnsi="Arial"/>
                <w:b w:val="0"/>
                <w:i w:val="0"/>
                <w:sz w:val="15"/>
              </w:rPr>
              <w:t>I11, I13, I14, I15</w:t>
            </w:r>
          </w:p>
        </w:tc>
      </w:tr>
    </w:tbl>
    <w:p>
      <w:r>
        <w:br w:type="page"/>
      </w:r>
    </w:p>
    <w:p>
      <w:pPr>
        <w:spacing w:before="280" w:after="120"/>
      </w:pPr>
      <w:r>
        <w:rPr>
          <w:rFonts w:ascii="Arial" w:hAnsi="Arial"/>
          <w:b/>
          <w:color w:val="1F3864"/>
          <w:sz w:val="30"/>
        </w:rPr>
        <w:t>3. Semana 2 — Product Discovery</w:t>
      </w:r>
    </w:p>
    <w:p>
      <w:pPr>
        <w:spacing w:before="200" w:after="120"/>
      </w:pPr>
      <w:r>
        <w:rPr>
          <w:rFonts w:ascii="Arial" w:hAnsi="Arial"/>
          <w:b/>
          <w:color w:val="2F5496"/>
          <w:sz w:val="24"/>
        </w:rPr>
        <w:t>3.1 Familias de métricas</w:t>
      </w:r>
    </w:p>
    <w:tbl>
      <w:tblPr>
        <w:tblStyle w:val="TableGrid"/>
        <w:tblW w:type="auto" w:w="0"/>
        <w:tblLook w:firstColumn="1" w:firstRow="1" w:lastColumn="0" w:lastRow="0" w:noHBand="0" w:noVBand="1" w:val="04A0"/>
      </w:tblPr>
      <w:tblGrid>
        <w:gridCol w:w="5008"/>
        <w:gridCol w:w="5008"/>
        <w:gridCol w:w="5008"/>
      </w:tblGrid>
      <w:tr>
        <w:tc>
          <w:tcPr>
            <w:tcW w:type="dxa" w:w="2608"/>
          </w:tcPr>
          <w:p>
            <w:r/>
            <w:r>
              <w:rPr>
                <w:rFonts w:ascii="Arial" w:hAnsi="Arial"/>
                <w:b/>
                <w:i w:val="0"/>
                <w:sz w:val="17"/>
              </w:rPr>
              <w:t>Familia</w:t>
            </w:r>
          </w:p>
        </w:tc>
        <w:tc>
          <w:tcPr>
            <w:tcW w:type="dxa" w:w="3969"/>
          </w:tcPr>
          <w:p>
            <w:r/>
            <w:r>
              <w:rPr>
                <w:rFonts w:ascii="Arial" w:hAnsi="Arial"/>
                <w:b/>
                <w:i w:val="0"/>
                <w:sz w:val="17"/>
              </w:rPr>
              <w:t>Métricas</w:t>
            </w:r>
          </w:p>
        </w:tc>
        <w:tc>
          <w:tcPr>
            <w:tcW w:type="dxa" w:w="7880"/>
          </w:tcPr>
          <w:p>
            <w:r/>
            <w:r>
              <w:rPr>
                <w:rFonts w:ascii="Arial" w:hAnsi="Arial"/>
                <w:b/>
                <w:i w:val="0"/>
                <w:sz w:val="17"/>
              </w:rPr>
              <w:t>Qué mide y por qué se usa</w:t>
            </w:r>
          </w:p>
        </w:tc>
      </w:tr>
      <w:tr>
        <w:tc>
          <w:tcPr>
            <w:tcW w:type="dxa" w:w="2608"/>
          </w:tcPr>
          <w:p>
            <w:r/>
            <w:r>
              <w:rPr>
                <w:rFonts w:ascii="Arial" w:hAnsi="Arial"/>
                <w:b w:val="0"/>
                <w:i w:val="0"/>
                <w:sz w:val="17"/>
              </w:rPr>
              <w:t>1. Recuperación (RAG)</w:t>
            </w:r>
          </w:p>
        </w:tc>
        <w:tc>
          <w:tcPr>
            <w:tcW w:type="dxa" w:w="3969"/>
          </w:tcPr>
          <w:p>
            <w:r/>
            <w:r>
              <w:rPr>
                <w:rFonts w:ascii="Arial" w:hAnsi="Arial"/>
                <w:b w:val="0"/>
                <w:i w:val="0"/>
                <w:sz w:val="17"/>
              </w:rPr>
              <w:t>recall@k, precisión media, MRR, cobertura del corpus</w:t>
            </w:r>
          </w:p>
        </w:tc>
        <w:tc>
          <w:tcPr>
            <w:tcW w:type="dxa" w:w="7880"/>
          </w:tcPr>
          <w:p>
            <w:r/>
            <w:r>
              <w:rPr>
                <w:rFonts w:ascii="Arial" w:hAnsi="Arial"/>
                <w:b w:val="0"/>
                <w:i w:val="0"/>
                <w:sz w:val="17"/>
              </w:rPr>
              <w:t>Si el sistema encuentra los fragmentos pertinentes del material del docente. Es la condición previa de toda la generación.</w:t>
            </w:r>
          </w:p>
        </w:tc>
      </w:tr>
      <w:tr>
        <w:tc>
          <w:tcPr>
            <w:tcW w:type="dxa" w:w="2608"/>
          </w:tcPr>
          <w:p>
            <w:r/>
            <w:r>
              <w:rPr>
                <w:rFonts w:ascii="Arial" w:hAnsi="Arial"/>
                <w:b w:val="0"/>
                <w:i w:val="0"/>
                <w:sz w:val="17"/>
              </w:rPr>
              <w:t>2. Anclaje y veracidad</w:t>
            </w:r>
          </w:p>
        </w:tc>
        <w:tc>
          <w:tcPr>
            <w:tcW w:type="dxa" w:w="3969"/>
          </w:tcPr>
          <w:p>
            <w:r/>
            <w:r>
              <w:rPr>
                <w:rFonts w:ascii="Arial" w:hAnsi="Arial"/>
                <w:b w:val="0"/>
                <w:i w:val="0"/>
                <w:sz w:val="17"/>
              </w:rPr>
              <w:t>Tasa de alucinación, trazabilidad de afirmaciones, fidelidad respuesta-contexto</w:t>
            </w:r>
          </w:p>
        </w:tc>
        <w:tc>
          <w:tcPr>
            <w:tcW w:type="dxa" w:w="7880"/>
          </w:tcPr>
          <w:p>
            <w:r/>
            <w:r>
              <w:rPr>
                <w:rFonts w:ascii="Arial" w:hAnsi="Arial"/>
                <w:b w:val="0"/>
                <w:i w:val="0"/>
                <w:sz w:val="17"/>
              </w:rPr>
              <w:t>Qué proporción del contenido está respaldada por la evidencia recuperada. Ji et al. (2023) señalan la alucinación como problema central de la generación.</w:t>
            </w:r>
          </w:p>
        </w:tc>
      </w:tr>
      <w:tr>
        <w:tc>
          <w:tcPr>
            <w:tcW w:type="dxa" w:w="2608"/>
          </w:tcPr>
          <w:p>
            <w:r/>
            <w:r>
              <w:rPr>
                <w:rFonts w:ascii="Arial" w:hAnsi="Arial"/>
                <w:b w:val="0"/>
                <w:i w:val="0"/>
                <w:sz w:val="17"/>
              </w:rPr>
              <w:t>3. Coincidencia y ranking</w:t>
            </w:r>
          </w:p>
        </w:tc>
        <w:tc>
          <w:tcPr>
            <w:tcW w:type="dxa" w:w="3969"/>
          </w:tcPr>
          <w:p>
            <w:r/>
            <w:r>
              <w:rPr>
                <w:rFonts w:ascii="Arial" w:hAnsi="Arial"/>
                <w:b w:val="0"/>
                <w:i w:val="0"/>
                <w:sz w:val="17"/>
              </w:rPr>
              <w:t>P@1, P@3, R@3, F1@3, MRR@10, NDCG@10</w:t>
            </w:r>
          </w:p>
        </w:tc>
        <w:tc>
          <w:tcPr>
            <w:tcW w:type="dxa" w:w="7880"/>
          </w:tcPr>
          <w:p>
            <w:r/>
            <w:r>
              <w:rPr>
                <w:rFonts w:ascii="Arial" w:hAnsi="Arial"/>
                <w:b w:val="0"/>
                <w:i w:val="0"/>
                <w:sz w:val="17"/>
              </w:rPr>
              <w:t>Coincidencia entre los distractores generados y los que escribiría un docente (Ren y Zhu, 2021; Chiang et al., 2022; Yu et al., 2024).</w:t>
            </w:r>
          </w:p>
        </w:tc>
      </w:tr>
      <w:tr>
        <w:tc>
          <w:tcPr>
            <w:tcW w:type="dxa" w:w="2608"/>
          </w:tcPr>
          <w:p>
            <w:r/>
            <w:r>
              <w:rPr>
                <w:rFonts w:ascii="Arial" w:hAnsi="Arial"/>
                <w:b w:val="0"/>
                <w:i w:val="0"/>
                <w:sz w:val="17"/>
              </w:rPr>
              <w:t>4. Léxicas y semánticas</w:t>
            </w:r>
          </w:p>
        </w:tc>
        <w:tc>
          <w:tcPr>
            <w:tcW w:type="dxa" w:w="3969"/>
          </w:tcPr>
          <w:p>
            <w:r/>
            <w:r>
              <w:rPr>
                <w:rFonts w:ascii="Arial" w:hAnsi="Arial"/>
                <w:b w:val="0"/>
                <w:i w:val="0"/>
                <w:sz w:val="17"/>
              </w:rPr>
              <w:t>BLEU, ROUGE-L, METEOR, Self-BLEU, similitud coseno</w:t>
            </w:r>
          </w:p>
        </w:tc>
        <w:tc>
          <w:tcPr>
            <w:tcW w:type="dxa" w:w="7880"/>
          </w:tcPr>
          <w:p>
            <w:r/>
            <w:r>
              <w:rPr>
                <w:rFonts w:ascii="Arial" w:hAnsi="Arial"/>
                <w:b w:val="0"/>
                <w:i w:val="0"/>
                <w:sz w:val="17"/>
              </w:rPr>
              <w:t>Solapamiento de palabras y cercanía de significado. Se usan como apoyo para diversidad y detección de duplicados, no como criterio principal.</w:t>
            </w:r>
          </w:p>
        </w:tc>
      </w:tr>
      <w:tr>
        <w:tc>
          <w:tcPr>
            <w:tcW w:type="dxa" w:w="2608"/>
          </w:tcPr>
          <w:p>
            <w:r/>
            <w:r>
              <w:rPr>
                <w:rFonts w:ascii="Arial" w:hAnsi="Arial"/>
                <w:b w:val="0"/>
                <w:i w:val="0"/>
                <w:sz w:val="17"/>
              </w:rPr>
              <w:t>5. Evaluación experta</w:t>
            </w:r>
          </w:p>
        </w:tc>
        <w:tc>
          <w:tcPr>
            <w:tcW w:type="dxa" w:w="3969"/>
          </w:tcPr>
          <w:p>
            <w:r/>
            <w:r>
              <w:rPr>
                <w:rFonts w:ascii="Arial" w:hAnsi="Arial"/>
                <w:b w:val="0"/>
                <w:i w:val="0"/>
                <w:sz w:val="17"/>
              </w:rPr>
              <w:t>Plausibilidad, fiabilidad, fluidez, coherencia, NDR, kappa de Cohen</w:t>
            </w:r>
          </w:p>
        </w:tc>
        <w:tc>
          <w:tcPr>
            <w:tcW w:type="dxa" w:w="7880"/>
          </w:tcPr>
          <w:p>
            <w:r/>
            <w:r>
              <w:rPr>
                <w:rFonts w:ascii="Arial" w:hAnsi="Arial"/>
                <w:b w:val="0"/>
                <w:i w:val="0"/>
                <w:sz w:val="17"/>
              </w:rPr>
              <w:t>Juicio docente sobre la utilidad del recurso y su correspondencia con la etapa 5E declarada (Bitew et al., 2023; Qiu et al., 2020).</w:t>
            </w:r>
          </w:p>
        </w:tc>
      </w:tr>
      <w:tr>
        <w:tc>
          <w:tcPr>
            <w:tcW w:type="dxa" w:w="2608"/>
          </w:tcPr>
          <w:p>
            <w:r/>
            <w:r>
              <w:rPr>
                <w:rFonts w:ascii="Arial" w:hAnsi="Arial"/>
                <w:b w:val="0"/>
                <w:i w:val="0"/>
                <w:sz w:val="17"/>
              </w:rPr>
              <w:t>6. Psicometría clásica</w:t>
            </w:r>
          </w:p>
        </w:tc>
        <w:tc>
          <w:tcPr>
            <w:tcW w:type="dxa" w:w="3969"/>
          </w:tcPr>
          <w:p>
            <w:r/>
            <w:r>
              <w:rPr>
                <w:rFonts w:ascii="Arial" w:hAnsi="Arial"/>
                <w:b w:val="0"/>
                <w:i w:val="0"/>
                <w:sz w:val="17"/>
              </w:rPr>
              <w:t>Dificultad (p), discriminación, r-pb, eficiencia de distractores (umbral 5 %), KR-20</w:t>
            </w:r>
          </w:p>
        </w:tc>
        <w:tc>
          <w:tcPr>
            <w:tcW w:type="dxa" w:w="7880"/>
          </w:tcPr>
          <w:p>
            <w:r/>
            <w:r>
              <w:rPr>
                <w:rFonts w:ascii="Arial" w:hAnsi="Arial"/>
                <w:b w:val="0"/>
                <w:i w:val="0"/>
                <w:sz w:val="17"/>
              </w:rPr>
              <w:t>Comportamiento de los ítems con estudiantes reales (Testa et al., 2018; Rezigalla et al., 2024).</w:t>
            </w:r>
          </w:p>
        </w:tc>
      </w:tr>
      <w:tr>
        <w:tc>
          <w:tcPr>
            <w:tcW w:type="dxa" w:w="2608"/>
          </w:tcPr>
          <w:p>
            <w:r/>
            <w:r>
              <w:rPr>
                <w:rFonts w:ascii="Arial" w:hAnsi="Arial"/>
                <w:b w:val="0"/>
                <w:i w:val="0"/>
                <w:sz w:val="17"/>
              </w:rPr>
              <w:t>7. Eficiencia, interoperabilidad y calidad de software</w:t>
            </w:r>
          </w:p>
        </w:tc>
        <w:tc>
          <w:tcPr>
            <w:tcW w:type="dxa" w:w="3969"/>
          </w:tcPr>
          <w:p>
            <w:r/>
            <w:r>
              <w:rPr>
                <w:rFonts w:ascii="Arial" w:hAnsi="Arial"/>
                <w:b w:val="0"/>
                <w:i w:val="0"/>
                <w:sz w:val="17"/>
              </w:rPr>
              <w:t>Tiempo por recurso, aceptación, conformidad, importación, portabilidad, latencia, SUS, disponibilidad, seguridad</w:t>
            </w:r>
          </w:p>
        </w:tc>
        <w:tc>
          <w:tcPr>
            <w:tcW w:type="dxa" w:w="7880"/>
          </w:tcPr>
          <w:p>
            <w:r/>
            <w:r>
              <w:rPr>
                <w:rFonts w:ascii="Arial" w:hAnsi="Arial"/>
                <w:b w:val="0"/>
                <w:i w:val="0"/>
                <w:sz w:val="17"/>
              </w:rPr>
              <w:t>Impacto en el trabajo docente, capacidad de publicar en cualquier LMS compatible y atributos de calidad de la guía de la Semana 1.</w:t>
            </w:r>
          </w:p>
        </w:tc>
      </w:tr>
    </w:tbl>
    <w:p/>
    <w:p>
      <w:pPr>
        <w:spacing w:before="200" w:after="120"/>
      </w:pPr>
      <w:r>
        <w:rPr>
          <w:rFonts w:ascii="Arial" w:hAnsi="Arial"/>
          <w:b/>
          <w:color w:val="2F5496"/>
          <w:sz w:val="24"/>
        </w:rPr>
        <w:t>3.2 Indicadores e instrumentos de medición</w:t>
      </w:r>
    </w:p>
    <w:tbl>
      <w:tblPr>
        <w:tblStyle w:val="TableGrid"/>
        <w:tblW w:type="auto" w:w="0"/>
        <w:tblLook w:firstColumn="1" w:firstRow="1" w:lastColumn="0" w:lastRow="0" w:noHBand="0" w:noVBand="1" w:val="04A0"/>
      </w:tblPr>
      <w:tblGrid>
        <w:gridCol w:w="2146"/>
        <w:gridCol w:w="2146"/>
        <w:gridCol w:w="2146"/>
        <w:gridCol w:w="2146"/>
        <w:gridCol w:w="2146"/>
        <w:gridCol w:w="2146"/>
        <w:gridCol w:w="2146"/>
      </w:tblGrid>
      <w:tr>
        <w:tc>
          <w:tcPr>
            <w:tcW w:type="dxa" w:w="680"/>
          </w:tcPr>
          <w:p>
            <w:r/>
            <w:r>
              <w:rPr>
                <w:rFonts w:ascii="Arial" w:hAnsi="Arial"/>
                <w:b/>
                <w:i w:val="0"/>
                <w:sz w:val="15"/>
              </w:rPr>
              <w:t>Cód.</w:t>
            </w:r>
          </w:p>
        </w:tc>
        <w:tc>
          <w:tcPr>
            <w:tcW w:type="dxa" w:w="2154"/>
          </w:tcPr>
          <w:p>
            <w:r/>
            <w:r>
              <w:rPr>
                <w:rFonts w:ascii="Arial" w:hAnsi="Arial"/>
                <w:b/>
                <w:i w:val="0"/>
                <w:sz w:val="15"/>
              </w:rPr>
              <w:t>Indicador</w:t>
            </w:r>
          </w:p>
        </w:tc>
        <w:tc>
          <w:tcPr>
            <w:tcW w:type="dxa" w:w="3628"/>
          </w:tcPr>
          <w:p>
            <w:r/>
            <w:r>
              <w:rPr>
                <w:rFonts w:ascii="Arial" w:hAnsi="Arial"/>
                <w:b/>
                <w:i w:val="0"/>
                <w:sz w:val="15"/>
              </w:rPr>
              <w:t>Definición operacional</w:t>
            </w:r>
          </w:p>
        </w:tc>
        <w:tc>
          <w:tcPr>
            <w:tcW w:type="dxa" w:w="2041"/>
          </w:tcPr>
          <w:p>
            <w:r/>
            <w:r>
              <w:rPr>
                <w:rFonts w:ascii="Arial" w:hAnsi="Arial"/>
                <w:b/>
                <w:i w:val="0"/>
                <w:sz w:val="15"/>
              </w:rPr>
              <w:t>Meta</w:t>
            </w:r>
          </w:p>
        </w:tc>
        <w:tc>
          <w:tcPr>
            <w:tcW w:type="dxa" w:w="3061"/>
          </w:tcPr>
          <w:p>
            <w:r/>
            <w:r>
              <w:rPr>
                <w:rFonts w:ascii="Arial" w:hAnsi="Arial"/>
                <w:b/>
                <w:i w:val="0"/>
                <w:sz w:val="15"/>
              </w:rPr>
              <w:t>Instrumento</w:t>
            </w:r>
          </w:p>
        </w:tc>
        <w:tc>
          <w:tcPr>
            <w:tcW w:type="dxa" w:w="1814"/>
          </w:tcPr>
          <w:p>
            <w:r/>
            <w:r>
              <w:rPr>
                <w:rFonts w:ascii="Arial" w:hAnsi="Arial"/>
                <w:b/>
                <w:i w:val="0"/>
                <w:sz w:val="15"/>
              </w:rPr>
              <w:t>Momento</w:t>
            </w:r>
          </w:p>
        </w:tc>
        <w:tc>
          <w:tcPr>
            <w:tcW w:type="dxa" w:w="1077"/>
          </w:tcPr>
          <w:p>
            <w:r/>
            <w:r>
              <w:rPr>
                <w:rFonts w:ascii="Arial" w:hAnsi="Arial"/>
                <w:b/>
                <w:i w:val="0"/>
                <w:sz w:val="15"/>
              </w:rPr>
              <w:t>OE</w:t>
            </w:r>
          </w:p>
        </w:tc>
      </w:tr>
      <w:tr>
        <w:tc>
          <w:tcPr>
            <w:tcW w:type="dxa" w:w="680"/>
          </w:tcPr>
          <w:p>
            <w:r/>
            <w:r>
              <w:rPr>
                <w:rFonts w:ascii="Arial" w:hAnsi="Arial"/>
                <w:b w:val="0"/>
                <w:i w:val="0"/>
                <w:sz w:val="15"/>
              </w:rPr>
              <w:t>I1</w:t>
            </w:r>
          </w:p>
        </w:tc>
        <w:tc>
          <w:tcPr>
            <w:tcW w:type="dxa" w:w="2154"/>
          </w:tcPr>
          <w:p>
            <w:r/>
            <w:r>
              <w:rPr>
                <w:rFonts w:ascii="Arial" w:hAnsi="Arial"/>
                <w:b w:val="0"/>
                <w:i w:val="0"/>
                <w:sz w:val="15"/>
              </w:rPr>
              <w:t>Tiempo medio por recurso</w:t>
            </w:r>
          </w:p>
        </w:tc>
        <w:tc>
          <w:tcPr>
            <w:tcW w:type="dxa" w:w="3628"/>
          </w:tcPr>
          <w:p>
            <w:r/>
            <w:r>
              <w:rPr>
                <w:rFonts w:ascii="Arial" w:hAnsi="Arial"/>
                <w:b w:val="0"/>
                <w:i w:val="0"/>
                <w:sz w:val="15"/>
              </w:rPr>
              <w:t>Σ minutos / n.º de recursos publicados, comparando flujo manual y asistido.</w:t>
            </w:r>
          </w:p>
        </w:tc>
        <w:tc>
          <w:tcPr>
            <w:tcW w:type="dxa" w:w="2041"/>
          </w:tcPr>
          <w:p>
            <w:r/>
            <w:r>
              <w:rPr>
                <w:rFonts w:ascii="Arial" w:hAnsi="Arial"/>
                <w:b w:val="0"/>
                <w:i w:val="0"/>
                <w:sz w:val="15"/>
              </w:rPr>
              <w:t>Reducción ≥ 50 %</w:t>
            </w:r>
          </w:p>
        </w:tc>
        <w:tc>
          <w:tcPr>
            <w:tcW w:type="dxa" w:w="3061"/>
          </w:tcPr>
          <w:p>
            <w:r/>
            <w:r>
              <w:rPr>
                <w:rFonts w:ascii="Arial" w:hAnsi="Arial"/>
                <w:b w:val="0"/>
                <w:i w:val="0"/>
                <w:sz w:val="15"/>
              </w:rPr>
              <w:t>Ficha de cronometraje y marcas de tiempo del sistema.</w:t>
            </w:r>
          </w:p>
        </w:tc>
        <w:tc>
          <w:tcPr>
            <w:tcW w:type="dxa" w:w="1814"/>
          </w:tcPr>
          <w:p>
            <w:r/>
            <w:r>
              <w:rPr>
                <w:rFonts w:ascii="Arial" w:hAnsi="Arial"/>
                <w:b w:val="0"/>
                <w:i w:val="0"/>
                <w:sz w:val="15"/>
              </w:rPr>
              <w:t>Línea base y piloto</w:t>
            </w:r>
          </w:p>
        </w:tc>
        <w:tc>
          <w:tcPr>
            <w:tcW w:type="dxa" w:w="1077"/>
          </w:tcPr>
          <w:p>
            <w:r/>
            <w:r>
              <w:rPr>
                <w:rFonts w:ascii="Arial" w:hAnsi="Arial"/>
                <w:b w:val="0"/>
                <w:i w:val="0"/>
                <w:sz w:val="15"/>
              </w:rPr>
              <w:t>OE5</w:t>
            </w:r>
          </w:p>
        </w:tc>
      </w:tr>
      <w:tr>
        <w:tc>
          <w:tcPr>
            <w:tcW w:type="dxa" w:w="680"/>
          </w:tcPr>
          <w:p>
            <w:r/>
            <w:r>
              <w:rPr>
                <w:rFonts w:ascii="Arial" w:hAnsi="Arial"/>
                <w:b w:val="0"/>
                <w:i w:val="0"/>
                <w:sz w:val="15"/>
              </w:rPr>
              <w:t>I2</w:t>
            </w:r>
          </w:p>
        </w:tc>
        <w:tc>
          <w:tcPr>
            <w:tcW w:type="dxa" w:w="2154"/>
          </w:tcPr>
          <w:p>
            <w:r/>
            <w:r>
              <w:rPr>
                <w:rFonts w:ascii="Arial" w:hAnsi="Arial"/>
                <w:b w:val="0"/>
                <w:i w:val="0"/>
                <w:sz w:val="15"/>
              </w:rPr>
              <w:t>Tasa de aceptación directa</w:t>
            </w:r>
          </w:p>
        </w:tc>
        <w:tc>
          <w:tcPr>
            <w:tcW w:type="dxa" w:w="3628"/>
          </w:tcPr>
          <w:p>
            <w:r/>
            <w:r>
              <w:rPr>
                <w:rFonts w:ascii="Arial" w:hAnsi="Arial"/>
                <w:b w:val="0"/>
                <w:i w:val="0"/>
                <w:sz w:val="15"/>
              </w:rPr>
              <w:t>(Recursos aceptados sin edición / propuestos) × 100.</w:t>
            </w:r>
          </w:p>
        </w:tc>
        <w:tc>
          <w:tcPr>
            <w:tcW w:type="dxa" w:w="2041"/>
          </w:tcPr>
          <w:p>
            <w:r/>
            <w:r>
              <w:rPr>
                <w:rFonts w:ascii="Arial" w:hAnsi="Arial"/>
                <w:b w:val="0"/>
                <w:i w:val="0"/>
                <w:sz w:val="15"/>
              </w:rPr>
              <w:t>≥ 50 %</w:t>
            </w:r>
          </w:p>
        </w:tc>
        <w:tc>
          <w:tcPr>
            <w:tcW w:type="dxa" w:w="3061"/>
          </w:tcPr>
          <w:p>
            <w:r/>
            <w:r>
              <w:rPr>
                <w:rFonts w:ascii="Arial" w:hAnsi="Arial"/>
                <w:b w:val="0"/>
                <w:i w:val="0"/>
                <w:sz w:val="15"/>
              </w:rPr>
              <w:t>Registro de acciones de la interfaz de revisión.</w:t>
            </w:r>
          </w:p>
        </w:tc>
        <w:tc>
          <w:tcPr>
            <w:tcW w:type="dxa" w:w="1814"/>
          </w:tcPr>
          <w:p>
            <w:r/>
            <w:r>
              <w:rPr>
                <w:rFonts w:ascii="Arial" w:hAnsi="Arial"/>
                <w:b w:val="0"/>
                <w:i w:val="0"/>
                <w:sz w:val="15"/>
              </w:rPr>
              <w:t>Sprints 1–2 y piloto</w:t>
            </w:r>
          </w:p>
        </w:tc>
        <w:tc>
          <w:tcPr>
            <w:tcW w:type="dxa" w:w="1077"/>
          </w:tcPr>
          <w:p>
            <w:r/>
            <w:r>
              <w:rPr>
                <w:rFonts w:ascii="Arial" w:hAnsi="Arial"/>
                <w:b w:val="0"/>
                <w:i w:val="0"/>
                <w:sz w:val="15"/>
              </w:rPr>
              <w:t>OE3</w:t>
            </w:r>
          </w:p>
        </w:tc>
      </w:tr>
      <w:tr>
        <w:tc>
          <w:tcPr>
            <w:tcW w:type="dxa" w:w="680"/>
          </w:tcPr>
          <w:p>
            <w:r/>
            <w:r>
              <w:rPr>
                <w:rFonts w:ascii="Arial" w:hAnsi="Arial"/>
                <w:b w:val="0"/>
                <w:i w:val="0"/>
                <w:sz w:val="15"/>
              </w:rPr>
              <w:t>I3</w:t>
            </w:r>
          </w:p>
        </w:tc>
        <w:tc>
          <w:tcPr>
            <w:tcW w:type="dxa" w:w="2154"/>
          </w:tcPr>
          <w:p>
            <w:r/>
            <w:r>
              <w:rPr>
                <w:rFonts w:ascii="Arial" w:hAnsi="Arial"/>
                <w:b w:val="0"/>
                <w:i w:val="0"/>
                <w:sz w:val="15"/>
              </w:rPr>
              <w:t>Distractores sin sentido (NDR)</w:t>
            </w:r>
          </w:p>
        </w:tc>
        <w:tc>
          <w:tcPr>
            <w:tcW w:type="dxa" w:w="3628"/>
          </w:tcPr>
          <w:p>
            <w:r/>
            <w:r>
              <w:rPr>
                <w:rFonts w:ascii="Arial" w:hAnsi="Arial"/>
                <w:b w:val="0"/>
                <w:i w:val="0"/>
                <w:sz w:val="15"/>
              </w:rPr>
              <w:t>(Distractores «sin sentido» / evaluados) × 100.</w:t>
            </w:r>
          </w:p>
        </w:tc>
        <w:tc>
          <w:tcPr>
            <w:tcW w:type="dxa" w:w="2041"/>
          </w:tcPr>
          <w:p>
            <w:r/>
            <w:r>
              <w:rPr>
                <w:rFonts w:ascii="Arial" w:hAnsi="Arial"/>
                <w:b w:val="0"/>
                <w:i w:val="0"/>
                <w:sz w:val="15"/>
              </w:rPr>
              <w:t>≤ 10 %</w:t>
            </w:r>
          </w:p>
        </w:tc>
        <w:tc>
          <w:tcPr>
            <w:tcW w:type="dxa" w:w="3061"/>
          </w:tcPr>
          <w:p>
            <w:r/>
            <w:r>
              <w:rPr>
                <w:rFonts w:ascii="Arial" w:hAnsi="Arial"/>
                <w:b w:val="0"/>
                <w:i w:val="0"/>
                <w:sz w:val="15"/>
              </w:rPr>
              <w:t>Rúbrica de juicio experto.</w:t>
            </w:r>
          </w:p>
        </w:tc>
        <w:tc>
          <w:tcPr>
            <w:tcW w:type="dxa" w:w="1814"/>
          </w:tcPr>
          <w:p>
            <w:r/>
            <w:r>
              <w:rPr>
                <w:rFonts w:ascii="Arial" w:hAnsi="Arial"/>
                <w:b w:val="0"/>
                <w:i w:val="0"/>
                <w:sz w:val="15"/>
              </w:rPr>
              <w:t>Cierre de cada sprint</w:t>
            </w:r>
          </w:p>
        </w:tc>
        <w:tc>
          <w:tcPr>
            <w:tcW w:type="dxa" w:w="1077"/>
          </w:tcPr>
          <w:p>
            <w:r/>
            <w:r>
              <w:rPr>
                <w:rFonts w:ascii="Arial" w:hAnsi="Arial"/>
                <w:b w:val="0"/>
                <w:i w:val="0"/>
                <w:sz w:val="15"/>
              </w:rPr>
              <w:t>OE3</w:t>
            </w:r>
          </w:p>
        </w:tc>
      </w:tr>
      <w:tr>
        <w:tc>
          <w:tcPr>
            <w:tcW w:type="dxa" w:w="680"/>
          </w:tcPr>
          <w:p>
            <w:r/>
            <w:r>
              <w:rPr>
                <w:rFonts w:ascii="Arial" w:hAnsi="Arial"/>
                <w:b w:val="0"/>
                <w:i w:val="0"/>
                <w:sz w:val="15"/>
              </w:rPr>
              <w:t>I4</w:t>
            </w:r>
          </w:p>
        </w:tc>
        <w:tc>
          <w:tcPr>
            <w:tcW w:type="dxa" w:w="2154"/>
          </w:tcPr>
          <w:p>
            <w:r/>
            <w:r>
              <w:rPr>
                <w:rFonts w:ascii="Arial" w:hAnsi="Arial"/>
                <w:b w:val="0"/>
                <w:i w:val="0"/>
                <w:sz w:val="15"/>
              </w:rPr>
              <w:t>Plausibilidad y concordancia</w:t>
            </w:r>
          </w:p>
        </w:tc>
        <w:tc>
          <w:tcPr>
            <w:tcW w:type="dxa" w:w="3628"/>
          </w:tcPr>
          <w:p>
            <w:r/>
            <w:r>
              <w:rPr>
                <w:rFonts w:ascii="Arial" w:hAnsi="Arial"/>
                <w:b w:val="0"/>
                <w:i w:val="0"/>
                <w:sz w:val="15"/>
              </w:rPr>
              <w:t>Media en escala 1–3 y κ de Cohen entre dos evaluadores.</w:t>
            </w:r>
          </w:p>
        </w:tc>
        <w:tc>
          <w:tcPr>
            <w:tcW w:type="dxa" w:w="2041"/>
          </w:tcPr>
          <w:p>
            <w:r/>
            <w:r>
              <w:rPr>
                <w:rFonts w:ascii="Arial" w:hAnsi="Arial"/>
                <w:b w:val="0"/>
                <w:i w:val="0"/>
                <w:sz w:val="15"/>
              </w:rPr>
              <w:t>Media ≥ 2,3 (*); κ ≥ 0,41</w:t>
            </w:r>
          </w:p>
        </w:tc>
        <w:tc>
          <w:tcPr>
            <w:tcW w:type="dxa" w:w="3061"/>
          </w:tcPr>
          <w:p>
            <w:r/>
            <w:r>
              <w:rPr>
                <w:rFonts w:ascii="Arial" w:hAnsi="Arial"/>
                <w:b w:val="0"/>
                <w:i w:val="0"/>
                <w:sz w:val="15"/>
              </w:rPr>
              <w:t>Rúbrica validada con doble anotación.</w:t>
            </w:r>
          </w:p>
        </w:tc>
        <w:tc>
          <w:tcPr>
            <w:tcW w:type="dxa" w:w="1814"/>
          </w:tcPr>
          <w:p>
            <w:r/>
            <w:r>
              <w:rPr>
                <w:rFonts w:ascii="Arial" w:hAnsi="Arial"/>
                <w:b w:val="0"/>
                <w:i w:val="0"/>
                <w:sz w:val="15"/>
              </w:rPr>
              <w:t>Cierre de cada sprint</w:t>
            </w:r>
          </w:p>
        </w:tc>
        <w:tc>
          <w:tcPr>
            <w:tcW w:type="dxa" w:w="1077"/>
          </w:tcPr>
          <w:p>
            <w:r/>
            <w:r>
              <w:rPr>
                <w:rFonts w:ascii="Arial" w:hAnsi="Arial"/>
                <w:b w:val="0"/>
                <w:i w:val="0"/>
                <w:sz w:val="15"/>
              </w:rPr>
              <w:t>OE3</w:t>
            </w:r>
          </w:p>
        </w:tc>
      </w:tr>
      <w:tr>
        <w:tc>
          <w:tcPr>
            <w:tcW w:type="dxa" w:w="680"/>
          </w:tcPr>
          <w:p>
            <w:r/>
            <w:r>
              <w:rPr>
                <w:rFonts w:ascii="Arial" w:hAnsi="Arial"/>
                <w:b w:val="0"/>
                <w:i w:val="0"/>
                <w:sz w:val="15"/>
              </w:rPr>
              <w:t>I5</w:t>
            </w:r>
          </w:p>
        </w:tc>
        <w:tc>
          <w:tcPr>
            <w:tcW w:type="dxa" w:w="2154"/>
          </w:tcPr>
          <w:p>
            <w:r/>
            <w:r>
              <w:rPr>
                <w:rFonts w:ascii="Arial" w:hAnsi="Arial"/>
                <w:b w:val="0"/>
                <w:i w:val="0"/>
                <w:sz w:val="15"/>
              </w:rPr>
              <w:t>Error de fiabilidad</w:t>
            </w:r>
          </w:p>
        </w:tc>
        <w:tc>
          <w:tcPr>
            <w:tcW w:type="dxa" w:w="3628"/>
          </w:tcPr>
          <w:p>
            <w:r/>
            <w:r>
              <w:rPr>
                <w:rFonts w:ascii="Arial" w:hAnsi="Arial"/>
                <w:b w:val="0"/>
                <w:i w:val="0"/>
                <w:sz w:val="15"/>
              </w:rPr>
              <w:t>(Distractores que también son correctos / evaluados) × 100.</w:t>
            </w:r>
          </w:p>
        </w:tc>
        <w:tc>
          <w:tcPr>
            <w:tcW w:type="dxa" w:w="2041"/>
          </w:tcPr>
          <w:p>
            <w:r/>
            <w:r>
              <w:rPr>
                <w:rFonts w:ascii="Arial" w:hAnsi="Arial"/>
                <w:b w:val="0"/>
                <w:i w:val="0"/>
                <w:sz w:val="15"/>
              </w:rPr>
              <w:t>≤ 5 % (*)</w:t>
            </w:r>
          </w:p>
        </w:tc>
        <w:tc>
          <w:tcPr>
            <w:tcW w:type="dxa" w:w="3061"/>
          </w:tcPr>
          <w:p>
            <w:r/>
            <w:r>
              <w:rPr>
                <w:rFonts w:ascii="Arial" w:hAnsi="Arial"/>
                <w:b w:val="0"/>
                <w:i w:val="0"/>
                <w:sz w:val="15"/>
              </w:rPr>
              <w:t>Rúbrica y verificación contra la evidencia.</w:t>
            </w:r>
          </w:p>
        </w:tc>
        <w:tc>
          <w:tcPr>
            <w:tcW w:type="dxa" w:w="1814"/>
          </w:tcPr>
          <w:p>
            <w:r/>
            <w:r>
              <w:rPr>
                <w:rFonts w:ascii="Arial" w:hAnsi="Arial"/>
                <w:b w:val="0"/>
                <w:i w:val="0"/>
                <w:sz w:val="15"/>
              </w:rPr>
              <w:t>Cierre de cada sprint</w:t>
            </w:r>
          </w:p>
        </w:tc>
        <w:tc>
          <w:tcPr>
            <w:tcW w:type="dxa" w:w="1077"/>
          </w:tcPr>
          <w:p>
            <w:r/>
            <w:r>
              <w:rPr>
                <w:rFonts w:ascii="Arial" w:hAnsi="Arial"/>
                <w:b w:val="0"/>
                <w:i w:val="0"/>
                <w:sz w:val="15"/>
              </w:rPr>
              <w:t>OE3</w:t>
            </w:r>
          </w:p>
        </w:tc>
      </w:tr>
      <w:tr>
        <w:tc>
          <w:tcPr>
            <w:tcW w:type="dxa" w:w="680"/>
          </w:tcPr>
          <w:p>
            <w:r/>
            <w:r>
              <w:rPr>
                <w:rFonts w:ascii="Arial" w:hAnsi="Arial"/>
                <w:b w:val="0"/>
                <w:i w:val="0"/>
                <w:sz w:val="15"/>
              </w:rPr>
              <w:t>I6</w:t>
            </w:r>
          </w:p>
        </w:tc>
        <w:tc>
          <w:tcPr>
            <w:tcW w:type="dxa" w:w="2154"/>
          </w:tcPr>
          <w:p>
            <w:r/>
            <w:r>
              <w:rPr>
                <w:rFonts w:ascii="Arial" w:hAnsi="Arial"/>
                <w:b w:val="0"/>
                <w:i w:val="0"/>
                <w:sz w:val="15"/>
              </w:rPr>
              <w:t>Precisión frente a referencia</w:t>
            </w:r>
          </w:p>
        </w:tc>
        <w:tc>
          <w:tcPr>
            <w:tcW w:type="dxa" w:w="3628"/>
          </w:tcPr>
          <w:p>
            <w:r/>
            <w:r>
              <w:rPr>
                <w:rFonts w:ascii="Arial" w:hAnsi="Arial"/>
                <w:b w:val="0"/>
                <w:i w:val="0"/>
                <w:sz w:val="15"/>
              </w:rPr>
              <w:t>P@1, F1@3 y NDCG@10 sobre el conjunto gold en español.</w:t>
            </w:r>
          </w:p>
        </w:tc>
        <w:tc>
          <w:tcPr>
            <w:tcW w:type="dxa" w:w="2041"/>
          </w:tcPr>
          <w:p>
            <w:r/>
            <w:r>
              <w:rPr>
                <w:rFonts w:ascii="Arial" w:hAnsi="Arial"/>
                <w:b w:val="0"/>
                <w:i w:val="0"/>
                <w:sz w:val="15"/>
              </w:rPr>
              <w:t>Superar la línea base de embeddings en ≥ 10 % relativo (*)</w:t>
            </w:r>
          </w:p>
        </w:tc>
        <w:tc>
          <w:tcPr>
            <w:tcW w:type="dxa" w:w="3061"/>
          </w:tcPr>
          <w:p>
            <w:r/>
            <w:r>
              <w:rPr>
                <w:rFonts w:ascii="Arial" w:hAnsi="Arial"/>
                <w:b w:val="0"/>
                <w:i w:val="0"/>
                <w:sz w:val="15"/>
              </w:rPr>
              <w:t>Script de evaluación offline.</w:t>
            </w:r>
          </w:p>
        </w:tc>
        <w:tc>
          <w:tcPr>
            <w:tcW w:type="dxa" w:w="1814"/>
          </w:tcPr>
          <w:p>
            <w:r/>
            <w:r>
              <w:rPr>
                <w:rFonts w:ascii="Arial" w:hAnsi="Arial"/>
                <w:b w:val="0"/>
                <w:i w:val="0"/>
                <w:sz w:val="15"/>
              </w:rPr>
              <w:t>Sprints 1–2</w:t>
            </w:r>
          </w:p>
        </w:tc>
        <w:tc>
          <w:tcPr>
            <w:tcW w:type="dxa" w:w="1077"/>
          </w:tcPr>
          <w:p>
            <w:r/>
            <w:r>
              <w:rPr>
                <w:rFonts w:ascii="Arial" w:hAnsi="Arial"/>
                <w:b w:val="0"/>
                <w:i w:val="0"/>
                <w:sz w:val="15"/>
              </w:rPr>
              <w:t>OE2</w:t>
            </w:r>
          </w:p>
        </w:tc>
      </w:tr>
      <w:tr>
        <w:tc>
          <w:tcPr>
            <w:tcW w:type="dxa" w:w="680"/>
          </w:tcPr>
          <w:p>
            <w:r/>
            <w:r>
              <w:rPr>
                <w:rFonts w:ascii="Arial" w:hAnsi="Arial"/>
                <w:b w:val="0"/>
                <w:i w:val="0"/>
                <w:sz w:val="15"/>
              </w:rPr>
              <w:t>I7</w:t>
            </w:r>
          </w:p>
        </w:tc>
        <w:tc>
          <w:tcPr>
            <w:tcW w:type="dxa" w:w="2154"/>
          </w:tcPr>
          <w:p>
            <w:r/>
            <w:r>
              <w:rPr>
                <w:rFonts w:ascii="Arial" w:hAnsi="Arial"/>
                <w:b w:val="0"/>
                <w:i w:val="0"/>
                <w:sz w:val="15"/>
              </w:rPr>
              <w:t>Diversidad de distractores</w:t>
            </w:r>
          </w:p>
        </w:tc>
        <w:tc>
          <w:tcPr>
            <w:tcW w:type="dxa" w:w="3628"/>
          </w:tcPr>
          <w:p>
            <w:r/>
            <w:r>
              <w:rPr>
                <w:rFonts w:ascii="Arial" w:hAnsi="Arial"/>
                <w:b w:val="0"/>
                <w:i w:val="0"/>
                <w:sz w:val="15"/>
              </w:rPr>
              <w:t>(Pares con similitud &gt; 0,90 / total de pares) × 100.</w:t>
            </w:r>
          </w:p>
        </w:tc>
        <w:tc>
          <w:tcPr>
            <w:tcW w:type="dxa" w:w="2041"/>
          </w:tcPr>
          <w:p>
            <w:r/>
            <w:r>
              <w:rPr>
                <w:rFonts w:ascii="Arial" w:hAnsi="Arial"/>
                <w:b w:val="0"/>
                <w:i w:val="0"/>
                <w:sz w:val="15"/>
              </w:rPr>
              <w:t>≤ 5 % duplicados (*)</w:t>
            </w:r>
          </w:p>
        </w:tc>
        <w:tc>
          <w:tcPr>
            <w:tcW w:type="dxa" w:w="3061"/>
          </w:tcPr>
          <w:p>
            <w:r/>
            <w:r>
              <w:rPr>
                <w:rFonts w:ascii="Arial" w:hAnsi="Arial"/>
                <w:b w:val="0"/>
                <w:i w:val="0"/>
                <w:sz w:val="15"/>
              </w:rPr>
              <w:t>Script de embeddings.</w:t>
            </w:r>
          </w:p>
        </w:tc>
        <w:tc>
          <w:tcPr>
            <w:tcW w:type="dxa" w:w="1814"/>
          </w:tcPr>
          <w:p>
            <w:r/>
            <w:r>
              <w:rPr>
                <w:rFonts w:ascii="Arial" w:hAnsi="Arial"/>
                <w:b w:val="0"/>
                <w:i w:val="0"/>
                <w:sz w:val="15"/>
              </w:rPr>
              <w:t>Cada ejecución</w:t>
            </w:r>
          </w:p>
        </w:tc>
        <w:tc>
          <w:tcPr>
            <w:tcW w:type="dxa" w:w="1077"/>
          </w:tcPr>
          <w:p>
            <w:r/>
            <w:r>
              <w:rPr>
                <w:rFonts w:ascii="Arial" w:hAnsi="Arial"/>
                <w:b w:val="0"/>
                <w:i w:val="0"/>
                <w:sz w:val="15"/>
              </w:rPr>
              <w:t>OE3</w:t>
            </w:r>
          </w:p>
        </w:tc>
      </w:tr>
      <w:tr>
        <w:tc>
          <w:tcPr>
            <w:tcW w:type="dxa" w:w="680"/>
          </w:tcPr>
          <w:p>
            <w:r/>
            <w:r>
              <w:rPr>
                <w:rFonts w:ascii="Arial" w:hAnsi="Arial"/>
                <w:b w:val="0"/>
                <w:i w:val="0"/>
                <w:sz w:val="15"/>
              </w:rPr>
              <w:t>I8</w:t>
            </w:r>
          </w:p>
        </w:tc>
        <w:tc>
          <w:tcPr>
            <w:tcW w:type="dxa" w:w="2154"/>
          </w:tcPr>
          <w:p>
            <w:r/>
            <w:r>
              <w:rPr>
                <w:rFonts w:ascii="Arial" w:hAnsi="Arial"/>
                <w:b w:val="0"/>
                <w:i w:val="0"/>
                <w:sz w:val="15"/>
              </w:rPr>
              <w:t>Índice de dificultad</w:t>
            </w:r>
          </w:p>
        </w:tc>
        <w:tc>
          <w:tcPr>
            <w:tcW w:type="dxa" w:w="3628"/>
          </w:tcPr>
          <w:p>
            <w:r/>
            <w:r>
              <w:rPr>
                <w:rFonts w:ascii="Arial" w:hAnsi="Arial"/>
                <w:b w:val="0"/>
                <w:i w:val="0"/>
                <w:sz w:val="15"/>
              </w:rPr>
              <w:t>p = respuestas correctas / respuestas totales.</w:t>
            </w:r>
          </w:p>
        </w:tc>
        <w:tc>
          <w:tcPr>
            <w:tcW w:type="dxa" w:w="2041"/>
          </w:tcPr>
          <w:p>
            <w:r/>
            <w:r>
              <w:rPr>
                <w:rFonts w:ascii="Arial" w:hAnsi="Arial"/>
                <w:b w:val="0"/>
                <w:i w:val="0"/>
                <w:sz w:val="15"/>
              </w:rPr>
              <w:t>0,30–0,80 en ≥ 70 % de ítems</w:t>
            </w:r>
          </w:p>
        </w:tc>
        <w:tc>
          <w:tcPr>
            <w:tcW w:type="dxa" w:w="3061"/>
          </w:tcPr>
          <w:p>
            <w:r/>
            <w:r>
              <w:rPr>
                <w:rFonts w:ascii="Arial" w:hAnsi="Arial"/>
                <w:b w:val="0"/>
                <w:i w:val="0"/>
                <w:sz w:val="15"/>
              </w:rPr>
              <w:t>Análisis de ítems con estudiantes.</w:t>
            </w:r>
          </w:p>
        </w:tc>
        <w:tc>
          <w:tcPr>
            <w:tcW w:type="dxa" w:w="1814"/>
          </w:tcPr>
          <w:p>
            <w:r/>
            <w:r>
              <w:rPr>
                <w:rFonts w:ascii="Arial" w:hAnsi="Arial"/>
                <w:b w:val="0"/>
                <w:i w:val="0"/>
                <w:sz w:val="15"/>
              </w:rPr>
              <w:t>Piloto</w:t>
            </w:r>
          </w:p>
        </w:tc>
        <w:tc>
          <w:tcPr>
            <w:tcW w:type="dxa" w:w="1077"/>
          </w:tcPr>
          <w:p>
            <w:r/>
            <w:r>
              <w:rPr>
                <w:rFonts w:ascii="Arial" w:hAnsi="Arial"/>
                <w:b w:val="0"/>
                <w:i w:val="0"/>
                <w:sz w:val="15"/>
              </w:rPr>
              <w:t>OE5</w:t>
            </w:r>
          </w:p>
        </w:tc>
      </w:tr>
      <w:tr>
        <w:tc>
          <w:tcPr>
            <w:tcW w:type="dxa" w:w="680"/>
          </w:tcPr>
          <w:p>
            <w:r/>
            <w:r>
              <w:rPr>
                <w:rFonts w:ascii="Arial" w:hAnsi="Arial"/>
                <w:b w:val="0"/>
                <w:i w:val="0"/>
                <w:sz w:val="15"/>
              </w:rPr>
              <w:t>I9</w:t>
            </w:r>
          </w:p>
        </w:tc>
        <w:tc>
          <w:tcPr>
            <w:tcW w:type="dxa" w:w="2154"/>
          </w:tcPr>
          <w:p>
            <w:r/>
            <w:r>
              <w:rPr>
                <w:rFonts w:ascii="Arial" w:hAnsi="Arial"/>
                <w:b w:val="0"/>
                <w:i w:val="0"/>
                <w:sz w:val="15"/>
              </w:rPr>
              <w:t>Eficiencia de distractores</w:t>
            </w:r>
          </w:p>
        </w:tc>
        <w:tc>
          <w:tcPr>
            <w:tcW w:type="dxa" w:w="3628"/>
          </w:tcPr>
          <w:p>
            <w:r/>
            <w:r>
              <w:rPr>
                <w:rFonts w:ascii="Arial" w:hAnsi="Arial"/>
                <w:b w:val="0"/>
                <w:i w:val="0"/>
                <w:sz w:val="15"/>
              </w:rPr>
              <w:t>(Distractores con elección ≥ 5 % y r-pb &lt; 0 / total) × 100.</w:t>
            </w:r>
          </w:p>
        </w:tc>
        <w:tc>
          <w:tcPr>
            <w:tcW w:type="dxa" w:w="2041"/>
          </w:tcPr>
          <w:p>
            <w:r/>
            <w:r>
              <w:rPr>
                <w:rFonts w:ascii="Arial" w:hAnsi="Arial"/>
                <w:b w:val="0"/>
                <w:i w:val="0"/>
                <w:sz w:val="15"/>
              </w:rPr>
              <w:t>≥ 65 %</w:t>
            </w:r>
          </w:p>
        </w:tc>
        <w:tc>
          <w:tcPr>
            <w:tcW w:type="dxa" w:w="3061"/>
          </w:tcPr>
          <w:p>
            <w:r/>
            <w:r>
              <w:rPr>
                <w:rFonts w:ascii="Arial" w:hAnsi="Arial"/>
                <w:b w:val="0"/>
                <w:i w:val="0"/>
                <w:sz w:val="15"/>
              </w:rPr>
              <w:t>Reporte de análisis de ítems.</w:t>
            </w:r>
          </w:p>
        </w:tc>
        <w:tc>
          <w:tcPr>
            <w:tcW w:type="dxa" w:w="1814"/>
          </w:tcPr>
          <w:p>
            <w:r/>
            <w:r>
              <w:rPr>
                <w:rFonts w:ascii="Arial" w:hAnsi="Arial"/>
                <w:b w:val="0"/>
                <w:i w:val="0"/>
                <w:sz w:val="15"/>
              </w:rPr>
              <w:t>Piloto</w:t>
            </w:r>
          </w:p>
        </w:tc>
        <w:tc>
          <w:tcPr>
            <w:tcW w:type="dxa" w:w="1077"/>
          </w:tcPr>
          <w:p>
            <w:r/>
            <w:r>
              <w:rPr>
                <w:rFonts w:ascii="Arial" w:hAnsi="Arial"/>
                <w:b w:val="0"/>
                <w:i w:val="0"/>
                <w:sz w:val="15"/>
              </w:rPr>
              <w:t>OE5</w:t>
            </w:r>
          </w:p>
        </w:tc>
      </w:tr>
      <w:tr>
        <w:tc>
          <w:tcPr>
            <w:tcW w:type="dxa" w:w="680"/>
          </w:tcPr>
          <w:p>
            <w:r/>
            <w:r>
              <w:rPr>
                <w:rFonts w:ascii="Arial" w:hAnsi="Arial"/>
                <w:b w:val="0"/>
                <w:i w:val="0"/>
                <w:sz w:val="15"/>
              </w:rPr>
              <w:t>I10</w:t>
            </w:r>
          </w:p>
        </w:tc>
        <w:tc>
          <w:tcPr>
            <w:tcW w:type="dxa" w:w="2154"/>
          </w:tcPr>
          <w:p>
            <w:r/>
            <w:r>
              <w:rPr>
                <w:rFonts w:ascii="Arial" w:hAnsi="Arial"/>
                <w:b w:val="0"/>
                <w:i w:val="0"/>
                <w:sz w:val="15"/>
              </w:rPr>
              <w:t>Discriminación del ítem</w:t>
            </w:r>
          </w:p>
        </w:tc>
        <w:tc>
          <w:tcPr>
            <w:tcW w:type="dxa" w:w="3628"/>
          </w:tcPr>
          <w:p>
            <w:r/>
            <w:r>
              <w:rPr>
                <w:rFonts w:ascii="Arial" w:hAnsi="Arial"/>
                <w:b w:val="0"/>
                <w:i w:val="0"/>
                <w:sz w:val="15"/>
              </w:rPr>
              <w:t>Correlación punto-biserial entre acierto y puntaje total.</w:t>
            </w:r>
          </w:p>
        </w:tc>
        <w:tc>
          <w:tcPr>
            <w:tcW w:type="dxa" w:w="2041"/>
          </w:tcPr>
          <w:p>
            <w:r/>
            <w:r>
              <w:rPr>
                <w:rFonts w:ascii="Arial" w:hAnsi="Arial"/>
                <w:b w:val="0"/>
                <w:i w:val="0"/>
                <w:sz w:val="15"/>
              </w:rPr>
              <w:t>r-pb ≥ 0,20 en ≥ 70 %</w:t>
            </w:r>
          </w:p>
        </w:tc>
        <w:tc>
          <w:tcPr>
            <w:tcW w:type="dxa" w:w="3061"/>
          </w:tcPr>
          <w:p>
            <w:r/>
            <w:r>
              <w:rPr>
                <w:rFonts w:ascii="Arial" w:hAnsi="Arial"/>
                <w:b w:val="0"/>
                <w:i w:val="0"/>
                <w:sz w:val="15"/>
              </w:rPr>
              <w:t>Análisis de ítems.</w:t>
            </w:r>
          </w:p>
        </w:tc>
        <w:tc>
          <w:tcPr>
            <w:tcW w:type="dxa" w:w="1814"/>
          </w:tcPr>
          <w:p>
            <w:r/>
            <w:r>
              <w:rPr>
                <w:rFonts w:ascii="Arial" w:hAnsi="Arial"/>
                <w:b w:val="0"/>
                <w:i w:val="0"/>
                <w:sz w:val="15"/>
              </w:rPr>
              <w:t>Piloto</w:t>
            </w:r>
          </w:p>
        </w:tc>
        <w:tc>
          <w:tcPr>
            <w:tcW w:type="dxa" w:w="1077"/>
          </w:tcPr>
          <w:p>
            <w:r/>
            <w:r>
              <w:rPr>
                <w:rFonts w:ascii="Arial" w:hAnsi="Arial"/>
                <w:b w:val="0"/>
                <w:i w:val="0"/>
                <w:sz w:val="15"/>
              </w:rPr>
              <w:t>OE5</w:t>
            </w:r>
          </w:p>
        </w:tc>
      </w:tr>
      <w:tr>
        <w:tc>
          <w:tcPr>
            <w:tcW w:type="dxa" w:w="680"/>
          </w:tcPr>
          <w:p>
            <w:r/>
            <w:r>
              <w:rPr>
                <w:rFonts w:ascii="Arial" w:hAnsi="Arial"/>
                <w:b w:val="0"/>
                <w:i w:val="0"/>
                <w:sz w:val="15"/>
              </w:rPr>
              <w:t>I11</w:t>
            </w:r>
          </w:p>
        </w:tc>
        <w:tc>
          <w:tcPr>
            <w:tcW w:type="dxa" w:w="2154"/>
          </w:tcPr>
          <w:p>
            <w:r/>
            <w:r>
              <w:rPr>
                <w:rFonts w:ascii="Arial" w:hAnsi="Arial"/>
                <w:b w:val="0"/>
                <w:i w:val="0"/>
                <w:sz w:val="15"/>
              </w:rPr>
              <w:t>Latencia</w:t>
            </w:r>
          </w:p>
        </w:tc>
        <w:tc>
          <w:tcPr>
            <w:tcW w:type="dxa" w:w="3628"/>
          </w:tcPr>
          <w:p>
            <w:r/>
            <w:r>
              <w:rPr>
                <w:rFonts w:ascii="Arial" w:hAnsi="Arial"/>
                <w:b w:val="0"/>
                <w:i w:val="0"/>
                <w:sz w:val="15"/>
              </w:rPr>
              <w:t>p95 del tiempo de recuperación y de generación por recurso.</w:t>
            </w:r>
          </w:p>
        </w:tc>
        <w:tc>
          <w:tcPr>
            <w:tcW w:type="dxa" w:w="2041"/>
          </w:tcPr>
          <w:p>
            <w:r/>
            <w:r>
              <w:rPr>
                <w:rFonts w:ascii="Arial" w:hAnsi="Arial"/>
                <w:b w:val="0"/>
                <w:i w:val="0"/>
                <w:sz w:val="15"/>
              </w:rPr>
              <w:t>Recuperación ≤ 2 s; generación ≤ 15 s (*)</w:t>
            </w:r>
          </w:p>
        </w:tc>
        <w:tc>
          <w:tcPr>
            <w:tcW w:type="dxa" w:w="3061"/>
          </w:tcPr>
          <w:p>
            <w:r/>
            <w:r>
              <w:rPr>
                <w:rFonts w:ascii="Arial" w:hAnsi="Arial"/>
                <w:b w:val="0"/>
                <w:i w:val="0"/>
                <w:sz w:val="15"/>
              </w:rPr>
              <w:t>Registros del backend y pruebas de carga.</w:t>
            </w:r>
          </w:p>
        </w:tc>
        <w:tc>
          <w:tcPr>
            <w:tcW w:type="dxa" w:w="1814"/>
          </w:tcPr>
          <w:p>
            <w:r/>
            <w:r>
              <w:rPr>
                <w:rFonts w:ascii="Arial" w:hAnsi="Arial"/>
                <w:b w:val="0"/>
                <w:i w:val="0"/>
                <w:sz w:val="15"/>
              </w:rPr>
              <w:t>Cierre de Sprint 2</w:t>
            </w:r>
          </w:p>
        </w:tc>
        <w:tc>
          <w:tcPr>
            <w:tcW w:type="dxa" w:w="1077"/>
          </w:tcPr>
          <w:p>
            <w:r/>
            <w:r>
              <w:rPr>
                <w:rFonts w:ascii="Arial" w:hAnsi="Arial"/>
                <w:b w:val="0"/>
                <w:i w:val="0"/>
                <w:sz w:val="15"/>
              </w:rPr>
              <w:t>OE2</w:t>
            </w:r>
          </w:p>
        </w:tc>
      </w:tr>
      <w:tr>
        <w:tc>
          <w:tcPr>
            <w:tcW w:type="dxa" w:w="680"/>
          </w:tcPr>
          <w:p>
            <w:r/>
            <w:r>
              <w:rPr>
                <w:rFonts w:ascii="Arial" w:hAnsi="Arial"/>
                <w:b w:val="0"/>
                <w:i w:val="0"/>
                <w:sz w:val="15"/>
              </w:rPr>
              <w:t>I12</w:t>
            </w:r>
          </w:p>
        </w:tc>
        <w:tc>
          <w:tcPr>
            <w:tcW w:type="dxa" w:w="2154"/>
          </w:tcPr>
          <w:p>
            <w:r/>
            <w:r>
              <w:rPr>
                <w:rFonts w:ascii="Arial" w:hAnsi="Arial"/>
                <w:b w:val="0"/>
                <w:i w:val="0"/>
                <w:sz w:val="15"/>
              </w:rPr>
              <w:t>Usabilidad percibida</w:t>
            </w:r>
          </w:p>
        </w:tc>
        <w:tc>
          <w:tcPr>
            <w:tcW w:type="dxa" w:w="3628"/>
          </w:tcPr>
          <w:p>
            <w:r/>
            <w:r>
              <w:rPr>
                <w:rFonts w:ascii="Arial" w:hAnsi="Arial"/>
                <w:b w:val="0"/>
                <w:i w:val="0"/>
                <w:sz w:val="15"/>
              </w:rPr>
              <w:t>Puntaje SUS (0–100).</w:t>
            </w:r>
          </w:p>
        </w:tc>
        <w:tc>
          <w:tcPr>
            <w:tcW w:type="dxa" w:w="2041"/>
          </w:tcPr>
          <w:p>
            <w:r/>
            <w:r>
              <w:rPr>
                <w:rFonts w:ascii="Arial" w:hAnsi="Arial"/>
                <w:b w:val="0"/>
                <w:i w:val="0"/>
                <w:sz w:val="15"/>
              </w:rPr>
              <w:t>≥ 68</w:t>
            </w:r>
          </w:p>
        </w:tc>
        <w:tc>
          <w:tcPr>
            <w:tcW w:type="dxa" w:w="3061"/>
          </w:tcPr>
          <w:p>
            <w:r/>
            <w:r>
              <w:rPr>
                <w:rFonts w:ascii="Arial" w:hAnsi="Arial"/>
                <w:b w:val="0"/>
                <w:i w:val="0"/>
                <w:sz w:val="15"/>
              </w:rPr>
              <w:t>Cuestionario SUS (Brooke, 1996).</w:t>
            </w:r>
          </w:p>
        </w:tc>
        <w:tc>
          <w:tcPr>
            <w:tcW w:type="dxa" w:w="1814"/>
          </w:tcPr>
          <w:p>
            <w:r/>
            <w:r>
              <w:rPr>
                <w:rFonts w:ascii="Arial" w:hAnsi="Arial"/>
                <w:b w:val="0"/>
                <w:i w:val="0"/>
                <w:sz w:val="15"/>
              </w:rPr>
              <w:t>Piloto</w:t>
            </w:r>
          </w:p>
        </w:tc>
        <w:tc>
          <w:tcPr>
            <w:tcW w:type="dxa" w:w="1077"/>
          </w:tcPr>
          <w:p>
            <w:r/>
            <w:r>
              <w:rPr>
                <w:rFonts w:ascii="Arial" w:hAnsi="Arial"/>
                <w:b w:val="0"/>
                <w:i w:val="0"/>
                <w:sz w:val="15"/>
              </w:rPr>
              <w:t>OE4</w:t>
            </w:r>
          </w:p>
        </w:tc>
      </w:tr>
      <w:tr>
        <w:tc>
          <w:tcPr>
            <w:tcW w:type="dxa" w:w="680"/>
          </w:tcPr>
          <w:p>
            <w:r/>
            <w:r>
              <w:rPr>
                <w:rFonts w:ascii="Arial" w:hAnsi="Arial"/>
                <w:b w:val="0"/>
                <w:i w:val="0"/>
                <w:sz w:val="15"/>
              </w:rPr>
              <w:t>I13</w:t>
            </w:r>
          </w:p>
        </w:tc>
        <w:tc>
          <w:tcPr>
            <w:tcW w:type="dxa" w:w="2154"/>
          </w:tcPr>
          <w:p>
            <w:r/>
            <w:r>
              <w:rPr>
                <w:rFonts w:ascii="Arial" w:hAnsi="Arial"/>
                <w:b w:val="0"/>
                <w:i w:val="0"/>
                <w:sz w:val="15"/>
              </w:rPr>
              <w:t>Disponibilidad</w:t>
            </w:r>
          </w:p>
        </w:tc>
        <w:tc>
          <w:tcPr>
            <w:tcW w:type="dxa" w:w="3628"/>
          </w:tcPr>
          <w:p>
            <w:r/>
            <w:r>
              <w:rPr>
                <w:rFonts w:ascii="Arial" w:hAnsi="Arial"/>
                <w:b w:val="0"/>
                <w:i w:val="0"/>
                <w:sz w:val="15"/>
              </w:rPr>
              <w:t>(Tiempo operativo / tiempo total del piloto) × 100.</w:t>
            </w:r>
          </w:p>
        </w:tc>
        <w:tc>
          <w:tcPr>
            <w:tcW w:type="dxa" w:w="2041"/>
          </w:tcPr>
          <w:p>
            <w:r/>
            <w:r>
              <w:rPr>
                <w:rFonts w:ascii="Arial" w:hAnsi="Arial"/>
                <w:b w:val="0"/>
                <w:i w:val="0"/>
                <w:sz w:val="15"/>
              </w:rPr>
              <w:t>≥ 99 % (*)</w:t>
            </w:r>
          </w:p>
        </w:tc>
        <w:tc>
          <w:tcPr>
            <w:tcW w:type="dxa" w:w="3061"/>
          </w:tcPr>
          <w:p>
            <w:r/>
            <w:r>
              <w:rPr>
                <w:rFonts w:ascii="Arial" w:hAnsi="Arial"/>
                <w:b w:val="0"/>
                <w:i w:val="0"/>
                <w:sz w:val="15"/>
              </w:rPr>
              <w:t>Monitor de disponibilidad.</w:t>
            </w:r>
          </w:p>
        </w:tc>
        <w:tc>
          <w:tcPr>
            <w:tcW w:type="dxa" w:w="1814"/>
          </w:tcPr>
          <w:p>
            <w:r/>
            <w:r>
              <w:rPr>
                <w:rFonts w:ascii="Arial" w:hAnsi="Arial"/>
                <w:b w:val="0"/>
                <w:i w:val="0"/>
                <w:sz w:val="15"/>
              </w:rPr>
              <w:t>Piloto</w:t>
            </w:r>
          </w:p>
        </w:tc>
        <w:tc>
          <w:tcPr>
            <w:tcW w:type="dxa" w:w="1077"/>
          </w:tcPr>
          <w:p>
            <w:r/>
            <w:r>
              <w:rPr>
                <w:rFonts w:ascii="Arial" w:hAnsi="Arial"/>
                <w:b w:val="0"/>
                <w:i w:val="0"/>
                <w:sz w:val="15"/>
              </w:rPr>
              <w:t>OE4</w:t>
            </w:r>
          </w:p>
        </w:tc>
      </w:tr>
      <w:tr>
        <w:tc>
          <w:tcPr>
            <w:tcW w:type="dxa" w:w="680"/>
          </w:tcPr>
          <w:p>
            <w:r/>
            <w:r>
              <w:rPr>
                <w:rFonts w:ascii="Arial" w:hAnsi="Arial"/>
                <w:b w:val="0"/>
                <w:i w:val="0"/>
                <w:sz w:val="15"/>
              </w:rPr>
              <w:t>I14</w:t>
            </w:r>
          </w:p>
        </w:tc>
        <w:tc>
          <w:tcPr>
            <w:tcW w:type="dxa" w:w="2154"/>
          </w:tcPr>
          <w:p>
            <w:r/>
            <w:r>
              <w:rPr>
                <w:rFonts w:ascii="Arial" w:hAnsi="Arial"/>
                <w:b w:val="0"/>
                <w:i w:val="0"/>
                <w:sz w:val="15"/>
              </w:rPr>
              <w:t>Seguridad</w:t>
            </w:r>
          </w:p>
        </w:tc>
        <w:tc>
          <w:tcPr>
            <w:tcW w:type="dxa" w:w="3628"/>
          </w:tcPr>
          <w:p>
            <w:r/>
            <w:r>
              <w:rPr>
                <w:rFonts w:ascii="Arial" w:hAnsi="Arial"/>
                <w:b w:val="0"/>
                <w:i w:val="0"/>
                <w:sz w:val="15"/>
              </w:rPr>
              <w:t>Vulnerabilidades altas o críticas; % de endpoints con control por rol.</w:t>
            </w:r>
          </w:p>
        </w:tc>
        <w:tc>
          <w:tcPr>
            <w:tcW w:type="dxa" w:w="2041"/>
          </w:tcPr>
          <w:p>
            <w:r/>
            <w:r>
              <w:rPr>
                <w:rFonts w:ascii="Arial" w:hAnsi="Arial"/>
                <w:b w:val="0"/>
                <w:i w:val="0"/>
                <w:sz w:val="15"/>
              </w:rPr>
              <w:t>0 críticas; 100 % endpoints</w:t>
            </w:r>
          </w:p>
        </w:tc>
        <w:tc>
          <w:tcPr>
            <w:tcW w:type="dxa" w:w="3061"/>
          </w:tcPr>
          <w:p>
            <w:r/>
            <w:r>
              <w:rPr>
                <w:rFonts w:ascii="Arial" w:hAnsi="Arial"/>
                <w:b w:val="0"/>
                <w:i w:val="0"/>
                <w:sz w:val="15"/>
              </w:rPr>
              <w:t>Escaneo OWASP ZAP y checklist ASVS 1.</w:t>
            </w:r>
          </w:p>
        </w:tc>
        <w:tc>
          <w:tcPr>
            <w:tcW w:type="dxa" w:w="1814"/>
          </w:tcPr>
          <w:p>
            <w:r/>
            <w:r>
              <w:rPr>
                <w:rFonts w:ascii="Arial" w:hAnsi="Arial"/>
                <w:b w:val="0"/>
                <w:i w:val="0"/>
                <w:sz w:val="15"/>
              </w:rPr>
              <w:t>Antes del piloto</w:t>
            </w:r>
          </w:p>
        </w:tc>
        <w:tc>
          <w:tcPr>
            <w:tcW w:type="dxa" w:w="1077"/>
          </w:tcPr>
          <w:p>
            <w:r/>
            <w:r>
              <w:rPr>
                <w:rFonts w:ascii="Arial" w:hAnsi="Arial"/>
                <w:b w:val="0"/>
                <w:i w:val="0"/>
                <w:sz w:val="15"/>
              </w:rPr>
              <w:t>OE4</w:t>
            </w:r>
          </w:p>
        </w:tc>
      </w:tr>
      <w:tr>
        <w:tc>
          <w:tcPr>
            <w:tcW w:type="dxa" w:w="680"/>
          </w:tcPr>
          <w:p>
            <w:r/>
            <w:r>
              <w:rPr>
                <w:rFonts w:ascii="Arial" w:hAnsi="Arial"/>
                <w:b w:val="0"/>
                <w:i w:val="0"/>
                <w:sz w:val="15"/>
              </w:rPr>
              <w:t>I15</w:t>
            </w:r>
          </w:p>
        </w:tc>
        <w:tc>
          <w:tcPr>
            <w:tcW w:type="dxa" w:w="2154"/>
          </w:tcPr>
          <w:p>
            <w:r/>
            <w:r>
              <w:rPr>
                <w:rFonts w:ascii="Arial" w:hAnsi="Arial"/>
                <w:b w:val="0"/>
                <w:i w:val="0"/>
                <w:sz w:val="15"/>
              </w:rPr>
              <w:t>Gestión del proyecto</w:t>
            </w:r>
          </w:p>
        </w:tc>
        <w:tc>
          <w:tcPr>
            <w:tcW w:type="dxa" w:w="3628"/>
          </w:tcPr>
          <w:p>
            <w:r/>
            <w:r>
              <w:rPr>
                <w:rFonts w:ascii="Arial" w:hAnsi="Arial"/>
                <w:b w:val="0"/>
                <w:i w:val="0"/>
                <w:sz w:val="15"/>
              </w:rPr>
              <w:t>(Historias terminadas / comprometidas) × 100.</w:t>
            </w:r>
          </w:p>
        </w:tc>
        <w:tc>
          <w:tcPr>
            <w:tcW w:type="dxa" w:w="2041"/>
          </w:tcPr>
          <w:p>
            <w:r/>
            <w:r>
              <w:rPr>
                <w:rFonts w:ascii="Arial" w:hAnsi="Arial"/>
                <w:b w:val="0"/>
                <w:i w:val="0"/>
                <w:sz w:val="15"/>
              </w:rPr>
              <w:t>≥ 85 %</w:t>
            </w:r>
          </w:p>
        </w:tc>
        <w:tc>
          <w:tcPr>
            <w:tcW w:type="dxa" w:w="3061"/>
          </w:tcPr>
          <w:p>
            <w:r/>
            <w:r>
              <w:rPr>
                <w:rFonts w:ascii="Arial" w:hAnsi="Arial"/>
                <w:b w:val="0"/>
                <w:i w:val="0"/>
                <w:sz w:val="15"/>
              </w:rPr>
              <w:t>Tablero Scrum y burndown.</w:t>
            </w:r>
          </w:p>
        </w:tc>
        <w:tc>
          <w:tcPr>
            <w:tcW w:type="dxa" w:w="1814"/>
          </w:tcPr>
          <w:p>
            <w:r/>
            <w:r>
              <w:rPr>
                <w:rFonts w:ascii="Arial" w:hAnsi="Arial"/>
                <w:b w:val="0"/>
                <w:i w:val="0"/>
                <w:sz w:val="15"/>
              </w:rPr>
              <w:t>Cierre de cada sprint</w:t>
            </w:r>
          </w:p>
        </w:tc>
        <w:tc>
          <w:tcPr>
            <w:tcW w:type="dxa" w:w="1077"/>
          </w:tcPr>
          <w:p>
            <w:r/>
            <w:r>
              <w:rPr>
                <w:rFonts w:ascii="Arial" w:hAnsi="Arial"/>
                <w:b w:val="0"/>
                <w:i w:val="0"/>
                <w:sz w:val="15"/>
              </w:rPr>
              <w:t>OE1</w:t>
            </w:r>
          </w:p>
        </w:tc>
      </w:tr>
      <w:tr>
        <w:tc>
          <w:tcPr>
            <w:tcW w:type="dxa" w:w="680"/>
          </w:tcPr>
          <w:p>
            <w:r/>
            <w:r>
              <w:rPr>
                <w:rFonts w:ascii="Arial" w:hAnsi="Arial"/>
                <w:b w:val="0"/>
                <w:i w:val="0"/>
                <w:sz w:val="15"/>
              </w:rPr>
              <w:t>I16</w:t>
            </w:r>
          </w:p>
        </w:tc>
        <w:tc>
          <w:tcPr>
            <w:tcW w:type="dxa" w:w="2154"/>
          </w:tcPr>
          <w:p>
            <w:r/>
            <w:r>
              <w:rPr>
                <w:rFonts w:ascii="Arial" w:hAnsi="Arial"/>
                <w:b w:val="0"/>
                <w:i w:val="0"/>
                <w:sz w:val="15"/>
              </w:rPr>
              <w:t>Conformidad con el estándar</w:t>
            </w:r>
          </w:p>
        </w:tc>
        <w:tc>
          <w:tcPr>
            <w:tcW w:type="dxa" w:w="3628"/>
          </w:tcPr>
          <w:p>
            <w:r/>
            <w:r>
              <w:rPr>
                <w:rFonts w:ascii="Arial" w:hAnsi="Arial"/>
                <w:b w:val="0"/>
                <w:i w:val="0"/>
                <w:sz w:val="15"/>
              </w:rPr>
              <w:t>(Paquetes válidos ante el validador / generados) × 100.</w:t>
            </w:r>
          </w:p>
        </w:tc>
        <w:tc>
          <w:tcPr>
            <w:tcW w:type="dxa" w:w="2041"/>
          </w:tcPr>
          <w:p>
            <w:r/>
            <w:r>
              <w:rPr>
                <w:rFonts w:ascii="Arial" w:hAnsi="Arial"/>
                <w:b w:val="0"/>
                <w:i w:val="0"/>
                <w:sz w:val="15"/>
              </w:rPr>
              <w:t>100 %</w:t>
            </w:r>
          </w:p>
        </w:tc>
        <w:tc>
          <w:tcPr>
            <w:tcW w:type="dxa" w:w="3061"/>
          </w:tcPr>
          <w:p>
            <w:r/>
            <w:r>
              <w:rPr>
                <w:rFonts w:ascii="Arial" w:hAnsi="Arial"/>
                <w:b w:val="0"/>
                <w:i w:val="0"/>
                <w:sz w:val="15"/>
              </w:rPr>
              <w:t>Validador QTI de 1EdTech.</w:t>
            </w:r>
          </w:p>
        </w:tc>
        <w:tc>
          <w:tcPr>
            <w:tcW w:type="dxa" w:w="1814"/>
          </w:tcPr>
          <w:p>
            <w:r/>
            <w:r>
              <w:rPr>
                <w:rFonts w:ascii="Arial" w:hAnsi="Arial"/>
                <w:b w:val="0"/>
                <w:i w:val="0"/>
                <w:sz w:val="15"/>
              </w:rPr>
              <w:t>Cada entrega</w:t>
            </w:r>
          </w:p>
        </w:tc>
        <w:tc>
          <w:tcPr>
            <w:tcW w:type="dxa" w:w="1077"/>
          </w:tcPr>
          <w:p>
            <w:r/>
            <w:r>
              <w:rPr>
                <w:rFonts w:ascii="Arial" w:hAnsi="Arial"/>
                <w:b w:val="0"/>
                <w:i w:val="0"/>
                <w:sz w:val="15"/>
              </w:rPr>
              <w:t>OE4</w:t>
            </w:r>
          </w:p>
        </w:tc>
      </w:tr>
      <w:tr>
        <w:tc>
          <w:tcPr>
            <w:tcW w:type="dxa" w:w="680"/>
          </w:tcPr>
          <w:p>
            <w:r/>
            <w:r>
              <w:rPr>
                <w:rFonts w:ascii="Arial" w:hAnsi="Arial"/>
                <w:b w:val="0"/>
                <w:i w:val="0"/>
                <w:sz w:val="15"/>
              </w:rPr>
              <w:t>I17</w:t>
            </w:r>
          </w:p>
        </w:tc>
        <w:tc>
          <w:tcPr>
            <w:tcW w:type="dxa" w:w="2154"/>
          </w:tcPr>
          <w:p>
            <w:r/>
            <w:r>
              <w:rPr>
                <w:rFonts w:ascii="Arial" w:hAnsi="Arial"/>
                <w:b w:val="0"/>
                <w:i w:val="0"/>
                <w:sz w:val="15"/>
              </w:rPr>
              <w:t>Importación exitosa</w:t>
            </w:r>
          </w:p>
        </w:tc>
        <w:tc>
          <w:tcPr>
            <w:tcW w:type="dxa" w:w="3628"/>
          </w:tcPr>
          <w:p>
            <w:r/>
            <w:r>
              <w:rPr>
                <w:rFonts w:ascii="Arial" w:hAnsi="Arial"/>
                <w:b w:val="0"/>
                <w:i w:val="0"/>
                <w:sz w:val="15"/>
              </w:rPr>
              <w:t>(Importaciones sin error / intentos) × 100 por LMS.</w:t>
            </w:r>
          </w:p>
        </w:tc>
        <w:tc>
          <w:tcPr>
            <w:tcW w:type="dxa" w:w="2041"/>
          </w:tcPr>
          <w:p>
            <w:r/>
            <w:r>
              <w:rPr>
                <w:rFonts w:ascii="Arial" w:hAnsi="Arial"/>
                <w:b w:val="0"/>
                <w:i w:val="0"/>
                <w:sz w:val="15"/>
              </w:rPr>
              <w:t>≥ 95 %</w:t>
            </w:r>
          </w:p>
        </w:tc>
        <w:tc>
          <w:tcPr>
            <w:tcW w:type="dxa" w:w="3061"/>
          </w:tcPr>
          <w:p>
            <w:r/>
            <w:r>
              <w:rPr>
                <w:rFonts w:ascii="Arial" w:hAnsi="Arial"/>
                <w:b w:val="0"/>
                <w:i w:val="0"/>
                <w:sz w:val="15"/>
              </w:rPr>
              <w:t>Pruebas en instancias locales.</w:t>
            </w:r>
          </w:p>
        </w:tc>
        <w:tc>
          <w:tcPr>
            <w:tcW w:type="dxa" w:w="1814"/>
          </w:tcPr>
          <w:p>
            <w:r/>
            <w:r>
              <w:rPr>
                <w:rFonts w:ascii="Arial" w:hAnsi="Arial"/>
                <w:b w:val="0"/>
                <w:i w:val="0"/>
                <w:sz w:val="15"/>
              </w:rPr>
              <w:t>Cierre de cada sprint</w:t>
            </w:r>
          </w:p>
        </w:tc>
        <w:tc>
          <w:tcPr>
            <w:tcW w:type="dxa" w:w="1077"/>
          </w:tcPr>
          <w:p>
            <w:r/>
            <w:r>
              <w:rPr>
                <w:rFonts w:ascii="Arial" w:hAnsi="Arial"/>
                <w:b w:val="0"/>
                <w:i w:val="0"/>
                <w:sz w:val="15"/>
              </w:rPr>
              <w:t>OE4</w:t>
            </w:r>
          </w:p>
        </w:tc>
      </w:tr>
      <w:tr>
        <w:tc>
          <w:tcPr>
            <w:tcW w:type="dxa" w:w="680"/>
          </w:tcPr>
          <w:p>
            <w:r/>
            <w:r>
              <w:rPr>
                <w:rFonts w:ascii="Arial" w:hAnsi="Arial"/>
                <w:b w:val="0"/>
                <w:i w:val="0"/>
                <w:sz w:val="15"/>
              </w:rPr>
              <w:t>I18</w:t>
            </w:r>
          </w:p>
        </w:tc>
        <w:tc>
          <w:tcPr>
            <w:tcW w:type="dxa" w:w="2154"/>
          </w:tcPr>
          <w:p>
            <w:r/>
            <w:r>
              <w:rPr>
                <w:rFonts w:ascii="Arial" w:hAnsi="Arial"/>
                <w:b w:val="0"/>
                <w:i w:val="0"/>
                <w:sz w:val="15"/>
              </w:rPr>
              <w:t>Portabilidad</w:t>
            </w:r>
          </w:p>
        </w:tc>
        <w:tc>
          <w:tcPr>
            <w:tcW w:type="dxa" w:w="3628"/>
          </w:tcPr>
          <w:p>
            <w:r/>
            <w:r>
              <w:rPr>
                <w:rFonts w:ascii="Arial" w:hAnsi="Arial"/>
                <w:b w:val="0"/>
                <w:i w:val="0"/>
                <w:sz w:val="15"/>
              </w:rPr>
              <w:t>N.º de LMS donde el mismo paquete funciona.</w:t>
            </w:r>
          </w:p>
        </w:tc>
        <w:tc>
          <w:tcPr>
            <w:tcW w:type="dxa" w:w="2041"/>
          </w:tcPr>
          <w:p>
            <w:r/>
            <w:r>
              <w:rPr>
                <w:rFonts w:ascii="Arial" w:hAnsi="Arial"/>
                <w:b w:val="0"/>
                <w:i w:val="0"/>
                <w:sz w:val="15"/>
              </w:rPr>
              <w:t>≥ 2 (ideal 3)</w:t>
            </w:r>
          </w:p>
        </w:tc>
        <w:tc>
          <w:tcPr>
            <w:tcW w:type="dxa" w:w="3061"/>
          </w:tcPr>
          <w:p>
            <w:r/>
            <w:r>
              <w:rPr>
                <w:rFonts w:ascii="Arial" w:hAnsi="Arial"/>
                <w:b w:val="0"/>
                <w:i w:val="0"/>
                <w:sz w:val="15"/>
              </w:rPr>
              <w:t>Matriz de compatibilidad.</w:t>
            </w:r>
          </w:p>
        </w:tc>
        <w:tc>
          <w:tcPr>
            <w:tcW w:type="dxa" w:w="1814"/>
          </w:tcPr>
          <w:p>
            <w:r/>
            <w:r>
              <w:rPr>
                <w:rFonts w:ascii="Arial" w:hAnsi="Arial"/>
                <w:b w:val="0"/>
                <w:i w:val="0"/>
                <w:sz w:val="15"/>
              </w:rPr>
              <w:t>Cierre de Sprint 2</w:t>
            </w:r>
          </w:p>
        </w:tc>
        <w:tc>
          <w:tcPr>
            <w:tcW w:type="dxa" w:w="1077"/>
          </w:tcPr>
          <w:p>
            <w:r/>
            <w:r>
              <w:rPr>
                <w:rFonts w:ascii="Arial" w:hAnsi="Arial"/>
                <w:b w:val="0"/>
                <w:i w:val="0"/>
                <w:sz w:val="15"/>
              </w:rPr>
              <w:t>OE4</w:t>
            </w:r>
          </w:p>
        </w:tc>
      </w:tr>
      <w:tr>
        <w:tc>
          <w:tcPr>
            <w:tcW w:type="dxa" w:w="680"/>
          </w:tcPr>
          <w:p>
            <w:r/>
            <w:r>
              <w:rPr>
                <w:rFonts w:ascii="Arial" w:hAnsi="Arial"/>
                <w:b w:val="0"/>
                <w:i w:val="0"/>
                <w:sz w:val="15"/>
              </w:rPr>
              <w:t>I19</w:t>
            </w:r>
          </w:p>
        </w:tc>
        <w:tc>
          <w:tcPr>
            <w:tcW w:type="dxa" w:w="2154"/>
          </w:tcPr>
          <w:p>
            <w:r/>
            <w:r>
              <w:rPr>
                <w:rFonts w:ascii="Arial" w:hAnsi="Arial"/>
                <w:b w:val="0"/>
                <w:i w:val="0"/>
                <w:sz w:val="15"/>
              </w:rPr>
              <w:t>Fidelidad tras la importación</w:t>
            </w:r>
          </w:p>
        </w:tc>
        <w:tc>
          <w:tcPr>
            <w:tcW w:type="dxa" w:w="3628"/>
          </w:tcPr>
          <w:p>
            <w:r/>
            <w:r>
              <w:rPr>
                <w:rFonts w:ascii="Arial" w:hAnsi="Arial"/>
                <w:b w:val="0"/>
                <w:i w:val="0"/>
                <w:sz w:val="15"/>
              </w:rPr>
              <w:t>(Ítems que conservan enunciado, opciones, clave y retroalimentación / importados) × 100.</w:t>
            </w:r>
          </w:p>
        </w:tc>
        <w:tc>
          <w:tcPr>
            <w:tcW w:type="dxa" w:w="2041"/>
          </w:tcPr>
          <w:p>
            <w:r/>
            <w:r>
              <w:rPr>
                <w:rFonts w:ascii="Arial" w:hAnsi="Arial"/>
                <w:b w:val="0"/>
                <w:i w:val="0"/>
                <w:sz w:val="15"/>
              </w:rPr>
              <w:t>100 %</w:t>
            </w:r>
          </w:p>
        </w:tc>
        <w:tc>
          <w:tcPr>
            <w:tcW w:type="dxa" w:w="3061"/>
          </w:tcPr>
          <w:p>
            <w:r/>
            <w:r>
              <w:rPr>
                <w:rFonts w:ascii="Arial" w:hAnsi="Arial"/>
                <w:b w:val="0"/>
                <w:i w:val="0"/>
                <w:sz w:val="15"/>
              </w:rPr>
              <w:t>Lista de verificación antes y después.</w:t>
            </w:r>
          </w:p>
        </w:tc>
        <w:tc>
          <w:tcPr>
            <w:tcW w:type="dxa" w:w="1814"/>
          </w:tcPr>
          <w:p>
            <w:r/>
            <w:r>
              <w:rPr>
                <w:rFonts w:ascii="Arial" w:hAnsi="Arial"/>
                <w:b w:val="0"/>
                <w:i w:val="0"/>
                <w:sz w:val="15"/>
              </w:rPr>
              <w:t>Cierre de cada sprint</w:t>
            </w:r>
          </w:p>
        </w:tc>
        <w:tc>
          <w:tcPr>
            <w:tcW w:type="dxa" w:w="1077"/>
          </w:tcPr>
          <w:p>
            <w:r/>
            <w:r>
              <w:rPr>
                <w:rFonts w:ascii="Arial" w:hAnsi="Arial"/>
                <w:b w:val="0"/>
                <w:i w:val="0"/>
                <w:sz w:val="15"/>
              </w:rPr>
              <w:t>OE4</w:t>
            </w:r>
          </w:p>
        </w:tc>
      </w:tr>
      <w:tr>
        <w:tc>
          <w:tcPr>
            <w:tcW w:type="dxa" w:w="680"/>
          </w:tcPr>
          <w:p>
            <w:r/>
            <w:r>
              <w:rPr>
                <w:rFonts w:ascii="Arial" w:hAnsi="Arial"/>
                <w:b w:val="0"/>
                <w:i w:val="0"/>
                <w:sz w:val="15"/>
              </w:rPr>
              <w:t>I20</w:t>
            </w:r>
          </w:p>
        </w:tc>
        <w:tc>
          <w:tcPr>
            <w:tcW w:type="dxa" w:w="2154"/>
          </w:tcPr>
          <w:p>
            <w:r/>
            <w:r>
              <w:rPr>
                <w:rFonts w:ascii="Arial" w:hAnsi="Arial"/>
                <w:b w:val="0"/>
                <w:i w:val="0"/>
                <w:sz w:val="15"/>
              </w:rPr>
              <w:t>Calidad de la recuperación</w:t>
            </w:r>
          </w:p>
        </w:tc>
        <w:tc>
          <w:tcPr>
            <w:tcW w:type="dxa" w:w="3628"/>
          </w:tcPr>
          <w:p>
            <w:r/>
            <w:r>
              <w:rPr>
                <w:rFonts w:ascii="Arial" w:hAnsi="Arial"/>
                <w:b w:val="0"/>
                <w:i w:val="0"/>
                <w:sz w:val="15"/>
              </w:rPr>
              <w:t>recall@10 y precisión media sobre consultas anotadas.</w:t>
            </w:r>
          </w:p>
        </w:tc>
        <w:tc>
          <w:tcPr>
            <w:tcW w:type="dxa" w:w="2041"/>
          </w:tcPr>
          <w:p>
            <w:r/>
            <w:r>
              <w:rPr>
                <w:rFonts w:ascii="Arial" w:hAnsi="Arial"/>
                <w:b w:val="0"/>
                <w:i w:val="0"/>
                <w:sz w:val="15"/>
              </w:rPr>
              <w:t>recall@10 ≥ 0,80</w:t>
            </w:r>
          </w:p>
        </w:tc>
        <w:tc>
          <w:tcPr>
            <w:tcW w:type="dxa" w:w="3061"/>
          </w:tcPr>
          <w:p>
            <w:r/>
            <w:r>
              <w:rPr>
                <w:rFonts w:ascii="Arial" w:hAnsi="Arial"/>
                <w:b w:val="0"/>
                <w:i w:val="0"/>
                <w:sz w:val="15"/>
              </w:rPr>
              <w:t>Conjunto de evaluación de recuperación.</w:t>
            </w:r>
          </w:p>
        </w:tc>
        <w:tc>
          <w:tcPr>
            <w:tcW w:type="dxa" w:w="1814"/>
          </w:tcPr>
          <w:p>
            <w:r/>
            <w:r>
              <w:rPr>
                <w:rFonts w:ascii="Arial" w:hAnsi="Arial"/>
                <w:b w:val="0"/>
                <w:i w:val="0"/>
                <w:sz w:val="15"/>
              </w:rPr>
              <w:t>Sprints 1–2</w:t>
            </w:r>
          </w:p>
        </w:tc>
        <w:tc>
          <w:tcPr>
            <w:tcW w:type="dxa" w:w="1077"/>
          </w:tcPr>
          <w:p>
            <w:r/>
            <w:r>
              <w:rPr>
                <w:rFonts w:ascii="Arial" w:hAnsi="Arial"/>
                <w:b w:val="0"/>
                <w:i w:val="0"/>
                <w:sz w:val="15"/>
              </w:rPr>
              <w:t>OE2</w:t>
            </w:r>
          </w:p>
        </w:tc>
      </w:tr>
      <w:tr>
        <w:tc>
          <w:tcPr>
            <w:tcW w:type="dxa" w:w="680"/>
          </w:tcPr>
          <w:p>
            <w:r/>
            <w:r>
              <w:rPr>
                <w:rFonts w:ascii="Arial" w:hAnsi="Arial"/>
                <w:b w:val="0"/>
                <w:i w:val="0"/>
                <w:sz w:val="15"/>
              </w:rPr>
              <w:t>I21</w:t>
            </w:r>
          </w:p>
        </w:tc>
        <w:tc>
          <w:tcPr>
            <w:tcW w:type="dxa" w:w="2154"/>
          </w:tcPr>
          <w:p>
            <w:r/>
            <w:r>
              <w:rPr>
                <w:rFonts w:ascii="Arial" w:hAnsi="Arial"/>
                <w:b w:val="0"/>
                <w:i w:val="0"/>
                <w:sz w:val="15"/>
              </w:rPr>
              <w:t>Tasa de alucinación</w:t>
            </w:r>
          </w:p>
        </w:tc>
        <w:tc>
          <w:tcPr>
            <w:tcW w:type="dxa" w:w="3628"/>
          </w:tcPr>
          <w:p>
            <w:r/>
            <w:r>
              <w:rPr>
                <w:rFonts w:ascii="Arial" w:hAnsi="Arial"/>
                <w:b w:val="0"/>
                <w:i w:val="0"/>
                <w:sz w:val="15"/>
              </w:rPr>
              <w:t>Afirmaciones sin respaldo / afirmaciones verificadas por muestreo.</w:t>
            </w:r>
          </w:p>
        </w:tc>
        <w:tc>
          <w:tcPr>
            <w:tcW w:type="dxa" w:w="2041"/>
          </w:tcPr>
          <w:p>
            <w:r/>
            <w:r>
              <w:rPr>
                <w:rFonts w:ascii="Arial" w:hAnsi="Arial"/>
                <w:b w:val="0"/>
                <w:i w:val="0"/>
                <w:sz w:val="15"/>
              </w:rPr>
              <w:t>≤ 3 %</w:t>
            </w:r>
          </w:p>
        </w:tc>
        <w:tc>
          <w:tcPr>
            <w:tcW w:type="dxa" w:w="3061"/>
          </w:tcPr>
          <w:p>
            <w:r/>
            <w:r>
              <w:rPr>
                <w:rFonts w:ascii="Arial" w:hAnsi="Arial"/>
                <w:b w:val="0"/>
                <w:i w:val="0"/>
                <w:sz w:val="15"/>
              </w:rPr>
              <w:t>Verificación de anclaje y auditoría manual.</w:t>
            </w:r>
          </w:p>
        </w:tc>
        <w:tc>
          <w:tcPr>
            <w:tcW w:type="dxa" w:w="1814"/>
          </w:tcPr>
          <w:p>
            <w:r/>
            <w:r>
              <w:rPr>
                <w:rFonts w:ascii="Arial" w:hAnsi="Arial"/>
                <w:b w:val="0"/>
                <w:i w:val="0"/>
                <w:sz w:val="15"/>
              </w:rPr>
              <w:t>Cierre de cada sprint</w:t>
            </w:r>
          </w:p>
        </w:tc>
        <w:tc>
          <w:tcPr>
            <w:tcW w:type="dxa" w:w="1077"/>
          </w:tcPr>
          <w:p>
            <w:r/>
            <w:r>
              <w:rPr>
                <w:rFonts w:ascii="Arial" w:hAnsi="Arial"/>
                <w:b w:val="0"/>
                <w:i w:val="0"/>
                <w:sz w:val="15"/>
              </w:rPr>
              <w:t>OE3</w:t>
            </w:r>
          </w:p>
        </w:tc>
      </w:tr>
      <w:tr>
        <w:tc>
          <w:tcPr>
            <w:tcW w:type="dxa" w:w="680"/>
          </w:tcPr>
          <w:p>
            <w:r/>
            <w:r>
              <w:rPr>
                <w:rFonts w:ascii="Arial" w:hAnsi="Arial"/>
                <w:b w:val="0"/>
                <w:i w:val="0"/>
                <w:sz w:val="15"/>
              </w:rPr>
              <w:t>I22</w:t>
            </w:r>
          </w:p>
        </w:tc>
        <w:tc>
          <w:tcPr>
            <w:tcW w:type="dxa" w:w="2154"/>
          </w:tcPr>
          <w:p>
            <w:r/>
            <w:r>
              <w:rPr>
                <w:rFonts w:ascii="Arial" w:hAnsi="Arial"/>
                <w:b w:val="0"/>
                <w:i w:val="0"/>
                <w:sz w:val="15"/>
              </w:rPr>
              <w:t>Trazabilidad del recurso</w:t>
            </w:r>
          </w:p>
        </w:tc>
        <w:tc>
          <w:tcPr>
            <w:tcW w:type="dxa" w:w="3628"/>
          </w:tcPr>
          <w:p>
            <w:r/>
            <w:r>
              <w:rPr>
                <w:rFonts w:ascii="Arial" w:hAnsi="Arial"/>
                <w:b w:val="0"/>
                <w:i w:val="0"/>
                <w:sz w:val="15"/>
              </w:rPr>
              <w:t>Recursos con afirmaciones citadas / recursos generados.</w:t>
            </w:r>
          </w:p>
        </w:tc>
        <w:tc>
          <w:tcPr>
            <w:tcW w:type="dxa" w:w="2041"/>
          </w:tcPr>
          <w:p>
            <w:r/>
            <w:r>
              <w:rPr>
                <w:rFonts w:ascii="Arial" w:hAnsi="Arial"/>
                <w:b w:val="0"/>
                <w:i w:val="0"/>
                <w:sz w:val="15"/>
              </w:rPr>
              <w:t>≥ 95 %</w:t>
            </w:r>
          </w:p>
        </w:tc>
        <w:tc>
          <w:tcPr>
            <w:tcW w:type="dxa" w:w="3061"/>
          </w:tcPr>
          <w:p>
            <w:r/>
            <w:r>
              <w:rPr>
                <w:rFonts w:ascii="Arial" w:hAnsi="Arial"/>
                <w:b w:val="0"/>
                <w:i w:val="0"/>
                <w:sz w:val="15"/>
              </w:rPr>
              <w:t>Validación del campo de trazabilidad.</w:t>
            </w:r>
          </w:p>
        </w:tc>
        <w:tc>
          <w:tcPr>
            <w:tcW w:type="dxa" w:w="1814"/>
          </w:tcPr>
          <w:p>
            <w:r/>
            <w:r>
              <w:rPr>
                <w:rFonts w:ascii="Arial" w:hAnsi="Arial"/>
                <w:b w:val="0"/>
                <w:i w:val="0"/>
                <w:sz w:val="15"/>
              </w:rPr>
              <w:t>Cada ejecución</w:t>
            </w:r>
          </w:p>
        </w:tc>
        <w:tc>
          <w:tcPr>
            <w:tcW w:type="dxa" w:w="1077"/>
          </w:tcPr>
          <w:p>
            <w:r/>
            <w:r>
              <w:rPr>
                <w:rFonts w:ascii="Arial" w:hAnsi="Arial"/>
                <w:b w:val="0"/>
                <w:i w:val="0"/>
                <w:sz w:val="15"/>
              </w:rPr>
              <w:t>OE3</w:t>
            </w:r>
          </w:p>
        </w:tc>
      </w:tr>
      <w:tr>
        <w:tc>
          <w:tcPr>
            <w:tcW w:type="dxa" w:w="680"/>
          </w:tcPr>
          <w:p>
            <w:r/>
            <w:r>
              <w:rPr>
                <w:rFonts w:ascii="Arial" w:hAnsi="Arial"/>
                <w:b w:val="0"/>
                <w:i w:val="0"/>
                <w:sz w:val="15"/>
              </w:rPr>
              <w:t>I23</w:t>
            </w:r>
          </w:p>
        </w:tc>
        <w:tc>
          <w:tcPr>
            <w:tcW w:type="dxa" w:w="2154"/>
          </w:tcPr>
          <w:p>
            <w:r/>
            <w:r>
              <w:rPr>
                <w:rFonts w:ascii="Arial" w:hAnsi="Arial"/>
                <w:b w:val="0"/>
                <w:i w:val="0"/>
                <w:sz w:val="15"/>
              </w:rPr>
              <w:t>Cobertura de la secuencia 5E</w:t>
            </w:r>
          </w:p>
        </w:tc>
        <w:tc>
          <w:tcPr>
            <w:tcW w:type="dxa" w:w="3628"/>
          </w:tcPr>
          <w:p>
            <w:r/>
            <w:r>
              <w:rPr>
                <w:rFonts w:ascii="Arial" w:hAnsi="Arial"/>
                <w:b w:val="0"/>
                <w:i w:val="0"/>
                <w:sz w:val="15"/>
              </w:rPr>
              <w:t>Unidades con recursos aprobados en las cinco etapas / unidades trabajadas.</w:t>
            </w:r>
          </w:p>
        </w:tc>
        <w:tc>
          <w:tcPr>
            <w:tcW w:type="dxa" w:w="2041"/>
          </w:tcPr>
          <w:p>
            <w:r/>
            <w:r>
              <w:rPr>
                <w:rFonts w:ascii="Arial" w:hAnsi="Arial"/>
                <w:b w:val="0"/>
                <w:i w:val="0"/>
                <w:sz w:val="15"/>
              </w:rPr>
              <w:t>100 %</w:t>
            </w:r>
          </w:p>
        </w:tc>
        <w:tc>
          <w:tcPr>
            <w:tcW w:type="dxa" w:w="3061"/>
          </w:tcPr>
          <w:p>
            <w:r/>
            <w:r>
              <w:rPr>
                <w:rFonts w:ascii="Arial" w:hAnsi="Arial"/>
                <w:b w:val="0"/>
                <w:i w:val="0"/>
                <w:sz w:val="15"/>
              </w:rPr>
              <w:t>Reporte del orquestador.</w:t>
            </w:r>
          </w:p>
        </w:tc>
        <w:tc>
          <w:tcPr>
            <w:tcW w:type="dxa" w:w="1814"/>
          </w:tcPr>
          <w:p>
            <w:r/>
            <w:r>
              <w:rPr>
                <w:rFonts w:ascii="Arial" w:hAnsi="Arial"/>
                <w:b w:val="0"/>
                <w:i w:val="0"/>
                <w:sz w:val="15"/>
              </w:rPr>
              <w:t>Piloto</w:t>
            </w:r>
          </w:p>
        </w:tc>
        <w:tc>
          <w:tcPr>
            <w:tcW w:type="dxa" w:w="1077"/>
          </w:tcPr>
          <w:p>
            <w:r/>
            <w:r>
              <w:rPr>
                <w:rFonts w:ascii="Arial" w:hAnsi="Arial"/>
                <w:b w:val="0"/>
                <w:i w:val="0"/>
                <w:sz w:val="15"/>
              </w:rPr>
              <w:t>OE5</w:t>
            </w:r>
          </w:p>
        </w:tc>
      </w:tr>
    </w:tbl>
    <w:p/>
    <w:p>
      <w:pPr>
        <w:spacing w:after="100"/>
        <w:jc w:val="both"/>
      </w:pPr>
      <w:r>
        <w:rPr>
          <w:rFonts w:ascii="Arial" w:hAnsi="Arial"/>
          <w:b w:val="0"/>
          <w:i/>
          <w:sz w:val="18"/>
        </w:rPr>
        <w:t>Las metas marcadas con (*) son propuestas del equipo y se recalibran tras medir la línea base local.</w:t>
      </w:r>
    </w:p>
    <w:p>
      <w:pPr>
        <w:sectPr>
          <w:pgSz w:w="16838" w:h="11906" w:orient="landscape"/>
          <w:pgMar w:top="907" w:right="907" w:bottom="907" w:left="907" w:header="720" w:footer="720" w:gutter="0"/>
          <w:cols w:space="720"/>
          <w:docGrid w:linePitch="360"/>
        </w:sectPr>
      </w:pPr>
    </w:p>
    <w:p>
      <w:pPr>
        <w:spacing w:before="280" w:after="120"/>
      </w:pPr>
      <w:r>
        <w:rPr>
          <w:rFonts w:ascii="Arial" w:hAnsi="Arial"/>
          <w:b/>
          <w:color w:val="1F3864"/>
          <w:sz w:val="30"/>
        </w:rPr>
        <w:t>4. Semana 3 — Kick-off y Project Charter</w:t>
      </w:r>
    </w:p>
    <w:p>
      <w:pPr>
        <w:spacing w:after="100"/>
        <w:jc w:val="both"/>
      </w:pPr>
      <w:r>
        <w:rPr>
          <w:rFonts w:ascii="Arial" w:hAnsi="Arial"/>
          <w:b w:val="0"/>
          <w:i w:val="0"/>
          <w:sz w:val="21"/>
        </w:rPr>
        <w:t>La carta del proyecto se elaboró sobre la plantilla del curso e incorpora el modelo 5E, la arquitectura RAG y la definición arquitectónica transversal. Sus tres anexos desarrollan el fundamento pedagógico con el reparto por etapa, el canal técnico de diez capas con los artefactos obligatorios previos a la programación, y la trazabilidad de cambios respecto de la versión anterior. Archivo: Project_Charter_Taller_Integrador_1.docx.</w:t>
      </w:r>
    </w:p>
    <w:p>
      <w:pPr>
        <w:spacing w:before="280" w:after="120"/>
      </w:pPr>
      <w:r>
        <w:rPr>
          <w:rFonts w:ascii="Arial" w:hAnsi="Arial"/>
          <w:b/>
          <w:color w:val="1F3864"/>
          <w:sz w:val="30"/>
        </w:rPr>
        <w:t>5. Semana 4 — Sprint Planning y prototipo</w:t>
      </w:r>
    </w:p>
    <w:p>
      <w:pPr>
        <w:spacing w:before="200" w:after="120"/>
      </w:pPr>
      <w:r>
        <w:rPr>
          <w:rFonts w:ascii="Arial" w:hAnsi="Arial"/>
          <w:b/>
          <w:color w:val="2F5496"/>
          <w:sz w:val="24"/>
        </w:rPr>
        <w:t>5.1 Épicas del Product Backlog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737"/>
          </w:tcPr>
          <w:p>
            <w:r/>
            <w:r>
              <w:rPr>
                <w:rFonts w:ascii="Arial" w:hAnsi="Arial"/>
                <w:b/>
                <w:i w:val="0"/>
                <w:sz w:val="17"/>
              </w:rPr>
              <w:t>ID</w:t>
            </w:r>
          </w:p>
        </w:tc>
        <w:tc>
          <w:tcPr>
            <w:tcW w:type="dxa" w:w="3969"/>
          </w:tcPr>
          <w:p>
            <w:r/>
            <w:r>
              <w:rPr>
                <w:rFonts w:ascii="Arial" w:hAnsi="Arial"/>
                <w:b/>
                <w:i w:val="0"/>
                <w:sz w:val="17"/>
              </w:rPr>
              <w:t>Épica</w:t>
            </w:r>
          </w:p>
        </w:tc>
        <w:tc>
          <w:tcPr>
            <w:tcW w:type="dxa" w:w="2494"/>
          </w:tcPr>
          <w:p>
            <w:r/>
            <w:r>
              <w:rPr>
                <w:rFonts w:ascii="Arial" w:hAnsi="Arial"/>
                <w:b/>
                <w:i w:val="0"/>
                <w:sz w:val="17"/>
              </w:rPr>
              <w:t>Alineación</w:t>
            </w:r>
          </w:p>
        </w:tc>
        <w:tc>
          <w:tcPr>
            <w:tcW w:type="dxa" w:w="964"/>
          </w:tcPr>
          <w:p>
            <w:r/>
            <w:r>
              <w:rPr>
                <w:rFonts w:ascii="Arial" w:hAnsi="Arial"/>
                <w:b/>
                <w:i w:val="0"/>
                <w:sz w:val="17"/>
              </w:rPr>
              <w:t>MoSCoW</w:t>
            </w:r>
          </w:p>
        </w:tc>
        <w:tc>
          <w:tcPr>
            <w:tcW w:type="dxa" w:w="1474"/>
          </w:tcPr>
          <w:p>
            <w:r/>
            <w:r>
              <w:rPr>
                <w:rFonts w:ascii="Arial" w:hAnsi="Arial"/>
                <w:b/>
                <w:i w:val="0"/>
                <w:sz w:val="17"/>
              </w:rPr>
              <w:t>Sprint</w:t>
            </w:r>
          </w:p>
        </w:tc>
      </w:tr>
      <w:tr>
        <w:tc>
          <w:tcPr>
            <w:tcW w:type="dxa" w:w="737"/>
          </w:tcPr>
          <w:p>
            <w:r/>
            <w:r>
              <w:rPr>
                <w:rFonts w:ascii="Arial" w:hAnsi="Arial"/>
                <w:b w:val="0"/>
                <w:i w:val="0"/>
                <w:sz w:val="17"/>
              </w:rPr>
              <w:t>E1</w:t>
            </w:r>
          </w:p>
        </w:tc>
        <w:tc>
          <w:tcPr>
            <w:tcW w:type="dxa" w:w="3969"/>
          </w:tcPr>
          <w:p>
            <w:r/>
            <w:r>
              <w:rPr>
                <w:rFonts w:ascii="Arial" w:hAnsi="Arial"/>
                <w:b w:val="0"/>
                <w:i w:val="0"/>
                <w:sz w:val="17"/>
              </w:rPr>
              <w:t>Fundación arquitectónica y sistema de diseño</w:t>
            </w:r>
          </w:p>
        </w:tc>
        <w:tc>
          <w:tcPr>
            <w:tcW w:type="dxa" w:w="2494"/>
          </w:tcPr>
          <w:p>
            <w:r/>
            <w:r>
              <w:rPr>
                <w:rFonts w:ascii="Arial" w:hAnsi="Arial"/>
                <w:b w:val="0"/>
                <w:i w:val="0"/>
                <w:sz w:val="17"/>
              </w:rPr>
              <w:t>Transversal (habilitador)</w:t>
            </w:r>
          </w:p>
        </w:tc>
        <w:tc>
          <w:tcPr>
            <w:tcW w:type="dxa" w:w="964"/>
          </w:tcPr>
          <w:p>
            <w:r/>
            <w:r>
              <w:rPr>
                <w:rFonts w:ascii="Arial" w:hAnsi="Arial"/>
                <w:b w:val="0"/>
                <w:i w:val="0"/>
                <w:sz w:val="17"/>
              </w:rPr>
              <w:t>Must</w:t>
            </w:r>
          </w:p>
        </w:tc>
        <w:tc>
          <w:tcPr>
            <w:tcW w:type="dxa" w:w="1474"/>
          </w:tcPr>
          <w:p>
            <w:r/>
            <w:r>
              <w:rPr>
                <w:rFonts w:ascii="Arial" w:hAnsi="Arial"/>
                <w:b w:val="0"/>
                <w:i w:val="0"/>
                <w:sz w:val="17"/>
              </w:rPr>
              <w:t>S1 · it. 1</w:t>
            </w:r>
          </w:p>
        </w:tc>
      </w:tr>
      <w:tr>
        <w:tc>
          <w:tcPr>
            <w:tcW w:type="dxa" w:w="737"/>
          </w:tcPr>
          <w:p>
            <w:r/>
            <w:r>
              <w:rPr>
                <w:rFonts w:ascii="Arial" w:hAnsi="Arial"/>
                <w:b w:val="0"/>
                <w:i w:val="0"/>
                <w:sz w:val="17"/>
              </w:rPr>
              <w:t>E2</w:t>
            </w:r>
          </w:p>
        </w:tc>
        <w:tc>
          <w:tcPr>
            <w:tcW w:type="dxa" w:w="3969"/>
          </w:tcPr>
          <w:p>
            <w:r/>
            <w:r>
              <w:rPr>
                <w:rFonts w:ascii="Arial" w:hAnsi="Arial"/>
                <w:b w:val="0"/>
                <w:i w:val="0"/>
                <w:sz w:val="17"/>
              </w:rPr>
              <w:t>Ingesta y base de conocimiento vectorial</w:t>
            </w:r>
          </w:p>
        </w:tc>
        <w:tc>
          <w:tcPr>
            <w:tcW w:type="dxa" w:w="2494"/>
          </w:tcPr>
          <w:p>
            <w:r/>
            <w:r>
              <w:rPr>
                <w:rFonts w:ascii="Arial" w:hAnsi="Arial"/>
                <w:b w:val="0"/>
                <w:i w:val="0"/>
                <w:sz w:val="17"/>
              </w:rPr>
              <w:t>RAG – indexación</w:t>
            </w:r>
          </w:p>
        </w:tc>
        <w:tc>
          <w:tcPr>
            <w:tcW w:type="dxa" w:w="964"/>
          </w:tcPr>
          <w:p>
            <w:r/>
            <w:r>
              <w:rPr>
                <w:rFonts w:ascii="Arial" w:hAnsi="Arial"/>
                <w:b w:val="0"/>
                <w:i w:val="0"/>
                <w:sz w:val="17"/>
              </w:rPr>
              <w:t>Must</w:t>
            </w:r>
          </w:p>
        </w:tc>
        <w:tc>
          <w:tcPr>
            <w:tcW w:type="dxa" w:w="1474"/>
          </w:tcPr>
          <w:p>
            <w:r/>
            <w:r>
              <w:rPr>
                <w:rFonts w:ascii="Arial" w:hAnsi="Arial"/>
                <w:b w:val="0"/>
                <w:i w:val="0"/>
                <w:sz w:val="17"/>
              </w:rPr>
              <w:t>S1 · it. 1</w:t>
            </w:r>
          </w:p>
        </w:tc>
      </w:tr>
      <w:tr>
        <w:tc>
          <w:tcPr>
            <w:tcW w:type="dxa" w:w="737"/>
          </w:tcPr>
          <w:p>
            <w:r/>
            <w:r>
              <w:rPr>
                <w:rFonts w:ascii="Arial" w:hAnsi="Arial"/>
                <w:b w:val="0"/>
                <w:i w:val="0"/>
                <w:sz w:val="17"/>
              </w:rPr>
              <w:t>E3</w:t>
            </w:r>
          </w:p>
        </w:tc>
        <w:tc>
          <w:tcPr>
            <w:tcW w:type="dxa" w:w="3969"/>
          </w:tcPr>
          <w:p>
            <w:r/>
            <w:r>
              <w:rPr>
                <w:rFonts w:ascii="Arial" w:hAnsi="Arial"/>
                <w:b w:val="0"/>
                <w:i w:val="0"/>
                <w:sz w:val="17"/>
              </w:rPr>
              <w:t>Recuperación híbrida y generación anclada</w:t>
            </w:r>
          </w:p>
        </w:tc>
        <w:tc>
          <w:tcPr>
            <w:tcW w:type="dxa" w:w="2494"/>
          </w:tcPr>
          <w:p>
            <w:r/>
            <w:r>
              <w:rPr>
                <w:rFonts w:ascii="Arial" w:hAnsi="Arial"/>
                <w:b w:val="0"/>
                <w:i w:val="0"/>
                <w:sz w:val="17"/>
              </w:rPr>
              <w:t>RAG – recuperación</w:t>
            </w:r>
          </w:p>
        </w:tc>
        <w:tc>
          <w:tcPr>
            <w:tcW w:type="dxa" w:w="964"/>
          </w:tcPr>
          <w:p>
            <w:r/>
            <w:r>
              <w:rPr>
                <w:rFonts w:ascii="Arial" w:hAnsi="Arial"/>
                <w:b w:val="0"/>
                <w:i w:val="0"/>
                <w:sz w:val="17"/>
              </w:rPr>
              <w:t>Must</w:t>
            </w:r>
          </w:p>
        </w:tc>
        <w:tc>
          <w:tcPr>
            <w:tcW w:type="dxa" w:w="1474"/>
          </w:tcPr>
          <w:p>
            <w:r/>
            <w:r>
              <w:rPr>
                <w:rFonts w:ascii="Arial" w:hAnsi="Arial"/>
                <w:b w:val="0"/>
                <w:i w:val="0"/>
                <w:sz w:val="17"/>
              </w:rPr>
              <w:t>S1 · it. 2</w:t>
            </w:r>
          </w:p>
        </w:tc>
      </w:tr>
      <w:tr>
        <w:tc>
          <w:tcPr>
            <w:tcW w:type="dxa" w:w="737"/>
          </w:tcPr>
          <w:p>
            <w:r/>
            <w:r>
              <w:rPr>
                <w:rFonts w:ascii="Arial" w:hAnsi="Arial"/>
                <w:b w:val="0"/>
                <w:i w:val="0"/>
                <w:sz w:val="17"/>
              </w:rPr>
              <w:t>E4</w:t>
            </w:r>
          </w:p>
        </w:tc>
        <w:tc>
          <w:tcPr>
            <w:tcW w:type="dxa" w:w="3969"/>
          </w:tcPr>
          <w:p>
            <w:r/>
            <w:r>
              <w:rPr>
                <w:rFonts w:ascii="Arial" w:hAnsi="Arial"/>
                <w:b w:val="0"/>
                <w:i w:val="0"/>
                <w:sz w:val="17"/>
              </w:rPr>
              <w:t>Etapa Evaluate: ítems y distractores plausibles</w:t>
            </w:r>
          </w:p>
        </w:tc>
        <w:tc>
          <w:tcPr>
            <w:tcW w:type="dxa" w:w="2494"/>
          </w:tcPr>
          <w:p>
            <w:r/>
            <w:r>
              <w:rPr>
                <w:rFonts w:ascii="Arial" w:hAnsi="Arial"/>
                <w:b w:val="0"/>
                <w:i w:val="0"/>
                <w:sz w:val="17"/>
              </w:rPr>
              <w:t>5E – Evaluar</w:t>
            </w:r>
          </w:p>
        </w:tc>
        <w:tc>
          <w:tcPr>
            <w:tcW w:type="dxa" w:w="964"/>
          </w:tcPr>
          <w:p>
            <w:r/>
            <w:r>
              <w:rPr>
                <w:rFonts w:ascii="Arial" w:hAnsi="Arial"/>
                <w:b w:val="0"/>
                <w:i w:val="0"/>
                <w:sz w:val="17"/>
              </w:rPr>
              <w:t>Must</w:t>
            </w:r>
          </w:p>
        </w:tc>
        <w:tc>
          <w:tcPr>
            <w:tcW w:type="dxa" w:w="1474"/>
          </w:tcPr>
          <w:p>
            <w:r/>
            <w:r>
              <w:rPr>
                <w:rFonts w:ascii="Arial" w:hAnsi="Arial"/>
                <w:b w:val="0"/>
                <w:i w:val="0"/>
                <w:sz w:val="17"/>
              </w:rPr>
              <w:t>S1 · it. 2</w:t>
            </w:r>
          </w:p>
        </w:tc>
      </w:tr>
      <w:tr>
        <w:tc>
          <w:tcPr>
            <w:tcW w:type="dxa" w:w="737"/>
          </w:tcPr>
          <w:p>
            <w:r/>
            <w:r>
              <w:rPr>
                <w:rFonts w:ascii="Arial" w:hAnsi="Arial"/>
                <w:b w:val="0"/>
                <w:i w:val="0"/>
                <w:sz w:val="17"/>
              </w:rPr>
              <w:t>E5</w:t>
            </w:r>
          </w:p>
        </w:tc>
        <w:tc>
          <w:tcPr>
            <w:tcW w:type="dxa" w:w="3969"/>
          </w:tcPr>
          <w:p>
            <w:r/>
            <w:r>
              <w:rPr>
                <w:rFonts w:ascii="Arial" w:hAnsi="Arial"/>
                <w:b w:val="0"/>
                <w:i w:val="0"/>
                <w:sz w:val="17"/>
              </w:rPr>
              <w:t>Etapa Explore: recursos de indagación</w:t>
            </w:r>
          </w:p>
        </w:tc>
        <w:tc>
          <w:tcPr>
            <w:tcW w:type="dxa" w:w="2494"/>
          </w:tcPr>
          <w:p>
            <w:r/>
            <w:r>
              <w:rPr>
                <w:rFonts w:ascii="Arial" w:hAnsi="Arial"/>
                <w:b w:val="0"/>
                <w:i w:val="0"/>
                <w:sz w:val="17"/>
              </w:rPr>
              <w:t>5E – Explorar</w:t>
            </w:r>
          </w:p>
        </w:tc>
        <w:tc>
          <w:tcPr>
            <w:tcW w:type="dxa" w:w="964"/>
          </w:tcPr>
          <w:p>
            <w:r/>
            <w:r>
              <w:rPr>
                <w:rFonts w:ascii="Arial" w:hAnsi="Arial"/>
                <w:b w:val="0"/>
                <w:i w:val="0"/>
                <w:sz w:val="17"/>
              </w:rPr>
              <w:t>Should</w:t>
            </w:r>
          </w:p>
        </w:tc>
        <w:tc>
          <w:tcPr>
            <w:tcW w:type="dxa" w:w="1474"/>
          </w:tcPr>
          <w:p>
            <w:r/>
            <w:r>
              <w:rPr>
                <w:rFonts w:ascii="Arial" w:hAnsi="Arial"/>
                <w:b w:val="0"/>
                <w:i w:val="0"/>
                <w:sz w:val="17"/>
              </w:rPr>
              <w:t>S2 · it. 1</w:t>
            </w:r>
          </w:p>
        </w:tc>
      </w:tr>
      <w:tr>
        <w:tc>
          <w:tcPr>
            <w:tcW w:type="dxa" w:w="737"/>
          </w:tcPr>
          <w:p>
            <w:r/>
            <w:r>
              <w:rPr>
                <w:rFonts w:ascii="Arial" w:hAnsi="Arial"/>
                <w:b w:val="0"/>
                <w:i w:val="0"/>
                <w:sz w:val="17"/>
              </w:rPr>
              <w:t>E6</w:t>
            </w:r>
          </w:p>
        </w:tc>
        <w:tc>
          <w:tcPr>
            <w:tcW w:type="dxa" w:w="3969"/>
          </w:tcPr>
          <w:p>
            <w:r/>
            <w:r>
              <w:rPr>
                <w:rFonts w:ascii="Arial" w:hAnsi="Arial"/>
                <w:b w:val="0"/>
                <w:i w:val="0"/>
                <w:sz w:val="17"/>
              </w:rPr>
              <w:t>Etapa Engage: activación de ideas previas</w:t>
            </w:r>
          </w:p>
        </w:tc>
        <w:tc>
          <w:tcPr>
            <w:tcW w:type="dxa" w:w="2494"/>
          </w:tcPr>
          <w:p>
            <w:r/>
            <w:r>
              <w:rPr>
                <w:rFonts w:ascii="Arial" w:hAnsi="Arial"/>
                <w:b w:val="0"/>
                <w:i w:val="0"/>
                <w:sz w:val="17"/>
              </w:rPr>
              <w:t>5E – Enganchar</w:t>
            </w:r>
          </w:p>
        </w:tc>
        <w:tc>
          <w:tcPr>
            <w:tcW w:type="dxa" w:w="964"/>
          </w:tcPr>
          <w:p>
            <w:r/>
            <w:r>
              <w:rPr>
                <w:rFonts w:ascii="Arial" w:hAnsi="Arial"/>
                <w:b w:val="0"/>
                <w:i w:val="0"/>
                <w:sz w:val="17"/>
              </w:rPr>
              <w:t>Should</w:t>
            </w:r>
          </w:p>
        </w:tc>
        <w:tc>
          <w:tcPr>
            <w:tcW w:type="dxa" w:w="1474"/>
          </w:tcPr>
          <w:p>
            <w:r/>
            <w:r>
              <w:rPr>
                <w:rFonts w:ascii="Arial" w:hAnsi="Arial"/>
                <w:b w:val="0"/>
                <w:i w:val="0"/>
                <w:sz w:val="17"/>
              </w:rPr>
              <w:t>S2 · it. 1</w:t>
            </w:r>
          </w:p>
        </w:tc>
      </w:tr>
      <w:tr>
        <w:tc>
          <w:tcPr>
            <w:tcW w:type="dxa" w:w="737"/>
          </w:tcPr>
          <w:p>
            <w:r/>
            <w:r>
              <w:rPr>
                <w:rFonts w:ascii="Arial" w:hAnsi="Arial"/>
                <w:b w:val="0"/>
                <w:i w:val="0"/>
                <w:sz w:val="17"/>
              </w:rPr>
              <w:t>E7</w:t>
            </w:r>
          </w:p>
        </w:tc>
        <w:tc>
          <w:tcPr>
            <w:tcW w:type="dxa" w:w="3969"/>
          </w:tcPr>
          <w:p>
            <w:r/>
            <w:r>
              <w:rPr>
                <w:rFonts w:ascii="Arial" w:hAnsi="Arial"/>
                <w:b w:val="0"/>
                <w:i w:val="0"/>
                <w:sz w:val="17"/>
              </w:rPr>
              <w:t>Etapa Explain: formalización trazable</w:t>
            </w:r>
          </w:p>
        </w:tc>
        <w:tc>
          <w:tcPr>
            <w:tcW w:type="dxa" w:w="2494"/>
          </w:tcPr>
          <w:p>
            <w:r/>
            <w:r>
              <w:rPr>
                <w:rFonts w:ascii="Arial" w:hAnsi="Arial"/>
                <w:b w:val="0"/>
                <w:i w:val="0"/>
                <w:sz w:val="17"/>
              </w:rPr>
              <w:t>5E – Explicar</w:t>
            </w:r>
          </w:p>
        </w:tc>
        <w:tc>
          <w:tcPr>
            <w:tcW w:type="dxa" w:w="964"/>
          </w:tcPr>
          <w:p>
            <w:r/>
            <w:r>
              <w:rPr>
                <w:rFonts w:ascii="Arial" w:hAnsi="Arial"/>
                <w:b w:val="0"/>
                <w:i w:val="0"/>
                <w:sz w:val="17"/>
              </w:rPr>
              <w:t>Must</w:t>
            </w:r>
          </w:p>
        </w:tc>
        <w:tc>
          <w:tcPr>
            <w:tcW w:type="dxa" w:w="1474"/>
          </w:tcPr>
          <w:p>
            <w:r/>
            <w:r>
              <w:rPr>
                <w:rFonts w:ascii="Arial" w:hAnsi="Arial"/>
                <w:b w:val="0"/>
                <w:i w:val="0"/>
                <w:sz w:val="17"/>
              </w:rPr>
              <w:t>S2 · it. 1</w:t>
            </w:r>
          </w:p>
        </w:tc>
      </w:tr>
      <w:tr>
        <w:tc>
          <w:tcPr>
            <w:tcW w:type="dxa" w:w="737"/>
          </w:tcPr>
          <w:p>
            <w:r/>
            <w:r>
              <w:rPr>
                <w:rFonts w:ascii="Arial" w:hAnsi="Arial"/>
                <w:b w:val="0"/>
                <w:i w:val="0"/>
                <w:sz w:val="17"/>
              </w:rPr>
              <w:t>E8</w:t>
            </w:r>
          </w:p>
        </w:tc>
        <w:tc>
          <w:tcPr>
            <w:tcW w:type="dxa" w:w="3969"/>
          </w:tcPr>
          <w:p>
            <w:r/>
            <w:r>
              <w:rPr>
                <w:rFonts w:ascii="Arial" w:hAnsi="Arial"/>
                <w:b w:val="0"/>
                <w:i w:val="0"/>
                <w:sz w:val="17"/>
              </w:rPr>
              <w:t>Etapa Elaborate: transferencia y aplicación</w:t>
            </w:r>
          </w:p>
        </w:tc>
        <w:tc>
          <w:tcPr>
            <w:tcW w:type="dxa" w:w="2494"/>
          </w:tcPr>
          <w:p>
            <w:r/>
            <w:r>
              <w:rPr>
                <w:rFonts w:ascii="Arial" w:hAnsi="Arial"/>
                <w:b w:val="0"/>
                <w:i w:val="0"/>
                <w:sz w:val="17"/>
              </w:rPr>
              <w:t>5E – Elaborar</w:t>
            </w:r>
          </w:p>
        </w:tc>
        <w:tc>
          <w:tcPr>
            <w:tcW w:type="dxa" w:w="964"/>
          </w:tcPr>
          <w:p>
            <w:r/>
            <w:r>
              <w:rPr>
                <w:rFonts w:ascii="Arial" w:hAnsi="Arial"/>
                <w:b w:val="0"/>
                <w:i w:val="0"/>
                <w:sz w:val="17"/>
              </w:rPr>
              <w:t>Could</w:t>
            </w:r>
          </w:p>
        </w:tc>
        <w:tc>
          <w:tcPr>
            <w:tcW w:type="dxa" w:w="1474"/>
          </w:tcPr>
          <w:p>
            <w:r/>
            <w:r>
              <w:rPr>
                <w:rFonts w:ascii="Arial" w:hAnsi="Arial"/>
                <w:b w:val="0"/>
                <w:i w:val="0"/>
                <w:sz w:val="17"/>
              </w:rPr>
              <w:t>S2 · it. 2</w:t>
            </w:r>
          </w:p>
        </w:tc>
      </w:tr>
      <w:tr>
        <w:tc>
          <w:tcPr>
            <w:tcW w:type="dxa" w:w="737"/>
          </w:tcPr>
          <w:p>
            <w:r/>
            <w:r>
              <w:rPr>
                <w:rFonts w:ascii="Arial" w:hAnsi="Arial"/>
                <w:b w:val="0"/>
                <w:i w:val="0"/>
                <w:sz w:val="17"/>
              </w:rPr>
              <w:t>E9</w:t>
            </w:r>
          </w:p>
        </w:tc>
        <w:tc>
          <w:tcPr>
            <w:tcW w:type="dxa" w:w="3969"/>
          </w:tcPr>
          <w:p>
            <w:r/>
            <w:r>
              <w:rPr>
                <w:rFonts w:ascii="Arial" w:hAnsi="Arial"/>
                <w:b w:val="0"/>
                <w:i w:val="0"/>
                <w:sz w:val="17"/>
              </w:rPr>
              <w:t>Orquestación de la secuencia 5E y memoria de contexto</w:t>
            </w:r>
          </w:p>
        </w:tc>
        <w:tc>
          <w:tcPr>
            <w:tcW w:type="dxa" w:w="2494"/>
          </w:tcPr>
          <w:p>
            <w:r/>
            <w:r>
              <w:rPr>
                <w:rFonts w:ascii="Arial" w:hAnsi="Arial"/>
                <w:b w:val="0"/>
                <w:i w:val="0"/>
                <w:sz w:val="17"/>
              </w:rPr>
              <w:t>5E + RAG</w:t>
            </w:r>
          </w:p>
        </w:tc>
        <w:tc>
          <w:tcPr>
            <w:tcW w:type="dxa" w:w="964"/>
          </w:tcPr>
          <w:p>
            <w:r/>
            <w:r>
              <w:rPr>
                <w:rFonts w:ascii="Arial" w:hAnsi="Arial"/>
                <w:b w:val="0"/>
                <w:i w:val="0"/>
                <w:sz w:val="17"/>
              </w:rPr>
              <w:t>Must</w:t>
            </w:r>
          </w:p>
        </w:tc>
        <w:tc>
          <w:tcPr>
            <w:tcW w:type="dxa" w:w="1474"/>
          </w:tcPr>
          <w:p>
            <w:r/>
            <w:r>
              <w:rPr>
                <w:rFonts w:ascii="Arial" w:hAnsi="Arial"/>
                <w:b w:val="0"/>
                <w:i w:val="0"/>
                <w:sz w:val="17"/>
              </w:rPr>
              <w:t>S2 · it. 1</w:t>
            </w:r>
          </w:p>
        </w:tc>
      </w:tr>
      <w:tr>
        <w:tc>
          <w:tcPr>
            <w:tcW w:type="dxa" w:w="737"/>
          </w:tcPr>
          <w:p>
            <w:r/>
            <w:r>
              <w:rPr>
                <w:rFonts w:ascii="Arial" w:hAnsi="Arial"/>
                <w:b w:val="0"/>
                <w:i w:val="0"/>
                <w:sz w:val="17"/>
              </w:rPr>
              <w:t>E10</w:t>
            </w:r>
          </w:p>
        </w:tc>
        <w:tc>
          <w:tcPr>
            <w:tcW w:type="dxa" w:w="3969"/>
          </w:tcPr>
          <w:p>
            <w:r/>
            <w:r>
              <w:rPr>
                <w:rFonts w:ascii="Arial" w:hAnsi="Arial"/>
                <w:b w:val="0"/>
                <w:i w:val="0"/>
                <w:sz w:val="17"/>
              </w:rPr>
              <w:t>Revisión docente (human-in-the-loop) y trazabilidad</w:t>
            </w:r>
          </w:p>
        </w:tc>
        <w:tc>
          <w:tcPr>
            <w:tcW w:type="dxa" w:w="2494"/>
          </w:tcPr>
          <w:p>
            <w:r/>
            <w:r>
              <w:rPr>
                <w:rFonts w:ascii="Arial" w:hAnsi="Arial"/>
                <w:b w:val="0"/>
                <w:i w:val="0"/>
                <w:sz w:val="17"/>
              </w:rPr>
              <w:t>Transversal</w:t>
            </w:r>
          </w:p>
        </w:tc>
        <w:tc>
          <w:tcPr>
            <w:tcW w:type="dxa" w:w="964"/>
          </w:tcPr>
          <w:p>
            <w:r/>
            <w:r>
              <w:rPr>
                <w:rFonts w:ascii="Arial" w:hAnsi="Arial"/>
                <w:b w:val="0"/>
                <w:i w:val="0"/>
                <w:sz w:val="17"/>
              </w:rPr>
              <w:t>Must</w:t>
            </w:r>
          </w:p>
        </w:tc>
        <w:tc>
          <w:tcPr>
            <w:tcW w:type="dxa" w:w="1474"/>
          </w:tcPr>
          <w:p>
            <w:r/>
            <w:r>
              <w:rPr>
                <w:rFonts w:ascii="Arial" w:hAnsi="Arial"/>
                <w:b w:val="0"/>
                <w:i w:val="0"/>
                <w:sz w:val="17"/>
              </w:rPr>
              <w:t>S1 · it. 2</w:t>
            </w:r>
          </w:p>
        </w:tc>
      </w:tr>
      <w:tr>
        <w:tc>
          <w:tcPr>
            <w:tcW w:type="dxa" w:w="737"/>
          </w:tcPr>
          <w:p>
            <w:r/>
            <w:r>
              <w:rPr>
                <w:rFonts w:ascii="Arial" w:hAnsi="Arial"/>
                <w:b w:val="0"/>
                <w:i w:val="0"/>
                <w:sz w:val="17"/>
              </w:rPr>
              <w:t>E11</w:t>
            </w:r>
          </w:p>
        </w:tc>
        <w:tc>
          <w:tcPr>
            <w:tcW w:type="dxa" w:w="3969"/>
          </w:tcPr>
          <w:p>
            <w:r/>
            <w:r>
              <w:rPr>
                <w:rFonts w:ascii="Arial" w:hAnsi="Arial"/>
                <w:b w:val="0"/>
                <w:i w:val="0"/>
                <w:sz w:val="17"/>
              </w:rPr>
              <w:t>Interoperabilidad y publicación en el LMS</w:t>
            </w:r>
          </w:p>
        </w:tc>
        <w:tc>
          <w:tcPr>
            <w:tcW w:type="dxa" w:w="2494"/>
          </w:tcPr>
          <w:p>
            <w:r/>
            <w:r>
              <w:rPr>
                <w:rFonts w:ascii="Arial" w:hAnsi="Arial"/>
                <w:b w:val="0"/>
                <w:i w:val="0"/>
                <w:sz w:val="17"/>
              </w:rPr>
              <w:t>Transversal</w:t>
            </w:r>
          </w:p>
        </w:tc>
        <w:tc>
          <w:tcPr>
            <w:tcW w:type="dxa" w:w="964"/>
          </w:tcPr>
          <w:p>
            <w:r/>
            <w:r>
              <w:rPr>
                <w:rFonts w:ascii="Arial" w:hAnsi="Arial"/>
                <w:b w:val="0"/>
                <w:i w:val="0"/>
                <w:sz w:val="17"/>
              </w:rPr>
              <w:t>Must</w:t>
            </w:r>
          </w:p>
        </w:tc>
        <w:tc>
          <w:tcPr>
            <w:tcW w:type="dxa" w:w="1474"/>
          </w:tcPr>
          <w:p>
            <w:r/>
            <w:r>
              <w:rPr>
                <w:rFonts w:ascii="Arial" w:hAnsi="Arial"/>
                <w:b w:val="0"/>
                <w:i w:val="0"/>
                <w:sz w:val="17"/>
              </w:rPr>
              <w:t>S2 · it. 2</w:t>
            </w:r>
          </w:p>
        </w:tc>
      </w:tr>
      <w:tr>
        <w:tc>
          <w:tcPr>
            <w:tcW w:type="dxa" w:w="737"/>
          </w:tcPr>
          <w:p>
            <w:r/>
            <w:r>
              <w:rPr>
                <w:rFonts w:ascii="Arial" w:hAnsi="Arial"/>
                <w:b w:val="0"/>
                <w:i w:val="0"/>
                <w:sz w:val="17"/>
              </w:rPr>
              <w:t>E12</w:t>
            </w:r>
          </w:p>
        </w:tc>
        <w:tc>
          <w:tcPr>
            <w:tcW w:type="dxa" w:w="3969"/>
          </w:tcPr>
          <w:p>
            <w:r/>
            <w:r>
              <w:rPr>
                <w:rFonts w:ascii="Arial" w:hAnsi="Arial"/>
                <w:b w:val="0"/>
                <w:i w:val="0"/>
                <w:sz w:val="17"/>
              </w:rPr>
              <w:t>Analítica de ítems, indicadores y tablero</w:t>
            </w:r>
          </w:p>
        </w:tc>
        <w:tc>
          <w:tcPr>
            <w:tcW w:type="dxa" w:w="2494"/>
          </w:tcPr>
          <w:p>
            <w:r/>
            <w:r>
              <w:rPr>
                <w:rFonts w:ascii="Arial" w:hAnsi="Arial"/>
                <w:b w:val="0"/>
                <w:i w:val="0"/>
                <w:sz w:val="17"/>
              </w:rPr>
              <w:t>Medición</w:t>
            </w:r>
          </w:p>
        </w:tc>
        <w:tc>
          <w:tcPr>
            <w:tcW w:type="dxa" w:w="964"/>
          </w:tcPr>
          <w:p>
            <w:r/>
            <w:r>
              <w:rPr>
                <w:rFonts w:ascii="Arial" w:hAnsi="Arial"/>
                <w:b w:val="0"/>
                <w:i w:val="0"/>
                <w:sz w:val="17"/>
              </w:rPr>
              <w:t>Should</w:t>
            </w:r>
          </w:p>
        </w:tc>
        <w:tc>
          <w:tcPr>
            <w:tcW w:type="dxa" w:w="1474"/>
          </w:tcPr>
          <w:p>
            <w:r/>
            <w:r>
              <w:rPr>
                <w:rFonts w:ascii="Arial" w:hAnsi="Arial"/>
                <w:b w:val="0"/>
                <w:i w:val="0"/>
                <w:sz w:val="17"/>
              </w:rPr>
              <w:t>S2 · it. 2</w:t>
            </w:r>
          </w:p>
        </w:tc>
      </w:tr>
      <w:tr>
        <w:tc>
          <w:tcPr>
            <w:tcW w:type="dxa" w:w="737"/>
          </w:tcPr>
          <w:p>
            <w:r/>
            <w:r>
              <w:rPr>
                <w:rFonts w:ascii="Arial" w:hAnsi="Arial"/>
                <w:b w:val="0"/>
                <w:i w:val="0"/>
                <w:sz w:val="17"/>
              </w:rPr>
              <w:t>E13</w:t>
            </w:r>
          </w:p>
        </w:tc>
        <w:tc>
          <w:tcPr>
            <w:tcW w:type="dxa" w:w="3969"/>
          </w:tcPr>
          <w:p>
            <w:r/>
            <w:r>
              <w:rPr>
                <w:rFonts w:ascii="Arial" w:hAnsi="Arial"/>
                <w:b w:val="0"/>
                <w:i w:val="0"/>
                <w:sz w:val="17"/>
              </w:rPr>
              <w:t>Calidad, seguridad y despliegue</w:t>
            </w:r>
          </w:p>
        </w:tc>
        <w:tc>
          <w:tcPr>
            <w:tcW w:type="dxa" w:w="2494"/>
          </w:tcPr>
          <w:p>
            <w:r/>
            <w:r>
              <w:rPr>
                <w:rFonts w:ascii="Arial" w:hAnsi="Arial"/>
                <w:b w:val="0"/>
                <w:i w:val="0"/>
                <w:sz w:val="17"/>
              </w:rPr>
              <w:t>No funcional</w:t>
            </w:r>
          </w:p>
        </w:tc>
        <w:tc>
          <w:tcPr>
            <w:tcW w:type="dxa" w:w="964"/>
          </w:tcPr>
          <w:p>
            <w:r/>
            <w:r>
              <w:rPr>
                <w:rFonts w:ascii="Arial" w:hAnsi="Arial"/>
                <w:b w:val="0"/>
                <w:i w:val="0"/>
                <w:sz w:val="17"/>
              </w:rPr>
              <w:t>Must</w:t>
            </w:r>
          </w:p>
        </w:tc>
        <w:tc>
          <w:tcPr>
            <w:tcW w:type="dxa" w:w="1474"/>
          </w:tcPr>
          <w:p>
            <w:r/>
            <w:r>
              <w:rPr>
                <w:rFonts w:ascii="Arial" w:hAnsi="Arial"/>
                <w:b w:val="0"/>
                <w:i w:val="0"/>
                <w:sz w:val="17"/>
              </w:rPr>
              <w:t>Ambos sprints</w:t>
            </w:r>
          </w:p>
        </w:tc>
      </w:tr>
    </w:tbl>
    <w:p/>
    <w:p>
      <w:pPr>
        <w:spacing w:after="100"/>
        <w:jc w:val="both"/>
      </w:pPr>
      <w:r>
        <w:rPr>
          <w:rFonts w:ascii="Arial" w:hAnsi="Arial"/>
          <w:b w:val="0"/>
          <w:i w:val="0"/>
          <w:sz w:val="21"/>
        </w:rPr>
        <w:t>El backlog contiene cuarenta historias de usuario con criterios de aceptación, priorización MoSCoW y estimación en puntos de historia, distribuidas en las dos iteraciones de cada sprint.</w:t>
      </w:r>
    </w:p>
    <w:p>
      <w:pPr>
        <w:spacing w:before="200" w:after="120"/>
      </w:pPr>
      <w:r>
        <w:rPr>
          <w:rFonts w:ascii="Arial" w:hAnsi="Arial"/>
          <w:b/>
          <w:color w:val="2F5496"/>
          <w:sz w:val="24"/>
        </w:rPr>
        <w:t>5.2 Prototipo</w:t>
      </w:r>
    </w:p>
    <w:p>
      <w:pPr>
        <w:spacing w:after="100"/>
        <w:jc w:val="both"/>
      </w:pPr>
      <w:r>
        <w:rPr>
          <w:rFonts w:ascii="Arial" w:hAnsi="Arial"/>
          <w:b w:val="0"/>
          <w:i w:val="0"/>
          <w:sz w:val="21"/>
        </w:rPr>
        <w:t>Seis pantallas navegables: inicio del docente, carga de material, configuración de la generación, revisión human-in-the-loop, exportación al estándar y tablero de indicadores. La pantalla de revisión es interactiva y registra las decisiones de aceptar, editar o descartar, que son la fuente de los indicadores I2 e I3.</w:t>
      </w:r>
    </w:p>
    <w:p>
      <w:pPr>
        <w:sectPr>
          <w:pgSz w:w="11906" w:h="16838"/>
          <w:pgMar w:top="1134" w:right="1134" w:bottom="1134" w:left="1134" w:header="720" w:footer="720" w:gutter="0"/>
          <w:cols w:space="720"/>
          <w:docGrid w:linePitch="360"/>
        </w:sectPr>
      </w:pPr>
    </w:p>
    <w:p>
      <w:pPr>
        <w:spacing w:before="280" w:after="120"/>
      </w:pPr>
      <w:r>
        <w:rPr>
          <w:rFonts w:ascii="Arial" w:hAnsi="Arial"/>
          <w:b/>
          <w:color w:val="1F3864"/>
          <w:sz w:val="30"/>
        </w:rPr>
        <w:t>6. Plan de trabajo y registro de dedicación</w:t>
      </w:r>
    </w:p>
    <w:p>
      <w:pPr>
        <w:spacing w:before="200" w:after="120"/>
      </w:pPr>
      <w:r>
        <w:rPr>
          <w:rFonts w:ascii="Arial" w:hAnsi="Arial"/>
          <w:b/>
          <w:color w:val="2F5496"/>
          <w:sz w:val="24"/>
        </w:rPr>
        <w:t>6.1 Plan por semana</w:t>
      </w:r>
    </w:p>
    <w:tbl>
      <w:tblPr>
        <w:tblStyle w:val="TableGrid"/>
        <w:tblW w:type="auto" w:w="0"/>
        <w:tblLook w:firstColumn="1" w:firstRow="1" w:lastColumn="0" w:lastRow="0" w:noHBand="0" w:noVBand="1" w:val="04A0"/>
      </w:tblPr>
      <w:tblGrid>
        <w:gridCol w:w="3005"/>
        <w:gridCol w:w="3005"/>
        <w:gridCol w:w="3005"/>
        <w:gridCol w:w="3005"/>
        <w:gridCol w:w="3005"/>
      </w:tblGrid>
      <w:tr>
        <w:tc>
          <w:tcPr>
            <w:tcW w:type="dxa" w:w="850"/>
          </w:tcPr>
          <w:p>
            <w:r/>
            <w:r>
              <w:rPr>
                <w:rFonts w:ascii="Arial" w:hAnsi="Arial"/>
                <w:b/>
                <w:i w:val="0"/>
                <w:sz w:val="15"/>
              </w:rPr>
              <w:t>Semana</w:t>
            </w:r>
          </w:p>
        </w:tc>
        <w:tc>
          <w:tcPr>
            <w:tcW w:type="dxa" w:w="1474"/>
          </w:tcPr>
          <w:p>
            <w:r/>
            <w:r>
              <w:rPr>
                <w:rFonts w:ascii="Arial" w:hAnsi="Arial"/>
                <w:b/>
                <w:i w:val="0"/>
                <w:sz w:val="15"/>
              </w:rPr>
              <w:t>Fechas</w:t>
            </w:r>
          </w:p>
        </w:tc>
        <w:tc>
          <w:tcPr>
            <w:tcW w:type="dxa" w:w="2381"/>
          </w:tcPr>
          <w:p>
            <w:r/>
            <w:r>
              <w:rPr>
                <w:rFonts w:ascii="Arial" w:hAnsi="Arial"/>
                <w:b/>
                <w:i w:val="0"/>
                <w:sz w:val="15"/>
              </w:rPr>
              <w:t>Hito del curso</w:t>
            </w:r>
          </w:p>
        </w:tc>
        <w:tc>
          <w:tcPr>
            <w:tcW w:type="dxa" w:w="6803"/>
          </w:tcPr>
          <w:p>
            <w:r/>
            <w:r>
              <w:rPr>
                <w:rFonts w:ascii="Arial" w:hAnsi="Arial"/>
                <w:b/>
                <w:i w:val="0"/>
                <w:sz w:val="15"/>
              </w:rPr>
              <w:t>Trabajo del equipo</w:t>
            </w:r>
          </w:p>
        </w:tc>
        <w:tc>
          <w:tcPr>
            <w:tcW w:type="dxa" w:w="2948"/>
          </w:tcPr>
          <w:p>
            <w:r/>
            <w:r>
              <w:rPr>
                <w:rFonts w:ascii="Arial" w:hAnsi="Arial"/>
                <w:b/>
                <w:i w:val="0"/>
                <w:sz w:val="15"/>
              </w:rPr>
              <w:t>Entregable de la semana</w:t>
            </w:r>
          </w:p>
        </w:tc>
      </w:tr>
      <w:tr>
        <w:tc>
          <w:tcPr>
            <w:tcW w:type="dxa" w:w="850"/>
          </w:tcPr>
          <w:p>
            <w:r/>
            <w:r>
              <w:rPr>
                <w:rFonts w:ascii="Arial" w:hAnsi="Arial"/>
                <w:b w:val="0"/>
                <w:i w:val="0"/>
                <w:sz w:val="15"/>
              </w:rPr>
              <w:t>1</w:t>
            </w:r>
          </w:p>
        </w:tc>
        <w:tc>
          <w:tcPr>
            <w:tcW w:type="dxa" w:w="1474"/>
          </w:tcPr>
          <w:p>
            <w:r/>
            <w:r>
              <w:rPr>
                <w:rFonts w:ascii="Arial" w:hAnsi="Arial"/>
                <w:b w:val="0"/>
                <w:i w:val="0"/>
                <w:sz w:val="15"/>
              </w:rPr>
              <w:t>24–30/08</w:t>
            </w:r>
          </w:p>
        </w:tc>
        <w:tc>
          <w:tcPr>
            <w:tcW w:type="dxa" w:w="2381"/>
          </w:tcPr>
          <w:p>
            <w:r/>
            <w:r>
              <w:rPr>
                <w:rFonts w:ascii="Arial" w:hAnsi="Arial"/>
                <w:b w:val="0"/>
                <w:i w:val="0"/>
                <w:sz w:val="15"/>
              </w:rPr>
              <w:t>Inception</w:t>
            </w:r>
          </w:p>
        </w:tc>
        <w:tc>
          <w:tcPr>
            <w:tcW w:type="dxa" w:w="6803"/>
          </w:tcPr>
          <w:p>
            <w:r/>
            <w:r>
              <w:rPr>
                <w:rFonts w:ascii="Arial" w:hAnsi="Arial"/>
                <w:b w:val="0"/>
                <w:i w:val="0"/>
                <w:sz w:val="15"/>
              </w:rPr>
              <w:t>Identificación de brechas y métricas; realidad problemática, problema y objetivos.</w:t>
            </w:r>
          </w:p>
        </w:tc>
        <w:tc>
          <w:tcPr>
            <w:tcW w:type="dxa" w:w="2948"/>
          </w:tcPr>
          <w:p>
            <w:r/>
            <w:r>
              <w:rPr>
                <w:rFonts w:ascii="Arial" w:hAnsi="Arial"/>
                <w:b w:val="0"/>
                <w:i w:val="0"/>
                <w:sz w:val="15"/>
              </w:rPr>
              <w:t>Documento de Inception</w:t>
            </w:r>
          </w:p>
        </w:tc>
      </w:tr>
      <w:tr>
        <w:tc>
          <w:tcPr>
            <w:tcW w:type="dxa" w:w="850"/>
          </w:tcPr>
          <w:p>
            <w:r/>
            <w:r>
              <w:rPr>
                <w:rFonts w:ascii="Arial" w:hAnsi="Arial"/>
                <w:b w:val="0"/>
                <w:i w:val="0"/>
                <w:sz w:val="15"/>
              </w:rPr>
              <w:t>2</w:t>
            </w:r>
          </w:p>
        </w:tc>
        <w:tc>
          <w:tcPr>
            <w:tcW w:type="dxa" w:w="1474"/>
          </w:tcPr>
          <w:p>
            <w:r/>
            <w:r>
              <w:rPr>
                <w:rFonts w:ascii="Arial" w:hAnsi="Arial"/>
                <w:b w:val="0"/>
                <w:i w:val="0"/>
                <w:sz w:val="15"/>
              </w:rPr>
              <w:t>31/08–06/09</w:t>
            </w:r>
          </w:p>
        </w:tc>
        <w:tc>
          <w:tcPr>
            <w:tcW w:type="dxa" w:w="2381"/>
          </w:tcPr>
          <w:p>
            <w:r/>
            <w:r>
              <w:rPr>
                <w:rFonts w:ascii="Arial" w:hAnsi="Arial"/>
                <w:b w:val="0"/>
                <w:i w:val="0"/>
                <w:sz w:val="15"/>
              </w:rPr>
              <w:t>Product Discovery</w:t>
            </w:r>
          </w:p>
        </w:tc>
        <w:tc>
          <w:tcPr>
            <w:tcW w:type="dxa" w:w="6803"/>
          </w:tcPr>
          <w:p>
            <w:r/>
            <w:r>
              <w:rPr>
                <w:rFonts w:ascii="Arial" w:hAnsi="Arial"/>
                <w:b w:val="0"/>
                <w:i w:val="0"/>
                <w:sz w:val="15"/>
              </w:rPr>
              <w:t>Matriz de indicadores e instrumentos; estado del arte con 16 fuentes; síntesis por indicador.</w:t>
            </w:r>
          </w:p>
        </w:tc>
        <w:tc>
          <w:tcPr>
            <w:tcW w:type="dxa" w:w="2948"/>
          </w:tcPr>
          <w:p>
            <w:r/>
            <w:r>
              <w:rPr>
                <w:rFonts w:ascii="Arial" w:hAnsi="Arial"/>
                <w:b w:val="0"/>
                <w:i w:val="0"/>
                <w:sz w:val="15"/>
              </w:rPr>
              <w:t>Matriz de indicadores y estado del arte</w:t>
            </w:r>
          </w:p>
        </w:tc>
      </w:tr>
      <w:tr>
        <w:tc>
          <w:tcPr>
            <w:tcW w:type="dxa" w:w="850"/>
          </w:tcPr>
          <w:p>
            <w:r/>
            <w:r>
              <w:rPr>
                <w:rFonts w:ascii="Arial" w:hAnsi="Arial"/>
                <w:b w:val="0"/>
                <w:i w:val="0"/>
                <w:sz w:val="15"/>
              </w:rPr>
              <w:t>3</w:t>
            </w:r>
          </w:p>
        </w:tc>
        <w:tc>
          <w:tcPr>
            <w:tcW w:type="dxa" w:w="1474"/>
          </w:tcPr>
          <w:p>
            <w:r/>
            <w:r>
              <w:rPr>
                <w:rFonts w:ascii="Arial" w:hAnsi="Arial"/>
                <w:b w:val="0"/>
                <w:i w:val="0"/>
                <w:sz w:val="15"/>
              </w:rPr>
              <w:t>07–13/09</w:t>
            </w:r>
          </w:p>
        </w:tc>
        <w:tc>
          <w:tcPr>
            <w:tcW w:type="dxa" w:w="2381"/>
          </w:tcPr>
          <w:p>
            <w:r/>
            <w:r>
              <w:rPr>
                <w:rFonts w:ascii="Arial" w:hAnsi="Arial"/>
                <w:b w:val="0"/>
                <w:i w:val="0"/>
                <w:sz w:val="15"/>
              </w:rPr>
              <w:t>Kick-off / Project Charter</w:t>
            </w:r>
          </w:p>
        </w:tc>
        <w:tc>
          <w:tcPr>
            <w:tcW w:type="dxa" w:w="6803"/>
          </w:tcPr>
          <w:p>
            <w:r/>
            <w:r>
              <w:rPr>
                <w:rFonts w:ascii="Arial" w:hAnsi="Arial"/>
                <w:b w:val="0"/>
                <w:i w:val="0"/>
                <w:sz w:val="15"/>
              </w:rPr>
              <w:t>Reenfoque del alcance tras la asesoría; carta del proyecto sobre la plantilla del curso.</w:t>
            </w:r>
          </w:p>
        </w:tc>
        <w:tc>
          <w:tcPr>
            <w:tcW w:type="dxa" w:w="2948"/>
          </w:tcPr>
          <w:p>
            <w:r/>
            <w:r>
              <w:rPr>
                <w:rFonts w:ascii="Arial" w:hAnsi="Arial"/>
                <w:b w:val="0"/>
                <w:i w:val="0"/>
                <w:sz w:val="15"/>
              </w:rPr>
              <w:t>Project Charter</w:t>
            </w:r>
          </w:p>
        </w:tc>
      </w:tr>
      <w:tr>
        <w:tc>
          <w:tcPr>
            <w:tcW w:type="dxa" w:w="850"/>
          </w:tcPr>
          <w:p>
            <w:r/>
            <w:r>
              <w:rPr>
                <w:rFonts w:ascii="Arial" w:hAnsi="Arial"/>
                <w:b w:val="0"/>
                <w:i w:val="0"/>
                <w:sz w:val="15"/>
              </w:rPr>
              <w:t>4</w:t>
            </w:r>
          </w:p>
        </w:tc>
        <w:tc>
          <w:tcPr>
            <w:tcW w:type="dxa" w:w="1474"/>
          </w:tcPr>
          <w:p>
            <w:r/>
            <w:r>
              <w:rPr>
                <w:rFonts w:ascii="Arial" w:hAnsi="Arial"/>
                <w:b w:val="0"/>
                <w:i w:val="0"/>
                <w:sz w:val="15"/>
              </w:rPr>
              <w:t>14–20/09</w:t>
            </w:r>
          </w:p>
        </w:tc>
        <w:tc>
          <w:tcPr>
            <w:tcW w:type="dxa" w:w="2381"/>
          </w:tcPr>
          <w:p>
            <w:r/>
            <w:r>
              <w:rPr>
                <w:rFonts w:ascii="Arial" w:hAnsi="Arial"/>
                <w:b w:val="0"/>
                <w:i w:val="0"/>
                <w:sz w:val="15"/>
              </w:rPr>
              <w:t>Sprint Planning · Prototipo</w:t>
            </w:r>
          </w:p>
        </w:tc>
        <w:tc>
          <w:tcPr>
            <w:tcW w:type="dxa" w:w="6803"/>
          </w:tcPr>
          <w:p>
            <w:r/>
            <w:r>
              <w:rPr>
                <w:rFonts w:ascii="Arial" w:hAnsi="Arial"/>
                <w:b w:val="0"/>
                <w:i w:val="0"/>
                <w:sz w:val="15"/>
              </w:rPr>
              <w:t>Adopción del modelo 5E y de la arquitectura RAG; Product Backlog con 13 épicas y 40 historias; prototipo navegable de seis pantallas.</w:t>
            </w:r>
          </w:p>
        </w:tc>
        <w:tc>
          <w:tcPr>
            <w:tcW w:type="dxa" w:w="2948"/>
          </w:tcPr>
          <w:p>
            <w:r/>
            <w:r>
              <w:rPr>
                <w:rFonts w:ascii="Arial" w:hAnsi="Arial"/>
                <w:b w:val="0"/>
                <w:i w:val="0"/>
                <w:sz w:val="15"/>
              </w:rPr>
              <w:t>Backlog priorizado y prototipo</w:t>
            </w:r>
          </w:p>
        </w:tc>
      </w:tr>
      <w:tr>
        <w:tc>
          <w:tcPr>
            <w:tcW w:type="dxa" w:w="850"/>
          </w:tcPr>
          <w:p>
            <w:r/>
            <w:r>
              <w:rPr>
                <w:rFonts w:ascii="Arial" w:hAnsi="Arial"/>
                <w:b w:val="0"/>
                <w:i w:val="0"/>
                <w:sz w:val="15"/>
              </w:rPr>
              <w:t>5</w:t>
            </w:r>
          </w:p>
        </w:tc>
        <w:tc>
          <w:tcPr>
            <w:tcW w:type="dxa" w:w="1474"/>
          </w:tcPr>
          <w:p>
            <w:r/>
            <w:r>
              <w:rPr>
                <w:rFonts w:ascii="Arial" w:hAnsi="Arial"/>
                <w:b w:val="0"/>
                <w:i w:val="0"/>
                <w:sz w:val="15"/>
              </w:rPr>
              <w:t>21–27/09</w:t>
            </w:r>
          </w:p>
        </w:tc>
        <w:tc>
          <w:tcPr>
            <w:tcW w:type="dxa" w:w="2381"/>
          </w:tcPr>
          <w:p>
            <w:r/>
            <w:r>
              <w:rPr>
                <w:rFonts w:ascii="Arial" w:hAnsi="Arial"/>
                <w:b w:val="0"/>
                <w:i w:val="0"/>
                <w:sz w:val="15"/>
              </w:rPr>
              <w:t>Sprint 1 · Iteración 1</w:t>
            </w:r>
          </w:p>
        </w:tc>
        <w:tc>
          <w:tcPr>
            <w:tcW w:type="dxa" w:w="6803"/>
          </w:tcPr>
          <w:p>
            <w:r/>
            <w:r>
              <w:rPr>
                <w:rFonts w:ascii="Arial" w:hAnsi="Arial"/>
                <w:b w:val="0"/>
                <w:i w:val="0"/>
                <w:sz w:val="15"/>
              </w:rPr>
              <w:t>Fundación arquitectónica (E1): arquitectura, modelo de datos relacional y vectorial, contratos de API y sistema de diseño. Inicio de la ingesta y vectorización (E2). Matriz de compatibilidad de LMS. Cronometraje de la línea base manual con docentes.</w:t>
            </w:r>
          </w:p>
        </w:tc>
        <w:tc>
          <w:tcPr>
            <w:tcW w:type="dxa" w:w="2948"/>
          </w:tcPr>
          <w:p>
            <w:r/>
            <w:r>
              <w:rPr>
                <w:rFonts w:ascii="Arial" w:hAnsi="Arial"/>
                <w:b w:val="0"/>
                <w:i w:val="0"/>
                <w:sz w:val="15"/>
              </w:rPr>
              <w:t>Documento de arquitectura, proyectos base y línea base de tiempos</w:t>
            </w:r>
          </w:p>
        </w:tc>
      </w:tr>
      <w:tr>
        <w:tc>
          <w:tcPr>
            <w:tcW w:type="dxa" w:w="850"/>
          </w:tcPr>
          <w:p>
            <w:r/>
            <w:r>
              <w:rPr>
                <w:rFonts w:ascii="Arial" w:hAnsi="Arial"/>
                <w:b w:val="0"/>
                <w:i w:val="0"/>
                <w:sz w:val="15"/>
              </w:rPr>
              <w:t>6</w:t>
            </w:r>
          </w:p>
        </w:tc>
        <w:tc>
          <w:tcPr>
            <w:tcW w:type="dxa" w:w="1474"/>
          </w:tcPr>
          <w:p>
            <w:r/>
            <w:r>
              <w:rPr>
                <w:rFonts w:ascii="Arial" w:hAnsi="Arial"/>
                <w:b w:val="0"/>
                <w:i w:val="0"/>
                <w:sz w:val="15"/>
              </w:rPr>
              <w:t>28/09–04/10</w:t>
            </w:r>
          </w:p>
        </w:tc>
        <w:tc>
          <w:tcPr>
            <w:tcW w:type="dxa" w:w="2381"/>
          </w:tcPr>
          <w:p>
            <w:r/>
            <w:r>
              <w:rPr>
                <w:rFonts w:ascii="Arial" w:hAnsi="Arial"/>
                <w:b w:val="0"/>
                <w:i w:val="0"/>
                <w:sz w:val="15"/>
              </w:rPr>
              <w:t>Sprint 1 · Iteración 2 · Refinamiento</w:t>
            </w:r>
          </w:p>
        </w:tc>
        <w:tc>
          <w:tcPr>
            <w:tcW w:type="dxa" w:w="6803"/>
          </w:tcPr>
          <w:p>
            <w:r/>
            <w:r>
              <w:rPr>
                <w:rFonts w:ascii="Arial" w:hAnsi="Arial"/>
                <w:b w:val="0"/>
                <w:i w:val="0"/>
                <w:sz w:val="15"/>
              </w:rPr>
              <w:t>Recuperación híbrida y generación anclada (E3); etapa Evaluate v1 (E4); conjunto de evaluación de recuperación; panel de revisión docente (E10). Refinamiento del backlog.</w:t>
            </w:r>
          </w:p>
        </w:tc>
        <w:tc>
          <w:tcPr>
            <w:tcW w:type="dxa" w:w="2948"/>
          </w:tcPr>
          <w:p>
            <w:r/>
            <w:r>
              <w:rPr>
                <w:rFonts w:ascii="Arial" w:hAnsi="Arial"/>
                <w:b w:val="0"/>
                <w:i w:val="0"/>
                <w:sz w:val="15"/>
              </w:rPr>
              <w:t>Motor RAG v1 e ítems con distractores</w:t>
            </w:r>
          </w:p>
        </w:tc>
      </w:tr>
      <w:tr>
        <w:tc>
          <w:tcPr>
            <w:tcW w:type="dxa" w:w="850"/>
          </w:tcPr>
          <w:p>
            <w:r/>
            <w:r>
              <w:rPr>
                <w:rFonts w:ascii="Arial" w:hAnsi="Arial"/>
                <w:b w:val="0"/>
                <w:i w:val="0"/>
                <w:sz w:val="15"/>
              </w:rPr>
              <w:t>7</w:t>
            </w:r>
          </w:p>
        </w:tc>
        <w:tc>
          <w:tcPr>
            <w:tcW w:type="dxa" w:w="1474"/>
          </w:tcPr>
          <w:p>
            <w:r/>
            <w:r>
              <w:rPr>
                <w:rFonts w:ascii="Arial" w:hAnsi="Arial"/>
                <w:b w:val="0"/>
                <w:i w:val="0"/>
                <w:sz w:val="15"/>
              </w:rPr>
              <w:t>05–11/10</w:t>
            </w:r>
          </w:p>
        </w:tc>
        <w:tc>
          <w:tcPr>
            <w:tcW w:type="dxa" w:w="2381"/>
          </w:tcPr>
          <w:p>
            <w:r/>
            <w:r>
              <w:rPr>
                <w:rFonts w:ascii="Arial" w:hAnsi="Arial"/>
                <w:b w:val="0"/>
                <w:i w:val="0"/>
                <w:sz w:val="15"/>
              </w:rPr>
              <w:t>Sprint Review / Retrospectiva 1</w:t>
            </w:r>
          </w:p>
        </w:tc>
        <w:tc>
          <w:tcPr>
            <w:tcW w:type="dxa" w:w="6803"/>
          </w:tcPr>
          <w:p>
            <w:r/>
            <w:r>
              <w:rPr>
                <w:rFonts w:ascii="Arial" w:hAnsi="Arial"/>
                <w:b w:val="0"/>
                <w:i w:val="0"/>
                <w:sz w:val="15"/>
              </w:rPr>
              <w:t>Demostración del incremento y medición de I3, I6, I20, I21 e I22. Retrospectiva y ajuste de estimaciones.</w:t>
            </w:r>
          </w:p>
        </w:tc>
        <w:tc>
          <w:tcPr>
            <w:tcW w:type="dxa" w:w="2948"/>
          </w:tcPr>
          <w:p>
            <w:r/>
            <w:r>
              <w:rPr>
                <w:rFonts w:ascii="Arial" w:hAnsi="Arial"/>
                <w:b w:val="0"/>
                <w:i w:val="0"/>
                <w:sz w:val="15"/>
              </w:rPr>
              <w:t>Informe de Sprint Review 1</w:t>
            </w:r>
          </w:p>
        </w:tc>
      </w:tr>
      <w:tr>
        <w:tc>
          <w:tcPr>
            <w:tcW w:type="dxa" w:w="850"/>
          </w:tcPr>
          <w:p>
            <w:r/>
            <w:r>
              <w:rPr>
                <w:rFonts w:ascii="Arial" w:hAnsi="Arial"/>
                <w:b w:val="0"/>
                <w:i w:val="0"/>
                <w:sz w:val="15"/>
              </w:rPr>
              <w:t>8</w:t>
            </w:r>
          </w:p>
        </w:tc>
        <w:tc>
          <w:tcPr>
            <w:tcW w:type="dxa" w:w="1474"/>
          </w:tcPr>
          <w:p>
            <w:r/>
            <w:r>
              <w:rPr>
                <w:rFonts w:ascii="Arial" w:hAnsi="Arial"/>
                <w:b w:val="0"/>
                <w:i w:val="0"/>
                <w:sz w:val="15"/>
              </w:rPr>
              <w:t>12–18/10</w:t>
            </w:r>
          </w:p>
        </w:tc>
        <w:tc>
          <w:tcPr>
            <w:tcW w:type="dxa" w:w="2381"/>
          </w:tcPr>
          <w:p>
            <w:r/>
            <w:r>
              <w:rPr>
                <w:rFonts w:ascii="Arial" w:hAnsi="Arial"/>
                <w:b w:val="0"/>
                <w:i w:val="0"/>
                <w:sz w:val="15"/>
              </w:rPr>
              <w:t>Sprint Planning 2</w:t>
            </w:r>
          </w:p>
        </w:tc>
        <w:tc>
          <w:tcPr>
            <w:tcW w:type="dxa" w:w="6803"/>
          </w:tcPr>
          <w:p>
            <w:r/>
            <w:r>
              <w:rPr>
                <w:rFonts w:ascii="Arial" w:hAnsi="Arial"/>
                <w:b w:val="0"/>
                <w:i w:val="0"/>
                <w:sz w:val="15"/>
              </w:rPr>
              <w:t>Planificación del Sprint 2 con la velocidad real del Sprint 1; refinamiento de las historias de las etapas 5E restantes.</w:t>
            </w:r>
          </w:p>
        </w:tc>
        <w:tc>
          <w:tcPr>
            <w:tcW w:type="dxa" w:w="2948"/>
          </w:tcPr>
          <w:p>
            <w:r/>
            <w:r>
              <w:rPr>
                <w:rFonts w:ascii="Arial" w:hAnsi="Arial"/>
                <w:b w:val="0"/>
                <w:i w:val="0"/>
                <w:sz w:val="15"/>
              </w:rPr>
              <w:t>Plan del Sprint 2</w:t>
            </w:r>
          </w:p>
        </w:tc>
      </w:tr>
      <w:tr>
        <w:tc>
          <w:tcPr>
            <w:tcW w:type="dxa" w:w="850"/>
          </w:tcPr>
          <w:p>
            <w:r/>
            <w:r>
              <w:rPr>
                <w:rFonts w:ascii="Arial" w:hAnsi="Arial"/>
                <w:b w:val="0"/>
                <w:i w:val="0"/>
                <w:sz w:val="15"/>
              </w:rPr>
              <w:t>9</w:t>
            </w:r>
          </w:p>
        </w:tc>
        <w:tc>
          <w:tcPr>
            <w:tcW w:type="dxa" w:w="1474"/>
          </w:tcPr>
          <w:p>
            <w:r/>
            <w:r>
              <w:rPr>
                <w:rFonts w:ascii="Arial" w:hAnsi="Arial"/>
                <w:b w:val="0"/>
                <w:i w:val="0"/>
                <w:sz w:val="15"/>
              </w:rPr>
              <w:t>19–25/10</w:t>
            </w:r>
          </w:p>
        </w:tc>
        <w:tc>
          <w:tcPr>
            <w:tcW w:type="dxa" w:w="2381"/>
          </w:tcPr>
          <w:p>
            <w:r/>
            <w:r>
              <w:rPr>
                <w:rFonts w:ascii="Arial" w:hAnsi="Arial"/>
                <w:b w:val="0"/>
                <w:i w:val="0"/>
                <w:sz w:val="15"/>
              </w:rPr>
              <w:t>Sprint 2 · Iteración 1</w:t>
            </w:r>
          </w:p>
        </w:tc>
        <w:tc>
          <w:tcPr>
            <w:tcW w:type="dxa" w:w="6803"/>
          </w:tcPr>
          <w:p>
            <w:r/>
            <w:r>
              <w:rPr>
                <w:rFonts w:ascii="Arial" w:hAnsi="Arial"/>
                <w:b w:val="0"/>
                <w:i w:val="0"/>
                <w:sz w:val="15"/>
              </w:rPr>
              <w:t>Etapas Explore, Engage y Explain (E5, E6, E7); orquestador de la secuencia 5E con memoria de contexto (E9).</w:t>
            </w:r>
          </w:p>
        </w:tc>
        <w:tc>
          <w:tcPr>
            <w:tcW w:type="dxa" w:w="2948"/>
          </w:tcPr>
          <w:p>
            <w:r/>
            <w:r>
              <w:rPr>
                <w:rFonts w:ascii="Arial" w:hAnsi="Arial"/>
                <w:b w:val="0"/>
                <w:i w:val="0"/>
                <w:sz w:val="15"/>
              </w:rPr>
              <w:t>Secuencia 5E generada de extremo a extremo</w:t>
            </w:r>
          </w:p>
        </w:tc>
      </w:tr>
      <w:tr>
        <w:tc>
          <w:tcPr>
            <w:tcW w:type="dxa" w:w="850"/>
          </w:tcPr>
          <w:p>
            <w:r/>
            <w:r>
              <w:rPr>
                <w:rFonts w:ascii="Arial" w:hAnsi="Arial"/>
                <w:b w:val="0"/>
                <w:i w:val="0"/>
                <w:sz w:val="15"/>
              </w:rPr>
              <w:t>10</w:t>
            </w:r>
          </w:p>
        </w:tc>
        <w:tc>
          <w:tcPr>
            <w:tcW w:type="dxa" w:w="1474"/>
          </w:tcPr>
          <w:p>
            <w:r/>
            <w:r>
              <w:rPr>
                <w:rFonts w:ascii="Arial" w:hAnsi="Arial"/>
                <w:b w:val="0"/>
                <w:i w:val="0"/>
                <w:sz w:val="15"/>
              </w:rPr>
              <w:t>26/10–01/11</w:t>
            </w:r>
          </w:p>
        </w:tc>
        <w:tc>
          <w:tcPr>
            <w:tcW w:type="dxa" w:w="2381"/>
          </w:tcPr>
          <w:p>
            <w:r/>
            <w:r>
              <w:rPr>
                <w:rFonts w:ascii="Arial" w:hAnsi="Arial"/>
                <w:b w:val="0"/>
                <w:i w:val="0"/>
                <w:sz w:val="15"/>
              </w:rPr>
              <w:t>Sprint 2 · Iteración 2 · Refinamiento</w:t>
            </w:r>
          </w:p>
        </w:tc>
        <w:tc>
          <w:tcPr>
            <w:tcW w:type="dxa" w:w="6803"/>
          </w:tcPr>
          <w:p>
            <w:r/>
            <w:r>
              <w:rPr>
                <w:rFonts w:ascii="Arial" w:hAnsi="Arial"/>
                <w:b w:val="0"/>
                <w:i w:val="0"/>
                <w:sz w:val="15"/>
              </w:rPr>
              <w:t>Etapa Elaborate (E8); exportador QTI y empaquetado SCORM o Common Cartridge (E11); tablero de indicadores (E12); seguridad y pruebas de carga (E13).</w:t>
            </w:r>
          </w:p>
        </w:tc>
        <w:tc>
          <w:tcPr>
            <w:tcW w:type="dxa" w:w="2948"/>
          </w:tcPr>
          <w:p>
            <w:r/>
            <w:r>
              <w:rPr>
                <w:rFonts w:ascii="Arial" w:hAnsi="Arial"/>
                <w:b w:val="0"/>
                <w:i w:val="0"/>
                <w:sz w:val="15"/>
              </w:rPr>
              <w:t>Exportador validado y tablero</w:t>
            </w:r>
          </w:p>
        </w:tc>
      </w:tr>
      <w:tr>
        <w:tc>
          <w:tcPr>
            <w:tcW w:type="dxa" w:w="850"/>
          </w:tcPr>
          <w:p>
            <w:r/>
            <w:r>
              <w:rPr>
                <w:rFonts w:ascii="Arial" w:hAnsi="Arial"/>
                <w:b w:val="0"/>
                <w:i w:val="0"/>
                <w:sz w:val="15"/>
              </w:rPr>
              <w:t>11</w:t>
            </w:r>
          </w:p>
        </w:tc>
        <w:tc>
          <w:tcPr>
            <w:tcW w:type="dxa" w:w="1474"/>
          </w:tcPr>
          <w:p>
            <w:r/>
            <w:r>
              <w:rPr>
                <w:rFonts w:ascii="Arial" w:hAnsi="Arial"/>
                <w:b w:val="0"/>
                <w:i w:val="0"/>
                <w:sz w:val="15"/>
              </w:rPr>
              <w:t>02–08/11</w:t>
            </w:r>
          </w:p>
        </w:tc>
        <w:tc>
          <w:tcPr>
            <w:tcW w:type="dxa" w:w="2381"/>
          </w:tcPr>
          <w:p>
            <w:r/>
            <w:r>
              <w:rPr>
                <w:rFonts w:ascii="Arial" w:hAnsi="Arial"/>
                <w:b w:val="0"/>
                <w:i w:val="0"/>
                <w:sz w:val="15"/>
              </w:rPr>
              <w:t>Sprint Review / Retrospectiva 2 · Piloto</w:t>
            </w:r>
          </w:p>
        </w:tc>
        <w:tc>
          <w:tcPr>
            <w:tcW w:type="dxa" w:w="6803"/>
          </w:tcPr>
          <w:p>
            <w:r/>
            <w:r>
              <w:rPr>
                <w:rFonts w:ascii="Arial" w:hAnsi="Arial"/>
                <w:b w:val="0"/>
                <w:i w:val="0"/>
                <w:sz w:val="15"/>
              </w:rPr>
              <w:t>Demostración final del incremento; ejecución del piloto con docentes y estudiantes sobre un LMS real.</w:t>
            </w:r>
          </w:p>
        </w:tc>
        <w:tc>
          <w:tcPr>
            <w:tcW w:type="dxa" w:w="2948"/>
          </w:tcPr>
          <w:p>
            <w:r/>
            <w:r>
              <w:rPr>
                <w:rFonts w:ascii="Arial" w:hAnsi="Arial"/>
                <w:b w:val="0"/>
                <w:i w:val="0"/>
                <w:sz w:val="15"/>
              </w:rPr>
              <w:t>Informe de Sprint Review 2 y datos del piloto</w:t>
            </w:r>
          </w:p>
        </w:tc>
      </w:tr>
      <w:tr>
        <w:tc>
          <w:tcPr>
            <w:tcW w:type="dxa" w:w="850"/>
          </w:tcPr>
          <w:p>
            <w:r/>
            <w:r>
              <w:rPr>
                <w:rFonts w:ascii="Arial" w:hAnsi="Arial"/>
                <w:b w:val="0"/>
                <w:i w:val="0"/>
                <w:sz w:val="15"/>
              </w:rPr>
              <w:t>12</w:t>
            </w:r>
          </w:p>
        </w:tc>
        <w:tc>
          <w:tcPr>
            <w:tcW w:type="dxa" w:w="1474"/>
          </w:tcPr>
          <w:p>
            <w:r/>
            <w:r>
              <w:rPr>
                <w:rFonts w:ascii="Arial" w:hAnsi="Arial"/>
                <w:b w:val="0"/>
                <w:i w:val="0"/>
                <w:sz w:val="15"/>
              </w:rPr>
              <w:t>09–15/11</w:t>
            </w:r>
          </w:p>
        </w:tc>
        <w:tc>
          <w:tcPr>
            <w:tcW w:type="dxa" w:w="2381"/>
          </w:tcPr>
          <w:p>
            <w:r/>
            <w:r>
              <w:rPr>
                <w:rFonts w:ascii="Arial" w:hAnsi="Arial"/>
                <w:b w:val="0"/>
                <w:i w:val="0"/>
                <w:sz w:val="15"/>
              </w:rPr>
              <w:t>Reporte técnico</w:t>
            </w:r>
          </w:p>
        </w:tc>
        <w:tc>
          <w:tcPr>
            <w:tcW w:type="dxa" w:w="6803"/>
          </w:tcPr>
          <w:p>
            <w:r/>
            <w:r>
              <w:rPr>
                <w:rFonts w:ascii="Arial" w:hAnsi="Arial"/>
                <w:b w:val="0"/>
                <w:i w:val="0"/>
                <w:sz w:val="15"/>
              </w:rPr>
              <w:t>Análisis de ítems y cálculo de los indicadores I1 a I23; redacción del reporte técnico.</w:t>
            </w:r>
          </w:p>
        </w:tc>
        <w:tc>
          <w:tcPr>
            <w:tcW w:type="dxa" w:w="2948"/>
          </w:tcPr>
          <w:p>
            <w:r/>
            <w:r>
              <w:rPr>
                <w:rFonts w:ascii="Arial" w:hAnsi="Arial"/>
                <w:b w:val="0"/>
                <w:i w:val="0"/>
                <w:sz w:val="15"/>
              </w:rPr>
              <w:t>Borrador del reporte técnico</w:t>
            </w:r>
          </w:p>
        </w:tc>
      </w:tr>
      <w:tr>
        <w:tc>
          <w:tcPr>
            <w:tcW w:type="dxa" w:w="850"/>
          </w:tcPr>
          <w:p>
            <w:r/>
            <w:r>
              <w:rPr>
                <w:rFonts w:ascii="Arial" w:hAnsi="Arial"/>
                <w:b w:val="0"/>
                <w:i w:val="0"/>
                <w:sz w:val="15"/>
              </w:rPr>
              <w:t>13</w:t>
            </w:r>
          </w:p>
        </w:tc>
        <w:tc>
          <w:tcPr>
            <w:tcW w:type="dxa" w:w="1474"/>
          </w:tcPr>
          <w:p>
            <w:r/>
            <w:r>
              <w:rPr>
                <w:rFonts w:ascii="Arial" w:hAnsi="Arial"/>
                <w:b w:val="0"/>
                <w:i w:val="0"/>
                <w:sz w:val="15"/>
              </w:rPr>
              <w:t>16–22/11</w:t>
            </w:r>
          </w:p>
        </w:tc>
        <w:tc>
          <w:tcPr>
            <w:tcW w:type="dxa" w:w="2381"/>
          </w:tcPr>
          <w:p>
            <w:r/>
            <w:r>
              <w:rPr>
                <w:rFonts w:ascii="Arial" w:hAnsi="Arial"/>
                <w:b w:val="0"/>
                <w:i w:val="0"/>
                <w:sz w:val="15"/>
              </w:rPr>
              <w:t>Reporte técnico / Capstone</w:t>
            </w:r>
          </w:p>
        </w:tc>
        <w:tc>
          <w:tcPr>
            <w:tcW w:type="dxa" w:w="6803"/>
          </w:tcPr>
          <w:p>
            <w:r/>
            <w:r>
              <w:rPr>
                <w:rFonts w:ascii="Arial" w:hAnsi="Arial"/>
                <w:b w:val="0"/>
                <w:i w:val="0"/>
                <w:sz w:val="15"/>
              </w:rPr>
              <w:t>Cierre del reporte técnico; inicio del Capstone con discusión de resultados frente a las metas.</w:t>
            </w:r>
          </w:p>
        </w:tc>
        <w:tc>
          <w:tcPr>
            <w:tcW w:type="dxa" w:w="2948"/>
          </w:tcPr>
          <w:p>
            <w:r/>
            <w:r>
              <w:rPr>
                <w:rFonts w:ascii="Arial" w:hAnsi="Arial"/>
                <w:b w:val="0"/>
                <w:i w:val="0"/>
                <w:sz w:val="15"/>
              </w:rPr>
              <w:t>Reporte técnico final</w:t>
            </w:r>
          </w:p>
        </w:tc>
      </w:tr>
      <w:tr>
        <w:tc>
          <w:tcPr>
            <w:tcW w:type="dxa" w:w="850"/>
          </w:tcPr>
          <w:p>
            <w:r/>
            <w:r>
              <w:rPr>
                <w:rFonts w:ascii="Arial" w:hAnsi="Arial"/>
                <w:b w:val="0"/>
                <w:i w:val="0"/>
                <w:sz w:val="15"/>
              </w:rPr>
              <w:t>14</w:t>
            </w:r>
          </w:p>
        </w:tc>
        <w:tc>
          <w:tcPr>
            <w:tcW w:type="dxa" w:w="1474"/>
          </w:tcPr>
          <w:p>
            <w:r/>
            <w:r>
              <w:rPr>
                <w:rFonts w:ascii="Arial" w:hAnsi="Arial"/>
                <w:b w:val="0"/>
                <w:i w:val="0"/>
                <w:sz w:val="15"/>
              </w:rPr>
              <w:t>23–29/11</w:t>
            </w:r>
          </w:p>
        </w:tc>
        <w:tc>
          <w:tcPr>
            <w:tcW w:type="dxa" w:w="2381"/>
          </w:tcPr>
          <w:p>
            <w:r/>
            <w:r>
              <w:rPr>
                <w:rFonts w:ascii="Arial" w:hAnsi="Arial"/>
                <w:b w:val="0"/>
                <w:i w:val="0"/>
                <w:sz w:val="15"/>
              </w:rPr>
              <w:t>Capstone</w:t>
            </w:r>
          </w:p>
        </w:tc>
        <w:tc>
          <w:tcPr>
            <w:tcW w:type="dxa" w:w="6803"/>
          </w:tcPr>
          <w:p>
            <w:r/>
            <w:r>
              <w:rPr>
                <w:rFonts w:ascii="Arial" w:hAnsi="Arial"/>
                <w:b w:val="0"/>
                <w:i w:val="0"/>
                <w:sz w:val="15"/>
              </w:rPr>
              <w:t>Consolidación del Capstone; preparación del material de presentación.</w:t>
            </w:r>
          </w:p>
        </w:tc>
        <w:tc>
          <w:tcPr>
            <w:tcW w:type="dxa" w:w="2948"/>
          </w:tcPr>
          <w:p>
            <w:r/>
            <w:r>
              <w:rPr>
                <w:rFonts w:ascii="Arial" w:hAnsi="Arial"/>
                <w:b w:val="0"/>
                <w:i w:val="0"/>
                <w:sz w:val="15"/>
              </w:rPr>
              <w:t>Capstone</w:t>
            </w:r>
          </w:p>
        </w:tc>
      </w:tr>
      <w:tr>
        <w:tc>
          <w:tcPr>
            <w:tcW w:type="dxa" w:w="850"/>
          </w:tcPr>
          <w:p>
            <w:r/>
            <w:r>
              <w:rPr>
                <w:rFonts w:ascii="Arial" w:hAnsi="Arial"/>
                <w:b w:val="0"/>
                <w:i w:val="0"/>
                <w:sz w:val="15"/>
              </w:rPr>
              <w:t>15</w:t>
            </w:r>
          </w:p>
        </w:tc>
        <w:tc>
          <w:tcPr>
            <w:tcW w:type="dxa" w:w="1474"/>
          </w:tcPr>
          <w:p>
            <w:r/>
            <w:r>
              <w:rPr>
                <w:rFonts w:ascii="Arial" w:hAnsi="Arial"/>
                <w:b w:val="0"/>
                <w:i w:val="0"/>
                <w:sz w:val="15"/>
              </w:rPr>
              <w:t>30/11–06/12</w:t>
            </w:r>
          </w:p>
        </w:tc>
        <w:tc>
          <w:tcPr>
            <w:tcW w:type="dxa" w:w="2381"/>
          </w:tcPr>
          <w:p>
            <w:r/>
            <w:r>
              <w:rPr>
                <w:rFonts w:ascii="Arial" w:hAnsi="Arial"/>
                <w:b w:val="0"/>
                <w:i w:val="0"/>
                <w:sz w:val="15"/>
              </w:rPr>
              <w:t>Presentación del proyecto</w:t>
            </w:r>
          </w:p>
        </w:tc>
        <w:tc>
          <w:tcPr>
            <w:tcW w:type="dxa" w:w="6803"/>
          </w:tcPr>
          <w:p>
            <w:r/>
            <w:r>
              <w:rPr>
                <w:rFonts w:ascii="Arial" w:hAnsi="Arial"/>
                <w:b w:val="0"/>
                <w:i w:val="0"/>
                <w:sz w:val="15"/>
              </w:rPr>
              <w:t>Ensayo y presentación final del proyecto de software.</w:t>
            </w:r>
          </w:p>
        </w:tc>
        <w:tc>
          <w:tcPr>
            <w:tcW w:type="dxa" w:w="2948"/>
          </w:tcPr>
          <w:p>
            <w:r/>
            <w:r>
              <w:rPr>
                <w:rFonts w:ascii="Arial" w:hAnsi="Arial"/>
                <w:b w:val="0"/>
                <w:i w:val="0"/>
                <w:sz w:val="15"/>
              </w:rPr>
              <w:t>Presentación final</w:t>
            </w:r>
          </w:p>
        </w:tc>
      </w:tr>
    </w:tbl>
    <w:p>
      <w:r>
        <w:br w:type="page"/>
      </w:r>
    </w:p>
    <w:p>
      <w:pPr>
        <w:spacing w:before="200" w:after="120"/>
      </w:pPr>
      <w:r>
        <w:rPr>
          <w:rFonts w:ascii="Arial" w:hAnsi="Arial"/>
          <w:b/>
          <w:color w:val="2F5496"/>
          <w:sz w:val="24"/>
        </w:rPr>
        <w:t>6.2 Registro de dedicación semanal</w:t>
      </w:r>
    </w:p>
    <w:p>
      <w:pPr>
        <w:spacing w:after="100"/>
        <w:jc w:val="both"/>
      </w:pPr>
      <w:r>
        <w:rPr>
          <w:rFonts w:ascii="Arial" w:hAnsi="Arial"/>
          <w:b w:val="0"/>
          <w:i w:val="0"/>
          <w:sz w:val="19"/>
        </w:rPr>
        <w:t>El equipo compromete 10 horas semanales por integrante, equivalentes a 40 horas de equipo por semana y 600 horas en las quince semanas del ciclo. La tabla presenta la distribución prevista; cada semana debe actualizarse con las horas efectivamente trabajadas y sus evidencias.</w:t>
      </w:r>
    </w:p>
    <w:tbl>
      <w:tblPr>
        <w:tblStyle w:val="TableGrid"/>
        <w:tblW w:type="auto" w:w="0"/>
        <w:tblLook w:firstColumn="1" w:firstRow="1" w:lastColumn="0" w:lastRow="0" w:noHBand="0" w:noVBand="1" w:val="04A0"/>
      </w:tblPr>
      <w:tblGrid>
        <w:gridCol w:w="2504"/>
        <w:gridCol w:w="2504"/>
        <w:gridCol w:w="2504"/>
        <w:gridCol w:w="2504"/>
        <w:gridCol w:w="2504"/>
        <w:gridCol w:w="2504"/>
      </w:tblGrid>
      <w:tr>
        <w:tc>
          <w:tcPr>
            <w:tcW w:type="dxa" w:w="1020"/>
          </w:tcPr>
          <w:p>
            <w:r/>
            <w:r>
              <w:rPr>
                <w:rFonts w:ascii="Arial" w:hAnsi="Arial"/>
                <w:b/>
                <w:i w:val="0"/>
                <w:sz w:val="16"/>
              </w:rPr>
              <w:t>Semana</w:t>
            </w:r>
          </w:p>
        </w:tc>
        <w:tc>
          <w:tcPr>
            <w:tcW w:type="dxa" w:w="3402"/>
          </w:tcPr>
          <w:p>
            <w:r/>
            <w:r>
              <w:rPr>
                <w:rFonts w:ascii="Arial" w:hAnsi="Arial"/>
                <w:b/>
                <w:i w:val="0"/>
                <w:sz w:val="16"/>
              </w:rPr>
              <w:t>Juan Alegria</w:t>
            </w:r>
          </w:p>
        </w:tc>
        <w:tc>
          <w:tcPr>
            <w:tcW w:type="dxa" w:w="3402"/>
          </w:tcPr>
          <w:p>
            <w:r/>
            <w:r>
              <w:rPr>
                <w:rFonts w:ascii="Arial" w:hAnsi="Arial"/>
                <w:b/>
                <w:i w:val="0"/>
                <w:sz w:val="16"/>
              </w:rPr>
              <w:t>Silvana Diaz</w:t>
            </w:r>
          </w:p>
        </w:tc>
        <w:tc>
          <w:tcPr>
            <w:tcW w:type="dxa" w:w="3402"/>
          </w:tcPr>
          <w:p>
            <w:r/>
            <w:r>
              <w:rPr>
                <w:rFonts w:ascii="Arial" w:hAnsi="Arial"/>
                <w:b/>
                <w:i w:val="0"/>
                <w:sz w:val="16"/>
              </w:rPr>
              <w:t>Yan Liu Dai</w:t>
            </w:r>
          </w:p>
        </w:tc>
        <w:tc>
          <w:tcPr>
            <w:tcW w:type="dxa" w:w="3402"/>
          </w:tcPr>
          <w:p>
            <w:r/>
            <w:r>
              <w:rPr>
                <w:rFonts w:ascii="Arial" w:hAnsi="Arial"/>
                <w:b/>
                <w:i w:val="0"/>
                <w:sz w:val="16"/>
              </w:rPr>
              <w:t>Sergio Celi</w:t>
            </w:r>
          </w:p>
        </w:tc>
        <w:tc>
          <w:tcPr>
            <w:tcW w:type="dxa" w:w="1531"/>
          </w:tcPr>
          <w:p>
            <w:r/>
            <w:r>
              <w:rPr>
                <w:rFonts w:ascii="Arial" w:hAnsi="Arial"/>
                <w:b/>
                <w:i w:val="0"/>
                <w:sz w:val="16"/>
              </w:rPr>
              <w:t>Total equipo</w:t>
            </w:r>
          </w:p>
        </w:tc>
      </w:tr>
      <w:tr>
        <w:tc>
          <w:tcPr>
            <w:tcW w:type="dxa" w:w="1020"/>
          </w:tcPr>
          <w:p>
            <w:r/>
            <w:r>
              <w:rPr>
                <w:rFonts w:ascii="Arial" w:hAnsi="Arial"/>
                <w:b w:val="0"/>
                <w:i w:val="0"/>
                <w:sz w:val="16"/>
              </w:rPr>
              <w:t>1</w:t>
            </w:r>
          </w:p>
        </w:tc>
        <w:tc>
          <w:tcPr>
            <w:tcW w:type="dxa" w:w="3402"/>
          </w:tcPr>
          <w:p>
            <w:r/>
            <w:r>
              <w:rPr>
                <w:rFonts w:ascii="Arial" w:hAnsi="Arial"/>
                <w:b w:val="0"/>
                <w:i w:val="0"/>
                <w:sz w:val="16"/>
              </w:rPr>
              <w:t>Brechas y objetivos (10 h)</w:t>
            </w:r>
          </w:p>
        </w:tc>
        <w:tc>
          <w:tcPr>
            <w:tcW w:type="dxa" w:w="3402"/>
          </w:tcPr>
          <w:p>
            <w:r/>
            <w:r>
              <w:rPr>
                <w:rFonts w:ascii="Arial" w:hAnsi="Arial"/>
                <w:b w:val="0"/>
                <w:i w:val="0"/>
                <w:sz w:val="16"/>
              </w:rPr>
              <w:t>Realidad problemática (10 h)</w:t>
            </w:r>
          </w:p>
        </w:tc>
        <w:tc>
          <w:tcPr>
            <w:tcW w:type="dxa" w:w="3402"/>
          </w:tcPr>
          <w:p>
            <w:r/>
            <w:r>
              <w:rPr>
                <w:rFonts w:ascii="Arial" w:hAnsi="Arial"/>
                <w:b w:val="0"/>
                <w:i w:val="0"/>
                <w:sz w:val="16"/>
              </w:rPr>
              <w:t>Búsqueda de métricas (10 h)</w:t>
            </w:r>
          </w:p>
        </w:tc>
        <w:tc>
          <w:tcPr>
            <w:tcW w:type="dxa" w:w="3402"/>
          </w:tcPr>
          <w:p>
            <w:r/>
            <w:r>
              <w:rPr>
                <w:rFonts w:ascii="Arial" w:hAnsi="Arial"/>
                <w:b w:val="0"/>
                <w:i w:val="0"/>
                <w:sz w:val="16"/>
              </w:rPr>
              <w:t>Estado del arte inicial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2</w:t>
            </w:r>
          </w:p>
        </w:tc>
        <w:tc>
          <w:tcPr>
            <w:tcW w:type="dxa" w:w="3402"/>
          </w:tcPr>
          <w:p>
            <w:r/>
            <w:r>
              <w:rPr>
                <w:rFonts w:ascii="Arial" w:hAnsi="Arial"/>
                <w:b w:val="0"/>
                <w:i w:val="0"/>
                <w:sz w:val="16"/>
              </w:rPr>
              <w:t>Indicadores I1–I7 (10 h)</w:t>
            </w:r>
          </w:p>
        </w:tc>
        <w:tc>
          <w:tcPr>
            <w:tcW w:type="dxa" w:w="3402"/>
          </w:tcPr>
          <w:p>
            <w:r/>
            <w:r>
              <w:rPr>
                <w:rFonts w:ascii="Arial" w:hAnsi="Arial"/>
                <w:b w:val="0"/>
                <w:i w:val="0"/>
                <w:sz w:val="16"/>
              </w:rPr>
              <w:t>Indicadores I8–I15 (10 h)</w:t>
            </w:r>
          </w:p>
        </w:tc>
        <w:tc>
          <w:tcPr>
            <w:tcW w:type="dxa" w:w="3402"/>
          </w:tcPr>
          <w:p>
            <w:r/>
            <w:r>
              <w:rPr>
                <w:rFonts w:ascii="Arial" w:hAnsi="Arial"/>
                <w:b w:val="0"/>
                <w:i w:val="0"/>
                <w:sz w:val="16"/>
              </w:rPr>
              <w:t>Indicadores I20–I23 (10 h)</w:t>
            </w:r>
          </w:p>
        </w:tc>
        <w:tc>
          <w:tcPr>
            <w:tcW w:type="dxa" w:w="3402"/>
          </w:tcPr>
          <w:p>
            <w:r/>
            <w:r>
              <w:rPr>
                <w:rFonts w:ascii="Arial" w:hAnsi="Arial"/>
                <w:b w:val="0"/>
                <w:i w:val="0"/>
                <w:sz w:val="16"/>
              </w:rPr>
              <w:t>Indicadores I16–I19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3</w:t>
            </w:r>
          </w:p>
        </w:tc>
        <w:tc>
          <w:tcPr>
            <w:tcW w:type="dxa" w:w="3402"/>
          </w:tcPr>
          <w:p>
            <w:r/>
            <w:r>
              <w:rPr>
                <w:rFonts w:ascii="Arial" w:hAnsi="Arial"/>
                <w:b w:val="0"/>
                <w:i w:val="0"/>
                <w:sz w:val="16"/>
              </w:rPr>
              <w:t>Redacción del Charter (10 h)</w:t>
            </w:r>
          </w:p>
        </w:tc>
        <w:tc>
          <w:tcPr>
            <w:tcW w:type="dxa" w:w="3402"/>
          </w:tcPr>
          <w:p>
            <w:r/>
            <w:r>
              <w:rPr>
                <w:rFonts w:ascii="Arial" w:hAnsi="Arial"/>
                <w:b w:val="0"/>
                <w:i w:val="0"/>
                <w:sz w:val="16"/>
              </w:rPr>
              <w:t>Alcance y riesgos (10 h)</w:t>
            </w:r>
          </w:p>
        </w:tc>
        <w:tc>
          <w:tcPr>
            <w:tcW w:type="dxa" w:w="3402"/>
          </w:tcPr>
          <w:p>
            <w:r/>
            <w:r>
              <w:rPr>
                <w:rFonts w:ascii="Arial" w:hAnsi="Arial"/>
                <w:b w:val="0"/>
                <w:i w:val="0"/>
                <w:sz w:val="16"/>
              </w:rPr>
              <w:t>Anexo de arquitectura (10 h)</w:t>
            </w:r>
          </w:p>
        </w:tc>
        <w:tc>
          <w:tcPr>
            <w:tcW w:type="dxa" w:w="3402"/>
          </w:tcPr>
          <w:p>
            <w:r/>
            <w:r>
              <w:rPr>
                <w:rFonts w:ascii="Arial" w:hAnsi="Arial"/>
                <w:b w:val="0"/>
                <w:i w:val="0"/>
                <w:sz w:val="16"/>
              </w:rPr>
              <w:t>Estándares y costos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4</w:t>
            </w:r>
          </w:p>
        </w:tc>
        <w:tc>
          <w:tcPr>
            <w:tcW w:type="dxa" w:w="3402"/>
          </w:tcPr>
          <w:p>
            <w:r/>
            <w:r>
              <w:rPr>
                <w:rFonts w:ascii="Arial" w:hAnsi="Arial"/>
                <w:b w:val="0"/>
                <w:i w:val="0"/>
                <w:sz w:val="16"/>
              </w:rPr>
              <w:t>Épicas y priorización (10 h)</w:t>
            </w:r>
          </w:p>
        </w:tc>
        <w:tc>
          <w:tcPr>
            <w:tcW w:type="dxa" w:w="3402"/>
          </w:tcPr>
          <w:p>
            <w:r/>
            <w:r>
              <w:rPr>
                <w:rFonts w:ascii="Arial" w:hAnsi="Arial"/>
                <w:b w:val="0"/>
                <w:i w:val="0"/>
                <w:sz w:val="16"/>
              </w:rPr>
              <w:t>Prototipo UX/UI (10 h)</w:t>
            </w:r>
          </w:p>
        </w:tc>
        <w:tc>
          <w:tcPr>
            <w:tcW w:type="dxa" w:w="3402"/>
          </w:tcPr>
          <w:p>
            <w:r/>
            <w:r>
              <w:rPr>
                <w:rFonts w:ascii="Arial" w:hAnsi="Arial"/>
                <w:b w:val="0"/>
                <w:i w:val="0"/>
                <w:sz w:val="16"/>
              </w:rPr>
              <w:t>Historias de RAG (10 h)</w:t>
            </w:r>
          </w:p>
        </w:tc>
        <w:tc>
          <w:tcPr>
            <w:tcW w:type="dxa" w:w="3402"/>
          </w:tcPr>
          <w:p>
            <w:r/>
            <w:r>
              <w:rPr>
                <w:rFonts w:ascii="Arial" w:hAnsi="Arial"/>
                <w:b w:val="0"/>
                <w:i w:val="0"/>
                <w:sz w:val="16"/>
              </w:rPr>
              <w:t>Historias de integración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5</w:t>
            </w:r>
          </w:p>
        </w:tc>
        <w:tc>
          <w:tcPr>
            <w:tcW w:type="dxa" w:w="3402"/>
          </w:tcPr>
          <w:p>
            <w:r/>
            <w:r>
              <w:rPr>
                <w:rFonts w:ascii="Arial" w:hAnsi="Arial"/>
                <w:b w:val="0"/>
                <w:i w:val="0"/>
                <w:sz w:val="16"/>
              </w:rPr>
              <w:t>Contratos de generación (10 h)</w:t>
            </w:r>
          </w:p>
        </w:tc>
        <w:tc>
          <w:tcPr>
            <w:tcW w:type="dxa" w:w="3402"/>
          </w:tcPr>
          <w:p>
            <w:r/>
            <w:r>
              <w:rPr>
                <w:rFonts w:ascii="Arial" w:hAnsi="Arial"/>
                <w:b w:val="0"/>
                <w:i w:val="0"/>
                <w:sz w:val="16"/>
              </w:rPr>
              <w:t>Sistema de diseño y proyecto base frontend (10 h)</w:t>
            </w:r>
          </w:p>
        </w:tc>
        <w:tc>
          <w:tcPr>
            <w:tcW w:type="dxa" w:w="3402"/>
          </w:tcPr>
          <w:p>
            <w:r/>
            <w:r>
              <w:rPr>
                <w:rFonts w:ascii="Arial" w:hAnsi="Arial"/>
                <w:b w:val="0"/>
                <w:i w:val="0"/>
                <w:sz w:val="16"/>
              </w:rPr>
              <w:t>Modelo de datos y vectorización (10 h)</w:t>
            </w:r>
          </w:p>
        </w:tc>
        <w:tc>
          <w:tcPr>
            <w:tcW w:type="dxa" w:w="3402"/>
          </w:tcPr>
          <w:p>
            <w:r/>
            <w:r>
              <w:rPr>
                <w:rFonts w:ascii="Arial" w:hAnsi="Arial"/>
                <w:b w:val="0"/>
                <w:i w:val="0"/>
                <w:sz w:val="16"/>
              </w:rPr>
              <w:t>Arquitectura, backend base y matriz de LMS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6</w:t>
            </w:r>
          </w:p>
        </w:tc>
        <w:tc>
          <w:tcPr>
            <w:tcW w:type="dxa" w:w="3402"/>
          </w:tcPr>
          <w:p>
            <w:r/>
            <w:r>
              <w:rPr>
                <w:rFonts w:ascii="Arial" w:hAnsi="Arial"/>
                <w:b w:val="0"/>
                <w:i w:val="0"/>
                <w:sz w:val="16"/>
              </w:rPr>
              <w:t>Prompts anclados y contratos por recurso (10 h)</w:t>
            </w:r>
          </w:p>
        </w:tc>
        <w:tc>
          <w:tcPr>
            <w:tcW w:type="dxa" w:w="3402"/>
          </w:tcPr>
          <w:p>
            <w:r/>
            <w:r>
              <w:rPr>
                <w:rFonts w:ascii="Arial" w:hAnsi="Arial"/>
                <w:b w:val="0"/>
                <w:i w:val="0"/>
                <w:sz w:val="16"/>
              </w:rPr>
              <w:t>Etapa Evaluate v1 y panel de revisión (10 h)</w:t>
            </w:r>
          </w:p>
        </w:tc>
        <w:tc>
          <w:tcPr>
            <w:tcW w:type="dxa" w:w="3402"/>
          </w:tcPr>
          <w:p>
            <w:r/>
            <w:r>
              <w:rPr>
                <w:rFonts w:ascii="Arial" w:hAnsi="Arial"/>
                <w:b w:val="0"/>
                <w:i w:val="0"/>
                <w:sz w:val="16"/>
              </w:rPr>
              <w:t>Recuperación híbrida y conjunto de evaluación (10 h)</w:t>
            </w:r>
          </w:p>
        </w:tc>
        <w:tc>
          <w:tcPr>
            <w:tcW w:type="dxa" w:w="3402"/>
          </w:tcPr>
          <w:p>
            <w:r/>
            <w:r>
              <w:rPr>
                <w:rFonts w:ascii="Arial" w:hAnsi="Arial"/>
                <w:b w:val="0"/>
                <w:i w:val="0"/>
                <w:sz w:val="16"/>
              </w:rPr>
              <w:t>Integración de servicios y pruebas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7</w:t>
            </w:r>
          </w:p>
        </w:tc>
        <w:tc>
          <w:tcPr>
            <w:tcW w:type="dxa" w:w="3402"/>
          </w:tcPr>
          <w:p>
            <w:r/>
            <w:r>
              <w:rPr>
                <w:rFonts w:ascii="Arial" w:hAnsi="Arial"/>
                <w:b w:val="0"/>
                <w:i w:val="0"/>
                <w:sz w:val="16"/>
              </w:rPr>
              <w:t>Preparación de la demo y métricas (10 h)</w:t>
            </w:r>
          </w:p>
        </w:tc>
        <w:tc>
          <w:tcPr>
            <w:tcW w:type="dxa" w:w="3402"/>
          </w:tcPr>
          <w:p>
            <w:r/>
            <w:r>
              <w:rPr>
                <w:rFonts w:ascii="Arial" w:hAnsi="Arial"/>
                <w:b w:val="0"/>
                <w:i w:val="0"/>
                <w:sz w:val="16"/>
              </w:rPr>
              <w:t>Rúbrica y validación con docentes (10 h)</w:t>
            </w:r>
          </w:p>
        </w:tc>
        <w:tc>
          <w:tcPr>
            <w:tcW w:type="dxa" w:w="3402"/>
          </w:tcPr>
          <w:p>
            <w:r/>
            <w:r>
              <w:rPr>
                <w:rFonts w:ascii="Arial" w:hAnsi="Arial"/>
                <w:b w:val="0"/>
                <w:i w:val="0"/>
                <w:sz w:val="16"/>
              </w:rPr>
              <w:t>Medición de I20, I21 e I22 (10 h)</w:t>
            </w:r>
          </w:p>
        </w:tc>
        <w:tc>
          <w:tcPr>
            <w:tcW w:type="dxa" w:w="3402"/>
          </w:tcPr>
          <w:p>
            <w:r/>
            <w:r>
              <w:rPr>
                <w:rFonts w:ascii="Arial" w:hAnsi="Arial"/>
                <w:b w:val="0"/>
                <w:i w:val="0"/>
                <w:sz w:val="16"/>
              </w:rPr>
              <w:t>Informe de Sprint Review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8</w:t>
            </w:r>
          </w:p>
        </w:tc>
        <w:tc>
          <w:tcPr>
            <w:tcW w:type="dxa" w:w="3402"/>
          </w:tcPr>
          <w:p>
            <w:r/>
            <w:r>
              <w:rPr>
                <w:rFonts w:ascii="Arial" w:hAnsi="Arial"/>
                <w:b w:val="0"/>
                <w:i w:val="0"/>
                <w:sz w:val="16"/>
              </w:rPr>
              <w:t>Planificación del Sprint 2 (10 h)</w:t>
            </w:r>
          </w:p>
        </w:tc>
        <w:tc>
          <w:tcPr>
            <w:tcW w:type="dxa" w:w="3402"/>
          </w:tcPr>
          <w:p>
            <w:r/>
            <w:r>
              <w:rPr>
                <w:rFonts w:ascii="Arial" w:hAnsi="Arial"/>
                <w:b w:val="0"/>
                <w:i w:val="0"/>
                <w:sz w:val="16"/>
              </w:rPr>
              <w:t>Refinamiento de historias (10 h)</w:t>
            </w:r>
          </w:p>
        </w:tc>
        <w:tc>
          <w:tcPr>
            <w:tcW w:type="dxa" w:w="3402"/>
          </w:tcPr>
          <w:p>
            <w:r/>
            <w:r>
              <w:rPr>
                <w:rFonts w:ascii="Arial" w:hAnsi="Arial"/>
                <w:b w:val="0"/>
                <w:i w:val="0"/>
                <w:sz w:val="16"/>
              </w:rPr>
              <w:t>Ajustes del motor tras la retrospectiva (10 h)</w:t>
            </w:r>
          </w:p>
        </w:tc>
        <w:tc>
          <w:tcPr>
            <w:tcW w:type="dxa" w:w="3402"/>
          </w:tcPr>
          <w:p>
            <w:r/>
            <w:r>
              <w:rPr>
                <w:rFonts w:ascii="Arial" w:hAnsi="Arial"/>
                <w:b w:val="0"/>
                <w:i w:val="0"/>
                <w:sz w:val="16"/>
              </w:rPr>
              <w:t>Preparación del entorno de exportación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9</w:t>
            </w:r>
          </w:p>
        </w:tc>
        <w:tc>
          <w:tcPr>
            <w:tcW w:type="dxa" w:w="3402"/>
          </w:tcPr>
          <w:p>
            <w:r/>
            <w:r>
              <w:rPr>
                <w:rFonts w:ascii="Arial" w:hAnsi="Arial"/>
                <w:b w:val="0"/>
                <w:i w:val="0"/>
                <w:sz w:val="16"/>
              </w:rPr>
              <w:t>Etapas Engage y Explain (10 h)</w:t>
            </w:r>
          </w:p>
        </w:tc>
        <w:tc>
          <w:tcPr>
            <w:tcW w:type="dxa" w:w="3402"/>
          </w:tcPr>
          <w:p>
            <w:r/>
            <w:r>
              <w:rPr>
                <w:rFonts w:ascii="Arial" w:hAnsi="Arial"/>
                <w:b w:val="0"/>
                <w:i w:val="0"/>
                <w:sz w:val="16"/>
              </w:rPr>
              <w:t>Ajustes de Evaluate y UX (10 h)</w:t>
            </w:r>
          </w:p>
        </w:tc>
        <w:tc>
          <w:tcPr>
            <w:tcW w:type="dxa" w:w="3402"/>
          </w:tcPr>
          <w:p>
            <w:r/>
            <w:r>
              <w:rPr>
                <w:rFonts w:ascii="Arial" w:hAnsi="Arial"/>
                <w:b w:val="0"/>
                <w:i w:val="0"/>
                <w:sz w:val="16"/>
              </w:rPr>
              <w:t>Etapa Explore y orquestador (10 h)</w:t>
            </w:r>
          </w:p>
        </w:tc>
        <w:tc>
          <w:tcPr>
            <w:tcW w:type="dxa" w:w="3402"/>
          </w:tcPr>
          <w:p>
            <w:r/>
            <w:r>
              <w:rPr>
                <w:rFonts w:ascii="Arial" w:hAnsi="Arial"/>
                <w:b w:val="0"/>
                <w:i w:val="0"/>
                <w:sz w:val="16"/>
              </w:rPr>
              <w:t>Soporte de servicios y pruebas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10</w:t>
            </w:r>
          </w:p>
        </w:tc>
        <w:tc>
          <w:tcPr>
            <w:tcW w:type="dxa" w:w="3402"/>
          </w:tcPr>
          <w:p>
            <w:r/>
            <w:r>
              <w:rPr>
                <w:rFonts w:ascii="Arial" w:hAnsi="Arial"/>
                <w:b w:val="0"/>
                <w:i w:val="0"/>
                <w:sz w:val="16"/>
              </w:rPr>
              <w:t>Revisión de contenidos generados (10 h)</w:t>
            </w:r>
          </w:p>
        </w:tc>
        <w:tc>
          <w:tcPr>
            <w:tcW w:type="dxa" w:w="3402"/>
          </w:tcPr>
          <w:p>
            <w:r/>
            <w:r>
              <w:rPr>
                <w:rFonts w:ascii="Arial" w:hAnsi="Arial"/>
                <w:b w:val="0"/>
                <w:i w:val="0"/>
                <w:sz w:val="16"/>
              </w:rPr>
              <w:t>Tablero de indicadores (10 h)</w:t>
            </w:r>
          </w:p>
        </w:tc>
        <w:tc>
          <w:tcPr>
            <w:tcW w:type="dxa" w:w="3402"/>
          </w:tcPr>
          <w:p>
            <w:r/>
            <w:r>
              <w:rPr>
                <w:rFonts w:ascii="Arial" w:hAnsi="Arial"/>
                <w:b w:val="0"/>
                <w:i w:val="0"/>
                <w:sz w:val="16"/>
              </w:rPr>
              <w:t>Memoria de contexto y deduplicación (10 h)</w:t>
            </w:r>
          </w:p>
        </w:tc>
        <w:tc>
          <w:tcPr>
            <w:tcW w:type="dxa" w:w="3402"/>
          </w:tcPr>
          <w:p>
            <w:r/>
            <w:r>
              <w:rPr>
                <w:rFonts w:ascii="Arial" w:hAnsi="Arial"/>
                <w:b w:val="0"/>
                <w:i w:val="0"/>
                <w:sz w:val="16"/>
              </w:rPr>
              <w:t>Etapa Elaborate y exportador QTI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11</w:t>
            </w:r>
          </w:p>
        </w:tc>
        <w:tc>
          <w:tcPr>
            <w:tcW w:type="dxa" w:w="3402"/>
          </w:tcPr>
          <w:p>
            <w:r/>
            <w:r>
              <w:rPr>
                <w:rFonts w:ascii="Arial" w:hAnsi="Arial"/>
                <w:b w:val="0"/>
                <w:i w:val="0"/>
                <w:sz w:val="16"/>
              </w:rPr>
              <w:t>Coordinación del piloto (10 h)</w:t>
            </w:r>
          </w:p>
        </w:tc>
        <w:tc>
          <w:tcPr>
            <w:tcW w:type="dxa" w:w="3402"/>
          </w:tcPr>
          <w:p>
            <w:r/>
            <w:r>
              <w:rPr>
                <w:rFonts w:ascii="Arial" w:hAnsi="Arial"/>
                <w:b w:val="0"/>
                <w:i w:val="0"/>
                <w:sz w:val="16"/>
              </w:rPr>
              <w:t>Aplicación del piloto y SUS (10 h)</w:t>
            </w:r>
          </w:p>
        </w:tc>
        <w:tc>
          <w:tcPr>
            <w:tcW w:type="dxa" w:w="3402"/>
          </w:tcPr>
          <w:p>
            <w:r/>
            <w:r>
              <w:rPr>
                <w:rFonts w:ascii="Arial" w:hAnsi="Arial"/>
                <w:b w:val="0"/>
                <w:i w:val="0"/>
                <w:sz w:val="16"/>
              </w:rPr>
              <w:t>Monitoreo del motor durante el piloto (10 h)</w:t>
            </w:r>
          </w:p>
        </w:tc>
        <w:tc>
          <w:tcPr>
            <w:tcW w:type="dxa" w:w="3402"/>
          </w:tcPr>
          <w:p>
            <w:r/>
            <w:r>
              <w:rPr>
                <w:rFonts w:ascii="Arial" w:hAnsi="Arial"/>
                <w:b w:val="0"/>
                <w:i w:val="0"/>
                <w:sz w:val="16"/>
              </w:rPr>
              <w:t>Importación en los LMS objetivo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12</w:t>
            </w:r>
          </w:p>
        </w:tc>
        <w:tc>
          <w:tcPr>
            <w:tcW w:type="dxa" w:w="3402"/>
          </w:tcPr>
          <w:p>
            <w:r/>
            <w:r>
              <w:rPr>
                <w:rFonts w:ascii="Arial" w:hAnsi="Arial"/>
                <w:b w:val="0"/>
                <w:i w:val="0"/>
                <w:sz w:val="16"/>
              </w:rPr>
              <w:t>Redacción del reporte (10 h)</w:t>
            </w:r>
          </w:p>
        </w:tc>
        <w:tc>
          <w:tcPr>
            <w:tcW w:type="dxa" w:w="3402"/>
          </w:tcPr>
          <w:p>
            <w:r/>
            <w:r>
              <w:rPr>
                <w:rFonts w:ascii="Arial" w:hAnsi="Arial"/>
                <w:b w:val="0"/>
                <w:i w:val="0"/>
                <w:sz w:val="16"/>
              </w:rPr>
              <w:t>Análisis de ítems (10 h)</w:t>
            </w:r>
          </w:p>
        </w:tc>
        <w:tc>
          <w:tcPr>
            <w:tcW w:type="dxa" w:w="3402"/>
          </w:tcPr>
          <w:p>
            <w:r/>
            <w:r>
              <w:rPr>
                <w:rFonts w:ascii="Arial" w:hAnsi="Arial"/>
                <w:b w:val="0"/>
                <w:i w:val="0"/>
                <w:sz w:val="16"/>
              </w:rPr>
              <w:t>Cálculo de indicadores del motor (10 h)</w:t>
            </w:r>
          </w:p>
        </w:tc>
        <w:tc>
          <w:tcPr>
            <w:tcW w:type="dxa" w:w="3402"/>
          </w:tcPr>
          <w:p>
            <w:r/>
            <w:r>
              <w:rPr>
                <w:rFonts w:ascii="Arial" w:hAnsi="Arial"/>
                <w:b w:val="0"/>
                <w:i w:val="0"/>
                <w:sz w:val="16"/>
              </w:rPr>
              <w:t>Resultados de interoperabilidad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13</w:t>
            </w:r>
          </w:p>
        </w:tc>
        <w:tc>
          <w:tcPr>
            <w:tcW w:type="dxa" w:w="3402"/>
          </w:tcPr>
          <w:p>
            <w:r/>
            <w:r>
              <w:rPr>
                <w:rFonts w:ascii="Arial" w:hAnsi="Arial"/>
                <w:b w:val="0"/>
                <w:i w:val="0"/>
                <w:sz w:val="16"/>
              </w:rPr>
              <w:t>Cierre del reporte técnico (10 h)</w:t>
            </w:r>
          </w:p>
        </w:tc>
        <w:tc>
          <w:tcPr>
            <w:tcW w:type="dxa" w:w="3402"/>
          </w:tcPr>
          <w:p>
            <w:r/>
            <w:r>
              <w:rPr>
                <w:rFonts w:ascii="Arial" w:hAnsi="Arial"/>
                <w:b w:val="0"/>
                <w:i w:val="0"/>
                <w:sz w:val="16"/>
              </w:rPr>
              <w:t>Revisión y edición (10 h)</w:t>
            </w:r>
          </w:p>
        </w:tc>
        <w:tc>
          <w:tcPr>
            <w:tcW w:type="dxa" w:w="3402"/>
          </w:tcPr>
          <w:p>
            <w:r/>
            <w:r>
              <w:rPr>
                <w:rFonts w:ascii="Arial" w:hAnsi="Arial"/>
                <w:b w:val="0"/>
                <w:i w:val="0"/>
                <w:sz w:val="16"/>
              </w:rPr>
              <w:t>Anexos técnicos (10 h)</w:t>
            </w:r>
          </w:p>
        </w:tc>
        <w:tc>
          <w:tcPr>
            <w:tcW w:type="dxa" w:w="3402"/>
          </w:tcPr>
          <w:p>
            <w:r/>
            <w:r>
              <w:rPr>
                <w:rFonts w:ascii="Arial" w:hAnsi="Arial"/>
                <w:b w:val="0"/>
                <w:i w:val="0"/>
                <w:sz w:val="16"/>
              </w:rPr>
              <w:t>Documentación de despliegue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14</w:t>
            </w:r>
          </w:p>
        </w:tc>
        <w:tc>
          <w:tcPr>
            <w:tcW w:type="dxa" w:w="3402"/>
          </w:tcPr>
          <w:p>
            <w:r/>
            <w:r>
              <w:rPr>
                <w:rFonts w:ascii="Arial" w:hAnsi="Arial"/>
                <w:b w:val="0"/>
                <w:i w:val="0"/>
                <w:sz w:val="16"/>
              </w:rPr>
              <w:t>Capstone: narrativa y resultados (10 h)</w:t>
            </w:r>
          </w:p>
        </w:tc>
        <w:tc>
          <w:tcPr>
            <w:tcW w:type="dxa" w:w="3402"/>
          </w:tcPr>
          <w:p>
            <w:r/>
            <w:r>
              <w:rPr>
                <w:rFonts w:ascii="Arial" w:hAnsi="Arial"/>
                <w:b w:val="0"/>
                <w:i w:val="0"/>
                <w:sz w:val="16"/>
              </w:rPr>
              <w:t>Capstone: material visual (10 h)</w:t>
            </w:r>
          </w:p>
        </w:tc>
        <w:tc>
          <w:tcPr>
            <w:tcW w:type="dxa" w:w="3402"/>
          </w:tcPr>
          <w:p>
            <w:r/>
            <w:r>
              <w:rPr>
                <w:rFonts w:ascii="Arial" w:hAnsi="Arial"/>
                <w:b w:val="0"/>
                <w:i w:val="0"/>
                <w:sz w:val="16"/>
              </w:rPr>
              <w:t>Capstone: demostración del motor (10 h)</w:t>
            </w:r>
          </w:p>
        </w:tc>
        <w:tc>
          <w:tcPr>
            <w:tcW w:type="dxa" w:w="3402"/>
          </w:tcPr>
          <w:p>
            <w:r/>
            <w:r>
              <w:rPr>
                <w:rFonts w:ascii="Arial" w:hAnsi="Arial"/>
                <w:b w:val="0"/>
                <w:i w:val="0"/>
                <w:sz w:val="16"/>
              </w:rPr>
              <w:t>Capstone: demostración de exportación (10 h)</w:t>
            </w:r>
          </w:p>
        </w:tc>
        <w:tc>
          <w:tcPr>
            <w:tcW w:type="dxa" w:w="1531"/>
          </w:tcPr>
          <w:p>
            <w:r/>
            <w:r>
              <w:rPr>
                <w:rFonts w:ascii="Arial" w:hAnsi="Arial"/>
                <w:b w:val="0"/>
                <w:i w:val="0"/>
                <w:sz w:val="16"/>
              </w:rPr>
              <w:t>40 h</w:t>
            </w:r>
          </w:p>
        </w:tc>
      </w:tr>
      <w:tr>
        <w:tc>
          <w:tcPr>
            <w:tcW w:type="dxa" w:w="1020"/>
          </w:tcPr>
          <w:p>
            <w:r/>
            <w:r>
              <w:rPr>
                <w:rFonts w:ascii="Arial" w:hAnsi="Arial"/>
                <w:b w:val="0"/>
                <w:i w:val="0"/>
                <w:sz w:val="16"/>
              </w:rPr>
              <w:t>15</w:t>
            </w:r>
          </w:p>
        </w:tc>
        <w:tc>
          <w:tcPr>
            <w:tcW w:type="dxa" w:w="3402"/>
          </w:tcPr>
          <w:p>
            <w:r/>
            <w:r>
              <w:rPr>
                <w:rFonts w:ascii="Arial" w:hAnsi="Arial"/>
                <w:b w:val="0"/>
                <w:i w:val="0"/>
                <w:sz w:val="16"/>
              </w:rPr>
              <w:t>Ensayo y presentación (10 h)</w:t>
            </w:r>
          </w:p>
        </w:tc>
        <w:tc>
          <w:tcPr>
            <w:tcW w:type="dxa" w:w="3402"/>
          </w:tcPr>
          <w:p>
            <w:r/>
            <w:r>
              <w:rPr>
                <w:rFonts w:ascii="Arial" w:hAnsi="Arial"/>
                <w:b w:val="0"/>
                <w:i w:val="0"/>
                <w:sz w:val="16"/>
              </w:rPr>
              <w:t>Ensayo y presentación (10 h)</w:t>
            </w:r>
          </w:p>
        </w:tc>
        <w:tc>
          <w:tcPr>
            <w:tcW w:type="dxa" w:w="3402"/>
          </w:tcPr>
          <w:p>
            <w:r/>
            <w:r>
              <w:rPr>
                <w:rFonts w:ascii="Arial" w:hAnsi="Arial"/>
                <w:b w:val="0"/>
                <w:i w:val="0"/>
                <w:sz w:val="16"/>
              </w:rPr>
              <w:t>Ensayo y presentación (10 h)</w:t>
            </w:r>
          </w:p>
        </w:tc>
        <w:tc>
          <w:tcPr>
            <w:tcW w:type="dxa" w:w="3402"/>
          </w:tcPr>
          <w:p>
            <w:r/>
            <w:r>
              <w:rPr>
                <w:rFonts w:ascii="Arial" w:hAnsi="Arial"/>
                <w:b w:val="0"/>
                <w:i w:val="0"/>
                <w:sz w:val="16"/>
              </w:rPr>
              <w:t>Ensayo y presentación (10 h)</w:t>
            </w:r>
          </w:p>
        </w:tc>
        <w:tc>
          <w:tcPr>
            <w:tcW w:type="dxa" w:w="1531"/>
          </w:tcPr>
          <w:p>
            <w:r/>
            <w:r>
              <w:rPr>
                <w:rFonts w:ascii="Arial" w:hAnsi="Arial"/>
                <w:b w:val="0"/>
                <w:i w:val="0"/>
                <w:sz w:val="16"/>
              </w:rPr>
              <w:t>40 h</w:t>
            </w:r>
          </w:p>
        </w:tc>
      </w:tr>
      <w:tr>
        <w:tc>
          <w:tcPr>
            <w:tcW w:type="dxa" w:w="1020"/>
          </w:tcPr>
          <w:p>
            <w:r/>
            <w:r>
              <w:rPr>
                <w:rFonts w:ascii="Arial" w:hAnsi="Arial"/>
                <w:b/>
                <w:i w:val="0"/>
                <w:sz w:val="16"/>
              </w:rPr>
              <w:t>Total</w:t>
            </w:r>
          </w:p>
        </w:tc>
        <w:tc>
          <w:tcPr>
            <w:tcW w:type="dxa" w:w="3402"/>
          </w:tcPr>
          <w:p>
            <w:r/>
            <w:r>
              <w:rPr>
                <w:rFonts w:ascii="Arial" w:hAnsi="Arial"/>
                <w:b/>
                <w:i w:val="0"/>
                <w:sz w:val="16"/>
              </w:rPr>
              <w:t>150 h</w:t>
            </w:r>
          </w:p>
        </w:tc>
        <w:tc>
          <w:tcPr>
            <w:tcW w:type="dxa" w:w="3402"/>
          </w:tcPr>
          <w:p>
            <w:r/>
            <w:r>
              <w:rPr>
                <w:rFonts w:ascii="Arial" w:hAnsi="Arial"/>
                <w:b/>
                <w:i w:val="0"/>
                <w:sz w:val="16"/>
              </w:rPr>
              <w:t>150 h</w:t>
            </w:r>
          </w:p>
        </w:tc>
        <w:tc>
          <w:tcPr>
            <w:tcW w:type="dxa" w:w="3402"/>
          </w:tcPr>
          <w:p>
            <w:r/>
            <w:r>
              <w:rPr>
                <w:rFonts w:ascii="Arial" w:hAnsi="Arial"/>
                <w:b/>
                <w:i w:val="0"/>
                <w:sz w:val="16"/>
              </w:rPr>
              <w:t>150 h</w:t>
            </w:r>
          </w:p>
        </w:tc>
        <w:tc>
          <w:tcPr>
            <w:tcW w:type="dxa" w:w="3402"/>
          </w:tcPr>
          <w:p>
            <w:r/>
            <w:r>
              <w:rPr>
                <w:rFonts w:ascii="Arial" w:hAnsi="Arial"/>
                <w:b/>
                <w:i w:val="0"/>
                <w:sz w:val="16"/>
              </w:rPr>
              <w:t>150 h</w:t>
            </w:r>
          </w:p>
        </w:tc>
        <w:tc>
          <w:tcPr>
            <w:tcW w:type="dxa" w:w="1531"/>
          </w:tcPr>
          <w:p>
            <w:r/>
            <w:r>
              <w:rPr>
                <w:rFonts w:ascii="Arial" w:hAnsi="Arial"/>
                <w:b/>
                <w:i w:val="0"/>
                <w:sz w:val="16"/>
              </w:rPr>
              <w:t>600 h</w:t>
            </w:r>
          </w:p>
        </w:tc>
      </w:tr>
    </w:tbl>
    <w:p>
      <w:pPr>
        <w:sectPr>
          <w:pgSz w:w="16838" w:h="11906" w:orient="landscape"/>
          <w:pgMar w:top="907" w:right="907" w:bottom="907" w:left="907" w:header="720" w:footer="720" w:gutter="0"/>
          <w:cols w:space="720"/>
          <w:docGrid w:linePitch="360"/>
        </w:sectPr>
      </w:pPr>
    </w:p>
    <w:p>
      <w:pPr>
        <w:spacing w:before="280" w:after="120"/>
      </w:pPr>
      <w:r>
        <w:rPr>
          <w:rFonts w:ascii="Arial" w:hAnsi="Arial"/>
          <w:b/>
          <w:color w:val="1F3864"/>
          <w:sz w:val="30"/>
        </w:rPr>
        <w:t>6.3 Ficha semanal de avance (formato a llenar)</w:t>
      </w:r>
    </w:p>
    <w:p>
      <w:pPr>
        <w:spacing w:after="100"/>
        <w:jc w:val="both"/>
      </w:pPr>
      <w:r>
        <w:rPr>
          <w:rFonts w:ascii="Arial" w:hAnsi="Arial"/>
          <w:b w:val="0"/>
          <w:i w:val="0"/>
          <w:sz w:val="21"/>
        </w:rPr>
        <w:t>Cada semana se documenta con la siguiente ficha, que acompaña al registro de horas y sirve de evidencia ante el docente asesor.</w:t>
      </w:r>
    </w:p>
    <w:tbl>
      <w:tblPr>
        <w:tblStyle w:val="TableGrid"/>
        <w:tblW w:type="auto" w:w="0"/>
        <w:tblLook w:firstColumn="1" w:firstRow="1" w:lastColumn="0" w:lastRow="0" w:noHBand="0" w:noVBand="1" w:val="04A0"/>
      </w:tblPr>
      <w:tblGrid>
        <w:gridCol w:w="4819"/>
        <w:gridCol w:w="4819"/>
      </w:tblGrid>
      <w:tr>
        <w:tc>
          <w:tcPr>
            <w:tcW w:type="dxa" w:w="2835"/>
          </w:tcPr>
          <w:p>
            <w:r/>
            <w:r>
              <w:rPr>
                <w:rFonts w:ascii="Arial" w:hAnsi="Arial"/>
                <w:b/>
                <w:i w:val="0"/>
                <w:sz w:val="19"/>
              </w:rPr>
              <w:t>Campo</w:t>
            </w:r>
          </w:p>
        </w:tc>
        <w:tc>
          <w:tcPr>
            <w:tcW w:type="dxa" w:w="6803"/>
          </w:tcPr>
          <w:p>
            <w:r/>
            <w:r>
              <w:rPr>
                <w:rFonts w:ascii="Arial" w:hAnsi="Arial"/>
                <w:b/>
                <w:i w:val="0"/>
                <w:sz w:val="19"/>
              </w:rPr>
              <w:t>Contenido a registrar</w:t>
            </w:r>
          </w:p>
        </w:tc>
      </w:tr>
      <w:tr>
        <w:tc>
          <w:tcPr>
            <w:tcW w:type="dxa" w:w="2835"/>
          </w:tcPr>
          <w:p>
            <w:r/>
            <w:r>
              <w:rPr>
                <w:rFonts w:ascii="Arial" w:hAnsi="Arial"/>
                <w:b w:val="0"/>
                <w:i w:val="0"/>
                <w:sz w:val="19"/>
              </w:rPr>
              <w:t>Semana y fechas</w:t>
            </w:r>
          </w:p>
        </w:tc>
        <w:tc>
          <w:tcPr>
            <w:tcW w:type="dxa" w:w="6803"/>
          </w:tcPr>
          <w:p>
            <w:r/>
            <w:r>
              <w:rPr>
                <w:rFonts w:ascii="Arial" w:hAnsi="Arial"/>
                <w:b w:val="0"/>
                <w:i w:val="0"/>
                <w:sz w:val="19"/>
              </w:rPr>
              <w:t>Número de semana del curso y rango de fechas.</w:t>
            </w:r>
          </w:p>
        </w:tc>
      </w:tr>
      <w:tr>
        <w:tc>
          <w:tcPr>
            <w:tcW w:type="dxa" w:w="2835"/>
          </w:tcPr>
          <w:p>
            <w:r/>
            <w:r>
              <w:rPr>
                <w:rFonts w:ascii="Arial" w:hAnsi="Arial"/>
                <w:b w:val="0"/>
                <w:i w:val="0"/>
                <w:sz w:val="19"/>
              </w:rPr>
              <w:t>Hito del curso</w:t>
            </w:r>
          </w:p>
        </w:tc>
        <w:tc>
          <w:tcPr>
            <w:tcW w:type="dxa" w:w="6803"/>
          </w:tcPr>
          <w:p>
            <w:r/>
            <w:r>
              <w:rPr>
                <w:rFonts w:ascii="Arial" w:hAnsi="Arial"/>
                <w:b w:val="0"/>
                <w:i w:val="0"/>
                <w:sz w:val="19"/>
              </w:rPr>
              <w:t>Fase correspondiente según el cronograma (iteración, review, reporte).</w:t>
            </w:r>
          </w:p>
        </w:tc>
      </w:tr>
      <w:tr>
        <w:tc>
          <w:tcPr>
            <w:tcW w:type="dxa" w:w="2835"/>
          </w:tcPr>
          <w:p>
            <w:r/>
            <w:r>
              <w:rPr>
                <w:rFonts w:ascii="Arial" w:hAnsi="Arial"/>
                <w:b w:val="0"/>
                <w:i w:val="0"/>
                <w:sz w:val="19"/>
              </w:rPr>
              <w:t>Objetivo de la semana</w:t>
            </w:r>
          </w:p>
        </w:tc>
        <w:tc>
          <w:tcPr>
            <w:tcW w:type="dxa" w:w="6803"/>
          </w:tcPr>
          <w:p>
            <w:r/>
            <w:r>
              <w:rPr>
                <w:rFonts w:ascii="Arial" w:hAnsi="Arial"/>
                <w:b w:val="0"/>
                <w:i w:val="0"/>
                <w:sz w:val="19"/>
              </w:rPr>
              <w:t>Resultado concreto que se busca alcanzar.</w:t>
            </w:r>
          </w:p>
        </w:tc>
      </w:tr>
      <w:tr>
        <w:tc>
          <w:tcPr>
            <w:tcW w:type="dxa" w:w="2835"/>
          </w:tcPr>
          <w:p>
            <w:r/>
            <w:r>
              <w:rPr>
                <w:rFonts w:ascii="Arial" w:hAnsi="Arial"/>
                <w:b w:val="0"/>
                <w:i w:val="0"/>
                <w:sz w:val="19"/>
              </w:rPr>
              <w:t>Actividades por integrante</w:t>
            </w:r>
          </w:p>
        </w:tc>
        <w:tc>
          <w:tcPr>
            <w:tcW w:type="dxa" w:w="6803"/>
          </w:tcPr>
          <w:p>
            <w:r/>
            <w:r>
              <w:rPr>
                <w:rFonts w:ascii="Arial" w:hAnsi="Arial"/>
                <w:b w:val="0"/>
                <w:i w:val="0"/>
                <w:sz w:val="19"/>
              </w:rPr>
              <w:t>Tareas realizadas por cada uno, con las horas dedicadas hasta completar las 10 semanales.</w:t>
            </w:r>
          </w:p>
        </w:tc>
      </w:tr>
      <w:tr>
        <w:tc>
          <w:tcPr>
            <w:tcW w:type="dxa" w:w="2835"/>
          </w:tcPr>
          <w:p>
            <w:r/>
            <w:r>
              <w:rPr>
                <w:rFonts w:ascii="Arial" w:hAnsi="Arial"/>
                <w:b w:val="0"/>
                <w:i w:val="0"/>
                <w:sz w:val="19"/>
              </w:rPr>
              <w:t>Horas acumuladas</w:t>
            </w:r>
          </w:p>
        </w:tc>
        <w:tc>
          <w:tcPr>
            <w:tcW w:type="dxa" w:w="6803"/>
          </w:tcPr>
          <w:p>
            <w:r/>
            <w:r>
              <w:rPr>
                <w:rFonts w:ascii="Arial" w:hAnsi="Arial"/>
                <w:b w:val="0"/>
                <w:i w:val="0"/>
                <w:sz w:val="19"/>
              </w:rPr>
              <w:t>Total individual y del equipo a la fecha.</w:t>
            </w:r>
          </w:p>
        </w:tc>
      </w:tr>
      <w:tr>
        <w:tc>
          <w:tcPr>
            <w:tcW w:type="dxa" w:w="2835"/>
          </w:tcPr>
          <w:p>
            <w:r/>
            <w:r>
              <w:rPr>
                <w:rFonts w:ascii="Arial" w:hAnsi="Arial"/>
                <w:b w:val="0"/>
                <w:i w:val="0"/>
                <w:sz w:val="19"/>
              </w:rPr>
              <w:t>Evidencias</w:t>
            </w:r>
          </w:p>
        </w:tc>
        <w:tc>
          <w:tcPr>
            <w:tcW w:type="dxa" w:w="6803"/>
          </w:tcPr>
          <w:p>
            <w:r/>
            <w:r>
              <w:rPr>
                <w:rFonts w:ascii="Arial" w:hAnsi="Arial"/>
                <w:b w:val="0"/>
                <w:i w:val="0"/>
                <w:sz w:val="19"/>
              </w:rPr>
              <w:t>Enlaces a commits, documentos, capturas del tablero o actas de reunión.</w:t>
            </w:r>
          </w:p>
        </w:tc>
      </w:tr>
      <w:tr>
        <w:tc>
          <w:tcPr>
            <w:tcW w:type="dxa" w:w="2835"/>
          </w:tcPr>
          <w:p>
            <w:r/>
            <w:r>
              <w:rPr>
                <w:rFonts w:ascii="Arial" w:hAnsi="Arial"/>
                <w:b w:val="0"/>
                <w:i w:val="0"/>
                <w:sz w:val="19"/>
              </w:rPr>
              <w:t>Indicadores medidos</w:t>
            </w:r>
          </w:p>
        </w:tc>
        <w:tc>
          <w:tcPr>
            <w:tcW w:type="dxa" w:w="6803"/>
          </w:tcPr>
          <w:p>
            <w:r/>
            <w:r>
              <w:rPr>
                <w:rFonts w:ascii="Arial" w:hAnsi="Arial"/>
                <w:b w:val="0"/>
                <w:i w:val="0"/>
                <w:sz w:val="19"/>
              </w:rPr>
              <w:t>Códigos de los indicadores calculados en la semana y su valor.</w:t>
            </w:r>
          </w:p>
        </w:tc>
      </w:tr>
      <w:tr>
        <w:tc>
          <w:tcPr>
            <w:tcW w:type="dxa" w:w="2835"/>
          </w:tcPr>
          <w:p>
            <w:r/>
            <w:r>
              <w:rPr>
                <w:rFonts w:ascii="Arial" w:hAnsi="Arial"/>
                <w:b w:val="0"/>
                <w:i w:val="0"/>
                <w:sz w:val="19"/>
              </w:rPr>
              <w:t>Bloqueos y decisiones</w:t>
            </w:r>
          </w:p>
        </w:tc>
        <w:tc>
          <w:tcPr>
            <w:tcW w:type="dxa" w:w="6803"/>
          </w:tcPr>
          <w:p>
            <w:r/>
            <w:r>
              <w:rPr>
                <w:rFonts w:ascii="Arial" w:hAnsi="Arial"/>
                <w:b w:val="0"/>
                <w:i w:val="0"/>
                <w:sz w:val="19"/>
              </w:rPr>
              <w:t>Impedimentos encontrados y acuerdos tomados para resolverlos.</w:t>
            </w:r>
          </w:p>
        </w:tc>
      </w:tr>
    </w:tbl>
    <w:p/>
    <w:p>
      <w:pPr>
        <w:spacing w:before="280" w:after="120"/>
      </w:pPr>
      <w:r>
        <w:rPr>
          <w:rFonts w:ascii="Arial" w:hAnsi="Arial"/>
          <w:b/>
          <w:color w:val="1F3864"/>
          <w:sz w:val="30"/>
        </w:rPr>
        <w:t>7. Metodología</w:t>
      </w:r>
    </w:p>
    <w:p>
      <w:pPr>
        <w:spacing w:after="100"/>
        <w:jc w:val="both"/>
      </w:pPr>
      <w:r>
        <w:rPr>
          <w:rFonts w:ascii="Arial" w:hAnsi="Arial"/>
          <w:b w:val="0"/>
          <w:i w:val="0"/>
          <w:sz w:val="21"/>
        </w:rPr>
        <w:t>El proyecto se desarrolla con Scrum: dos sprints, cada uno con planificación, dos iteraciones, refinamiento del backlog, revisión y retrospectiva, conforme al calendario del curso. Juan Alegria actúa como Product Owner y Silvana Diaz como Scrum Master; el avance se controla con el indicador I15, que compara historias terminadas frente a comprometidas.</w:t>
      </w:r>
    </w:p>
    <w:p>
      <w:pPr>
        <w:spacing w:after="100"/>
        <w:jc w:val="both"/>
      </w:pPr>
      <w:r>
        <w:rPr>
          <w:rFonts w:ascii="Arial" w:hAnsi="Arial"/>
          <w:b w:val="0"/>
          <w:i w:val="0"/>
          <w:sz w:val="21"/>
        </w:rPr>
        <w:t>Sobre esa base se monta el ciclo DMAIC que pide la plantilla de la carta: Definir corresponde al Inception; Medir, a la primera iteración del Sprint 1 con la línea base manual de tiempos; Analizar, a la segunda iteración y al Sprint Review 1; Mejorar, al Sprint 2; y Controlar, al piloto de la semana 11 y al análisis de la semana 12.</w:t>
      </w:r>
    </w:p>
    <w:p>
      <w:pPr>
        <w:spacing w:after="100"/>
        <w:jc w:val="both"/>
      </w:pPr>
      <w:r>
        <w:rPr>
          <w:rFonts w:ascii="Arial" w:hAnsi="Arial"/>
          <w:b w:val="0"/>
          <w:i w:val="0"/>
          <w:sz w:val="21"/>
        </w:rPr>
        <w:t>Tres prácticas transversales sostienen el trabajo técnico. La primera es el desarrollo guiado por estándares: cada paquete se valida contra la herramienta de conformidad antes de darse por terminado. La segunda es el enfoque human-in-the-loop: ningún recurso llega al estudiante sin revisión docente. La tercera es la evaluación en tres niveles: métricas automáticas durante el desarrollo, juicio experto al cierre de cada iteración y psicometría con estudiantes en el piloto.</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