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sz w:val="28"/>
          <w:szCs w:val="28"/>
        </w:rPr>
        <w:t xml:space="preserve">UNIVERSIDAD PRIVADA ANTENOR ORREGO</w:t>
      </w:r>
    </w:p>
    <w:p>
      <w:pPr>
        <w:spacing w:after="420"/>
        <w:jc w:val="center"/>
      </w:pPr>
      <w:r>
        <w:rPr>
          <w:rFonts w:ascii="Arial" w:cs="Arial" w:eastAsia="Arial" w:hAnsi="Arial"/>
          <w:sz w:val="24"/>
          <w:szCs w:val="24"/>
        </w:rPr>
        <w:t xml:space="preserve">Taller Integrador 1 · Semana 1 — Inception</w:t>
      </w:r>
    </w:p>
    <w:p>
      <w:pPr>
        <w:spacing w:after="180"/>
        <w:jc w:val="center"/>
      </w:pPr>
      <w:r>
        <w:rPr>
          <w:rFonts w:ascii="Arial" w:cs="Arial" w:eastAsia="Arial" w:hAnsi="Arial"/>
          <w:b/>
          <w:bCs/>
          <w:color w:val="1F3864"/>
          <w:sz w:val="30"/>
          <w:szCs w:val="30"/>
        </w:rPr>
        <w:t xml:space="preserve">Plataforma de generación asistida de contenido educativo y evaluaciones a partir del material del docente, interoperable con sistemas de gestión del aprendizaje</w:t>
      </w:r>
    </w:p>
    <w:p>
      <w:pPr>
        <w:spacing w:after="620"/>
        <w:jc w:val="center"/>
      </w:pPr>
      <w:r>
        <w:rPr>
          <w:rFonts w:ascii="Arial" w:cs="Arial" w:eastAsia="Arial" w:hAnsi="Arial"/>
          <w:i/>
          <w:iCs/>
          <w:sz w:val="22"/>
          <w:szCs w:val="22"/>
        </w:rPr>
        <w:t xml:space="preserve">Métricas · Análisis de brechas · Realidad problemática · Problema de investigación · Objetivos</w:t>
      </w:r>
    </w:p>
    <w:p>
      <w:pPr>
        <w:spacing w:after="80"/>
        <w:jc w:val="center"/>
      </w:pPr>
      <w:r>
        <w:rPr>
          <w:rFonts w:ascii="Arial" w:cs="Arial" w:eastAsia="Arial" w:hAnsi="Arial"/>
          <w:b/>
          <w:bCs/>
          <w:sz w:val="22"/>
          <w:szCs w:val="22"/>
        </w:rPr>
        <w:t xml:space="preserve">Integrantes</w:t>
      </w:r>
    </w:p>
    <w:p>
      <w:pPr>
        <w:spacing w:after="40"/>
        <w:jc w:val="center"/>
      </w:pPr>
      <w:r>
        <w:rPr>
          <w:rFonts w:ascii="Arial" w:cs="Arial" w:eastAsia="Arial" w:hAnsi="Arial"/>
          <w:sz w:val="22"/>
          <w:szCs w:val="22"/>
        </w:rPr>
        <w:t xml:space="preserve">Juan Alegria</w:t>
      </w:r>
    </w:p>
    <w:p>
      <w:pPr>
        <w:spacing w:after="40"/>
        <w:jc w:val="center"/>
      </w:pPr>
      <w:r>
        <w:rPr>
          <w:rFonts w:ascii="Arial" w:cs="Arial" w:eastAsia="Arial" w:hAnsi="Arial"/>
          <w:sz w:val="22"/>
          <w:szCs w:val="22"/>
        </w:rPr>
        <w:t xml:space="preserve">Silvana Diaz</w:t>
      </w:r>
    </w:p>
    <w:p>
      <w:pPr>
        <w:spacing w:after="40"/>
        <w:jc w:val="center"/>
      </w:pPr>
      <w:r>
        <w:rPr>
          <w:rFonts w:ascii="Arial" w:cs="Arial" w:eastAsia="Arial" w:hAnsi="Arial"/>
          <w:sz w:val="22"/>
          <w:szCs w:val="22"/>
        </w:rPr>
        <w:t xml:space="preserve">Yan Liu Dai</w:t>
      </w:r>
    </w:p>
    <w:p>
      <w:pPr>
        <w:spacing w:after="40"/>
        <w:jc w:val="center"/>
      </w:pPr>
      <w:r>
        <w:rPr>
          <w:rFonts w:ascii="Arial" w:cs="Arial" w:eastAsia="Arial" w:hAnsi="Arial"/>
          <w:sz w:val="22"/>
          <w:szCs w:val="22"/>
        </w:rPr>
        <w:t xml:space="preserve">Sergio Celi</w:t>
      </w:r>
    </w:p>
    <w:p>
      <w:pPr>
        <w:spacing w:before="620"/>
        <w:jc w:val="center"/>
      </w:pPr>
      <w:r>
        <w:rPr>
          <w:rFonts w:ascii="Arial" w:cs="Arial" w:eastAsia="Arial" w:hAnsi="Arial"/>
          <w:sz w:val="22"/>
          <w:szCs w:val="22"/>
        </w:rPr>
        <w:t xml:space="preserve">Trujillo – Perú, setiembre de 2026</w:t>
      </w:r>
    </w:p>
    <w:p>
      <w:r>
        <w:br w:type="page"/>
      </w:r>
    </w:p>
    <w:p>
      <w:pPr>
        <w:spacing w:after="200"/>
      </w:pPr>
      <w:r>
        <w:rPr>
          <w:rFonts w:ascii="Arial" w:cs="Arial" w:eastAsia="Arial" w:hAnsi="Arial"/>
          <w:b/>
          <w:bCs/>
          <w:color w:val="1F3864"/>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20" w:before="120" w:line="276"/>
        <w:jc w:val="both"/>
      </w:pPr>
      <w:r>
        <w:rPr>
          <w:rFonts w:ascii="Arial" w:cs="Arial" w:eastAsia="Arial" w:hAnsi="Arial"/>
          <w:i/>
          <w:iCs/>
          <w:sz w:val="18"/>
          <w:szCs w:val="18"/>
        </w:rPr>
        <w:t xml:space="preserve">Nota: en Word, clic derecho sobre el índice y «Actualizar campos».</w:t>
      </w:r>
    </w:p>
    <w:p>
      <w:r>
        <w:br w:type="page"/>
      </w:r>
    </w:p>
    <w:p>
      <w:pPr>
        <w:pStyle w:val="Heading1"/>
        <w:spacing w:after="160" w:before="240"/>
      </w:pPr>
      <w:r>
        <w:rPr>
          <w:rFonts w:ascii="Arial" w:cs="Arial" w:eastAsia="Arial" w:hAnsi="Arial"/>
        </w:rPr>
        <w:t xml:space="preserve">1. Presentación del entregable</w:t>
      </w:r>
    </w:p>
    <w:p>
      <w:pPr>
        <w:spacing w:after="120" w:before="0" w:line="276"/>
        <w:jc w:val="both"/>
      </w:pPr>
      <w:r>
        <w:rPr>
          <w:rFonts w:ascii="Arial" w:cs="Arial" w:eastAsia="Arial" w:hAnsi="Arial"/>
          <w:sz w:val="22"/>
          <w:szCs w:val="22"/>
        </w:rPr>
        <w:t xml:space="preserve">Este documento corresponde a la fase de Inception y sigue el esquema indicado en la guía de la Semana 1: identificación de métricas, análisis de brechas, formulación de la realidad problemática en función de los atributos de calidad de software, planteamiento del problema de investigación y definición de los objetivos general y específicos. La matriz operativa de indicadores y el estado del arte se entregan en el documento de la Semana 2.</w:t>
      </w:r>
    </w:p>
    <w:p>
      <w:pPr>
        <w:spacing w:after="120" w:before="0" w:line="276"/>
        <w:jc w:val="both"/>
      </w:pPr>
      <w:r>
        <w:rPr>
          <w:rFonts w:ascii="Arial" w:cs="Arial" w:eastAsia="Arial" w:hAnsi="Arial"/>
          <w:sz w:val="22"/>
          <w:szCs w:val="22"/>
        </w:rPr>
        <w:t xml:space="preserve">Se presenta actualizado según las dos observaciones del docente asesor. La primera exigió una base pedagógica explícita: el proyecto adopta el modelo instruccional de las 5E (Bybee et al., 2006) como estructura de toda secuencia generada. La segunda exigió precisar dónde y cómo se aplica el procesamiento de lenguaje natural: el sistema implementa una arquitectura de generación aumentada por recuperación (RAG) sobre una base de datos vectorial (Lewis et al., 2020), y no una inyección de instrucciones a un modelo general.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EAADB" w:sz="4"/>
              <w:left w:val="single" w:color="8EAADB" w:sz="4"/>
              <w:bottom w:val="single" w:color="8EAADB" w:sz="4"/>
              <w:right w:val="single" w:color="8EAADB" w:sz="4"/>
            </w:tcBorders>
            <w:shd w:fill="1F3864" w:color="auto" w:val="clear"/>
            <w:tcMar>
              <w:top w:type="dxa" w:w="50"/>
              <w:left w:type="dxa" w:w="80"/>
              <w:bottom w:type="dxa" w:w="50"/>
              <w:right w:type="dxa" w:w="80"/>
            </w:tcMar>
          </w:tcPr>
          <w:p>
            <w:pPr>
              <w:spacing w:after="30"/>
              <w:jc w:val="left"/>
            </w:pPr>
            <w:r>
              <w:rPr>
                <w:rFonts w:ascii="Arial" w:cs="Arial" w:eastAsia="Arial" w:hAnsi="Arial"/>
                <w:b/>
                <w:bCs/>
                <w:color w:val="FFFFFF"/>
                <w:sz w:val="18"/>
                <w:szCs w:val="18"/>
              </w:rPr>
              <w:t xml:space="preserve">Elemento</w:t>
            </w:r>
          </w:p>
        </w:tc>
        <w:tc>
          <w:tcPr>
            <w:tcW w:type="dxa" w:w="7038"/>
            <w:tcBorders>
              <w:top w:val="single" w:color="8EAADB" w:sz="4"/>
              <w:left w:val="single" w:color="8EAADB" w:sz="4"/>
              <w:bottom w:val="single" w:color="8EAADB" w:sz="4"/>
              <w:right w:val="single" w:color="8EAADB" w:sz="4"/>
            </w:tcBorders>
            <w:shd w:fill="1F3864" w:color="auto" w:val="clear"/>
            <w:tcMar>
              <w:top w:type="dxa" w:w="50"/>
              <w:left w:type="dxa" w:w="80"/>
              <w:bottom w:type="dxa" w:w="50"/>
              <w:right w:type="dxa" w:w="80"/>
            </w:tcMar>
          </w:tcPr>
          <w:p>
            <w:pPr>
              <w:spacing w:after="30"/>
              <w:jc w:val="left"/>
            </w:pPr>
            <w:r>
              <w:rPr>
                <w:rFonts w:ascii="Arial" w:cs="Arial" w:eastAsia="Arial" w:hAnsi="Arial"/>
                <w:b/>
                <w:bCs/>
                <w:color w:val="FFFFFF"/>
                <w:sz w:val="18"/>
                <w:szCs w:val="18"/>
              </w:rPr>
              <w:t xml:space="preserve">Definición</w:t>
            </w:r>
          </w:p>
        </w:tc>
      </w:tr>
      <w:tr>
        <w:trPr>
          <w:cantSplit/>
          <w:tblHeader w:val="false"/>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Título del proyecto (Taller)</w:t>
            </w:r>
          </w:p>
        </w:tc>
        <w:tc>
          <w:tcPr>
            <w:tcW w:type="dxa" w:w="70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Plataforma de generación asistida de contenido educativo y evaluaciones a partir del material del docente, interoperable con sistemas de gestión del aprendizaje.</w:t>
            </w:r>
          </w:p>
        </w:tc>
      </w:tr>
      <w:tr>
        <w:trPr>
          <w:cantSplit/>
          <w:tblHeader w:val="false"/>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Base pedagógica</w:t>
            </w:r>
          </w:p>
        </w:tc>
        <w:tc>
          <w:tcPr>
            <w:tcW w:type="dxa" w:w="70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Modelo instruccional de las 5E: Engage (enganchar), Explore (explorar), Explain (explicar), Elaborate (elaborar) y Evaluate (evaluar).</w:t>
            </w:r>
          </w:p>
        </w:tc>
      </w:tr>
      <w:tr>
        <w:trPr>
          <w:cantSplit/>
          <w:tblHeader w:val="false"/>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Base técnica</w:t>
            </w:r>
          </w:p>
        </w:tc>
        <w:tc>
          <w:tcPr>
            <w:tcW w:type="dxa" w:w="70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Canal RAG: ingesta, segmentación, vectorización, recuperación híbrida, reordenamiento, generación anclada y verificación de evidencia.</w:t>
            </w:r>
          </w:p>
        </w:tc>
      </w:tr>
      <w:tr>
        <w:trPr>
          <w:cantSplit/>
          <w:tblHeader w:val="false"/>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Atributo de calidad principal</w:t>
            </w:r>
          </w:p>
        </w:tc>
        <w:tc>
          <w:tcPr>
            <w:tcW w:type="dxa" w:w="70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Rendimiento del proceso de elaboración de material didáctico, medido como tiempo docente por recurso de calidad.</w:t>
            </w:r>
          </w:p>
        </w:tc>
      </w:tr>
      <w:tr>
        <w:trPr>
          <w:cantSplit/>
          <w:tblHeader w:val="false"/>
        </w:trPr>
        <w:tc>
          <w:tcPr>
            <w:tcW w:type="dxa" w:w="26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Unidad de trabajo</w:t>
            </w:r>
          </w:p>
        </w:tc>
        <w:tc>
          <w:tcPr>
            <w:tcW w:type="dxa" w:w="70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La unidad del sílabo con sus resultados de aprendizaje, no el curso en abstracto ni el recurso aislado.</w:t>
            </w:r>
          </w:p>
        </w:tc>
      </w:tr>
    </w:tbl>
    <w:p>
      <w:pPr>
        <w:pStyle w:val="Heading1"/>
        <w:spacing w:after="160" w:before="240"/>
      </w:pPr>
      <w:r>
        <w:rPr>
          <w:rFonts w:ascii="Arial" w:cs="Arial" w:eastAsia="Arial" w:hAnsi="Arial"/>
        </w:rPr>
        <w:t xml:space="preserve">2. Métricas identificadas en la investigación</w:t>
      </w:r>
    </w:p>
    <w:p>
      <w:pPr>
        <w:spacing w:after="120" w:before="0" w:line="276"/>
        <w:jc w:val="both"/>
      </w:pPr>
      <w:r>
        <w:rPr>
          <w:rFonts w:ascii="Arial" w:cs="Arial" w:eastAsia="Arial" w:hAnsi="Arial"/>
          <w:sz w:val="22"/>
          <w:szCs w:val="22"/>
        </w:rPr>
        <w:t xml:space="preserve">La revisión confirma que tanto la generación de contenido educativo como la recuperación aumentada cuentan con métricas consolidadas. Alhazmi et al. (2024) organizan la evaluación de la generación de distractores en métricas automáticas y manuales, donde los criterios humanos centrales son la plausibilidad, la fiabilidad y la diversidad. La psicometría clásica aporta los índices que determinan si un ítem funciona con estudiantes reales (Testa et al., 2018; Rezigalla et al., 2024). Del lado de la arquitectura, la evaluación de sistemas RAG se apoya en métricas de recuperación y en marcos de verificación de anclaje como el propuesto por Es et al. (2024), mientras que la literatura sobre alucinación en generación de lenguaje natural (Ji et al., 2023) fundamenta la necesidad de medir qué proporción del contenido generado está respaldada por la evidencia.</w:t>
      </w:r>
    </w:p>
    <w:p>
      <w:pPr>
        <w:spacing w:after="60" w:before="0" w:line="276"/>
        <w:jc w:val="left"/>
      </w:pPr>
      <w:r>
        <w:rPr>
          <w:rFonts w:ascii="Arial" w:cs="Arial" w:eastAsia="Arial" w:hAnsi="Arial"/>
          <w:b/>
          <w:bCs/>
          <w:sz w:val="20"/>
          <w:szCs w:val="20"/>
        </w:rPr>
        <w:t xml:space="preserve">Tabla 1.</w:t>
      </w:r>
      <w:r>
        <w:rPr>
          <w:rFonts w:ascii="Arial" w:cs="Arial" w:eastAsia="Arial" w:hAnsi="Arial"/>
          <w:sz w:val="20"/>
          <w:szCs w:val="20"/>
        </w:rPr>
        <w:t xml:space="preserve"> Familias de métricas aplicables al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38"/>
      </w:tblGrid>
      <w:tr>
        <w:trPr>
          <w:cantSplit/>
          <w:tblHeader/>
        </w:trPr>
        <w:tc>
          <w:tcPr>
            <w:tcW w:type="dxa" w:w="2200"/>
            <w:tcBorders>
              <w:top w:val="single" w:color="8EAADB" w:sz="4"/>
              <w:left w:val="single" w:color="8EAADB" w:sz="4"/>
              <w:bottom w:val="single" w:color="8EAADB" w:sz="4"/>
              <w:right w:val="single" w:color="8EAADB" w:sz="4"/>
            </w:tcBorders>
            <w:shd w:fill="1F3864" w:color="auto" w:val="clear"/>
            <w:tcMar>
              <w:top w:type="dxa" w:w="50"/>
              <w:left w:type="dxa" w:w="80"/>
              <w:bottom w:type="dxa" w:w="50"/>
              <w:right w:type="dxa" w:w="80"/>
            </w:tcMar>
          </w:tcPr>
          <w:p>
            <w:pPr>
              <w:spacing w:after="30"/>
              <w:jc w:val="left"/>
            </w:pPr>
            <w:r>
              <w:rPr>
                <w:rFonts w:ascii="Arial" w:cs="Arial" w:eastAsia="Arial" w:hAnsi="Arial"/>
                <w:b/>
                <w:bCs/>
                <w:color w:val="FFFFFF"/>
                <w:sz w:val="17"/>
                <w:szCs w:val="17"/>
              </w:rPr>
              <w:t xml:space="preserve">Familia</w:t>
            </w:r>
          </w:p>
        </w:tc>
        <w:tc>
          <w:tcPr>
            <w:tcW w:type="dxa" w:w="3300"/>
            <w:tcBorders>
              <w:top w:val="single" w:color="8EAADB" w:sz="4"/>
              <w:left w:val="single" w:color="8EAADB" w:sz="4"/>
              <w:bottom w:val="single" w:color="8EAADB" w:sz="4"/>
              <w:right w:val="single" w:color="8EAADB" w:sz="4"/>
            </w:tcBorders>
            <w:shd w:fill="1F3864" w:color="auto" w:val="clear"/>
            <w:tcMar>
              <w:top w:type="dxa" w:w="50"/>
              <w:left w:type="dxa" w:w="80"/>
              <w:bottom w:type="dxa" w:w="50"/>
              <w:right w:type="dxa" w:w="80"/>
            </w:tcMar>
          </w:tcPr>
          <w:p>
            <w:pPr>
              <w:spacing w:after="30"/>
              <w:jc w:val="left"/>
            </w:pPr>
            <w:r>
              <w:rPr>
                <w:rFonts w:ascii="Arial" w:cs="Arial" w:eastAsia="Arial" w:hAnsi="Arial"/>
                <w:b/>
                <w:bCs/>
                <w:color w:val="FFFFFF"/>
                <w:sz w:val="17"/>
                <w:szCs w:val="17"/>
              </w:rPr>
              <w:t xml:space="preserve">Métricas</w:t>
            </w:r>
          </w:p>
        </w:tc>
        <w:tc>
          <w:tcPr>
            <w:tcW w:type="dxa" w:w="4138"/>
            <w:tcBorders>
              <w:top w:val="single" w:color="8EAADB" w:sz="4"/>
              <w:left w:val="single" w:color="8EAADB" w:sz="4"/>
              <w:bottom w:val="single" w:color="8EAADB" w:sz="4"/>
              <w:right w:val="single" w:color="8EAADB" w:sz="4"/>
            </w:tcBorders>
            <w:shd w:fill="1F3864" w:color="auto" w:val="clear"/>
            <w:tcMar>
              <w:top w:type="dxa" w:w="50"/>
              <w:left w:type="dxa" w:w="80"/>
              <w:bottom w:type="dxa" w:w="50"/>
              <w:right w:type="dxa" w:w="80"/>
            </w:tcMar>
          </w:tcPr>
          <w:p>
            <w:pPr>
              <w:spacing w:after="30"/>
              <w:jc w:val="left"/>
            </w:pPr>
            <w:r>
              <w:rPr>
                <w:rFonts w:ascii="Arial" w:cs="Arial" w:eastAsia="Arial" w:hAnsi="Arial"/>
                <w:b/>
                <w:bCs/>
                <w:color w:val="FFFFFF"/>
                <w:sz w:val="17"/>
                <w:szCs w:val="17"/>
              </w:rPr>
              <w:t xml:space="preserve">Qué mide y por qué se usa aquí</w:t>
            </w:r>
          </w:p>
        </w:tc>
      </w:tr>
      <w:tr>
        <w:trPr>
          <w:cantSplit/>
          <w:tblHeader w:val="false"/>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1. Recuperación (RAG)</w:t>
            </w:r>
          </w:p>
        </w:tc>
        <w:tc>
          <w:tcPr>
            <w:tcW w:type="dxa" w:w="33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recall@k, precisión media, MRR, cobertura del corpus</w:t>
            </w:r>
          </w:p>
        </w:tc>
        <w:tc>
          <w:tcPr>
            <w:tcW w:type="dxa" w:w="41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Si el sistema encuentra en el material del docente los fragmentos realmente pertinentes. Es la condición previa de toda la generación: sin buena recuperación, la generación no puede ser correcta.</w:t>
            </w:r>
          </w:p>
        </w:tc>
      </w:tr>
      <w:tr>
        <w:trPr>
          <w:cantSplit/>
          <w:tblHeader w:val="false"/>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2. Anclaje y veracidad</w:t>
            </w:r>
          </w:p>
        </w:tc>
        <w:tc>
          <w:tcPr>
            <w:tcW w:type="dxa" w:w="33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Tasa de alucinación, trazabilidad de afirmaciones, fidelidad respuesta-contexto</w:t>
            </w:r>
          </w:p>
        </w:tc>
        <w:tc>
          <w:tcPr>
            <w:tcW w:type="dxa" w:w="41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Qué proporción del contenido generado está respaldada por los fragmentos recuperados. Ji et al. (2023) identifican la alucinación como el problema central de la generación de lenguaje natural; en educación es además un riesgo de aprendizaje.</w:t>
            </w:r>
          </w:p>
        </w:tc>
      </w:tr>
      <w:tr>
        <w:trPr>
          <w:cantSplit/>
          <w:tblHeader w:val="false"/>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3. Coincidencia y ranking</w:t>
            </w:r>
          </w:p>
        </w:tc>
        <w:tc>
          <w:tcPr>
            <w:tcW w:type="dxa" w:w="33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P@1, P@3, R@3, F1@3, MRR@10, NDCG@10</w:t>
            </w:r>
          </w:p>
        </w:tc>
        <w:tc>
          <w:tcPr>
            <w:tcW w:type="dxa" w:w="41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Grado en que los distractores generados coinciden con los que escribiría un docente. Protocolo usado por Ren y Zhu (2021), Chiang et al. (2022) y Yu et al. (2024).</w:t>
            </w:r>
          </w:p>
        </w:tc>
      </w:tr>
      <w:tr>
        <w:trPr>
          <w:cantSplit/>
          <w:tblHeader w:val="false"/>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4. Léxicas y semánticas</w:t>
            </w:r>
          </w:p>
        </w:tc>
        <w:tc>
          <w:tcPr>
            <w:tcW w:type="dxa" w:w="33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BLEU, ROUGE-L, METEOR, Self-BLEU, similitud coseno</w:t>
            </w:r>
          </w:p>
        </w:tc>
        <w:tc>
          <w:tcPr>
            <w:tcW w:type="dxa" w:w="41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Solapamiento de palabras y cercanía de significado. Alhazmi et al. (2024) advierten que la falta de coincidencia léxica puede ocultar distractores válidos, por lo que se usan como apoyo para diversidad y detección de duplicados.</w:t>
            </w:r>
          </w:p>
        </w:tc>
      </w:tr>
      <w:tr>
        <w:trPr>
          <w:cantSplit/>
          <w:tblHeader w:val="false"/>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5. Evaluación experta</w:t>
            </w:r>
          </w:p>
        </w:tc>
        <w:tc>
          <w:tcPr>
            <w:tcW w:type="dxa" w:w="33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Plausibilidad, fiabilidad, fluidez, coherencia, tasa de distractores sin sentido (NDR), kappa de Cohen</w:t>
            </w:r>
          </w:p>
        </w:tc>
        <w:tc>
          <w:tcPr>
            <w:tcW w:type="dxa" w:w="41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Juicio docente sobre la utilidad real del recurso y sobre su correspondencia con la etapa 5E que dice cumplir. Bitew et al. (2023) reportan el porcentaje de distractores aptos para uso inmediato; Landis y Koch (1977) fijan la interpretación de la concordancia.</w:t>
            </w:r>
          </w:p>
        </w:tc>
      </w:tr>
      <w:tr>
        <w:trPr>
          <w:cantSplit/>
          <w:tblHeader w:val="false"/>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6. Psicometría clásica</w:t>
            </w:r>
          </w:p>
        </w:tc>
        <w:tc>
          <w:tcPr>
            <w:tcW w:type="dxa" w:w="33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Índice de dificultad (p), discriminación, correlación punto-biserial, eficiencia de distractores (umbral de 5 %), KR-20</w:t>
            </w:r>
          </w:p>
        </w:tc>
        <w:tc>
          <w:tcPr>
            <w:tcW w:type="dxa" w:w="41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Comportamiento de los ítems con estudiantes reales. Un distractor se considera funcional cuando lo elige al menos el 5 % de los evaluados (Testa et al., 2018; Rezigalla et al., 2024).</w:t>
            </w:r>
          </w:p>
        </w:tc>
      </w:tr>
      <w:tr>
        <w:trPr>
          <w:cantSplit/>
          <w:tblHeader w:val="false"/>
        </w:trPr>
        <w:tc>
          <w:tcPr>
            <w:tcW w:type="dxa" w:w="22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7. Eficiencia docente, interoperabilidad y calidad de software</w:t>
            </w:r>
          </w:p>
        </w:tc>
        <w:tc>
          <w:tcPr>
            <w:tcW w:type="dxa" w:w="33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Tiempo por recurso, tasa de aceptación, conformidad con el estándar, importación exitosa, portabilidad, latencia, SUS, disponibilidad, vulnerabilidades</w:t>
            </w:r>
          </w:p>
        </w:tc>
        <w:tc>
          <w:tcPr>
            <w:tcW w:type="dxa" w:w="41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7"/>
                <w:szCs w:val="17"/>
              </w:rPr>
              <w:t xml:space="preserve">Impacto en el trabajo del docente, capacidad de publicar en cualquier LMS compatible y atributos de calidad exigidos por la guía de la Semana 1.</w:t>
            </w:r>
          </w:p>
        </w:tc>
      </w:tr>
    </w:tbl>
    <w:p>
      <w:pPr>
        <w:sectPr>
          <w:footerReference w:type="default" r:id="rId7"/>
          <w:pgSz w:w="11906" w:h="16838" w:orient="portrait"/>
          <w:pgMar w:top="1134" w:right="1134" w:bottom="1134" w:left="1134" w:header="708" w:footer="708" w:gutter="0"/>
          <w:pgNumType/>
          <w:docGrid w:linePitch="360"/>
        </w:sectPr>
      </w:pPr>
    </w:p>
    <w:p>
      <w:pPr>
        <w:pStyle w:val="Heading1"/>
        <w:spacing w:after="160" w:before="240"/>
      </w:pPr>
      <w:r>
        <w:rPr>
          <w:rFonts w:ascii="Arial" w:cs="Arial" w:eastAsia="Arial" w:hAnsi="Arial"/>
        </w:rPr>
        <w:t xml:space="preserve">3. Análisis de brechas</w:t>
      </w:r>
    </w:p>
    <w:p>
      <w:pPr>
        <w:spacing w:after="120" w:before="0" w:line="276"/>
        <w:jc w:val="both"/>
      </w:pPr>
      <w:r>
        <w:rPr>
          <w:rFonts w:ascii="Arial" w:cs="Arial" w:eastAsia="Arial" w:hAnsi="Arial"/>
          <w:sz w:val="22"/>
          <w:szCs w:val="22"/>
        </w:rPr>
        <w:t xml:space="preserve">El análisis contrasta la situación actual (AS-IS) con el referente del estado del arte y la situación deseada (TO-BE). Las brechas 1 a 6 corresponden al problema original de elaboración de evaluaciones; las brechas 7 a 9 se incorporan con la base pedagógica 5E y la arquitectura RAG; las brechas 10 a 12 corresponden a la interoperabilidad y a los atributos de calidad del software. Al iniciar el proyecto, la situación actual se describe con evidencia de la literatura; la línea base local se mide en el Sprint 1.</w:t>
      </w:r>
    </w:p>
    <w:p>
      <w:pPr>
        <w:spacing w:after="60" w:before="0" w:line="276"/>
        <w:jc w:val="left"/>
      </w:pPr>
      <w:r>
        <w:rPr>
          <w:rFonts w:ascii="Arial" w:cs="Arial" w:eastAsia="Arial" w:hAnsi="Arial"/>
          <w:b/>
          <w:bCs/>
          <w:sz w:val="20"/>
          <w:szCs w:val="20"/>
        </w:rPr>
        <w:t xml:space="preserve">Tabla 2.</w:t>
      </w:r>
      <w:r>
        <w:rPr>
          <w:rFonts w:ascii="Arial" w:cs="Arial" w:eastAsia="Arial" w:hAnsi="Arial"/>
          <w:sz w:val="20"/>
          <w:szCs w:val="20"/>
        </w:rPr>
        <w:t xml:space="preserve"> Matriz de análisis de brechas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2900"/>
        <w:gridCol w:w="2450"/>
        <w:gridCol w:w="3070"/>
        <w:gridCol w:w="1400"/>
      </w:tblGrid>
      <w:tr>
        <w:trPr>
          <w:cantSplit/>
          <w:tblHeader/>
        </w:trPr>
        <w:tc>
          <w:tcPr>
            <w:tcW w:type="dxa" w:w="1750"/>
            <w:tcBorders>
              <w:top w:val="single" w:color="8EAADB" w:sz="4"/>
              <w:left w:val="single" w:color="8EAADB" w:sz="4"/>
              <w:bottom w:val="single" w:color="8EAADB" w:sz="4"/>
              <w:right w:val="single" w:color="8EAADB" w:sz="4"/>
            </w:tcBorders>
            <w:shd w:fill="1F3864" w:color="auto" w:val="clear"/>
            <w:tcMar>
              <w:top w:type="dxa" w:w="50"/>
              <w:left w:type="dxa" w:w="80"/>
              <w:bottom w:type="dxa" w:w="50"/>
              <w:right w:type="dxa" w:w="80"/>
            </w:tcMar>
          </w:tcPr>
          <w:p>
            <w:pPr>
              <w:spacing w:after="30"/>
              <w:jc w:val="left"/>
            </w:pPr>
            <w:r>
              <w:rPr>
                <w:rFonts w:ascii="Arial" w:cs="Arial" w:eastAsia="Arial" w:hAnsi="Arial"/>
                <w:b/>
                <w:bCs/>
                <w:color w:val="FFFFFF"/>
                <w:sz w:val="15"/>
                <w:szCs w:val="15"/>
              </w:rPr>
              <w:t xml:space="preserve">N.º / Dimensión</w:t>
            </w:r>
          </w:p>
        </w:tc>
        <w:tc>
          <w:tcPr>
            <w:tcW w:type="dxa" w:w="3000"/>
            <w:tcBorders>
              <w:top w:val="single" w:color="8EAADB" w:sz="4"/>
              <w:left w:val="single" w:color="8EAADB" w:sz="4"/>
              <w:bottom w:val="single" w:color="8EAADB" w:sz="4"/>
              <w:right w:val="single" w:color="8EAADB" w:sz="4"/>
            </w:tcBorders>
            <w:shd w:fill="1F3864" w:color="auto" w:val="clear"/>
            <w:tcMar>
              <w:top w:type="dxa" w:w="50"/>
              <w:left w:type="dxa" w:w="80"/>
              <w:bottom w:type="dxa" w:w="50"/>
              <w:right w:type="dxa" w:w="80"/>
            </w:tcMar>
          </w:tcPr>
          <w:p>
            <w:pPr>
              <w:spacing w:after="30"/>
              <w:jc w:val="left"/>
            </w:pPr>
            <w:r>
              <w:rPr>
                <w:rFonts w:ascii="Arial" w:cs="Arial" w:eastAsia="Arial" w:hAnsi="Arial"/>
                <w:b/>
                <w:bCs/>
                <w:color w:val="FFFFFF"/>
                <w:sz w:val="15"/>
                <w:szCs w:val="15"/>
              </w:rPr>
              <w:t xml:space="preserve">Situación actual (AS-IS)</w:t>
            </w:r>
          </w:p>
        </w:tc>
        <w:tc>
          <w:tcPr>
            <w:tcW w:type="dxa" w:w="2900"/>
            <w:tcBorders>
              <w:top w:val="single" w:color="8EAADB" w:sz="4"/>
              <w:left w:val="single" w:color="8EAADB" w:sz="4"/>
              <w:bottom w:val="single" w:color="8EAADB" w:sz="4"/>
              <w:right w:val="single" w:color="8EAADB" w:sz="4"/>
            </w:tcBorders>
            <w:shd w:fill="1F3864" w:color="auto" w:val="clear"/>
            <w:tcMar>
              <w:top w:type="dxa" w:w="50"/>
              <w:left w:type="dxa" w:w="80"/>
              <w:bottom w:type="dxa" w:w="50"/>
              <w:right w:type="dxa" w:w="80"/>
            </w:tcMar>
          </w:tcPr>
          <w:p>
            <w:pPr>
              <w:spacing w:after="30"/>
              <w:jc w:val="left"/>
            </w:pPr>
            <w:r>
              <w:rPr>
                <w:rFonts w:ascii="Arial" w:cs="Arial" w:eastAsia="Arial" w:hAnsi="Arial"/>
                <w:b/>
                <w:bCs/>
                <w:color w:val="FFFFFF"/>
                <w:sz w:val="15"/>
                <w:szCs w:val="15"/>
              </w:rPr>
              <w:t xml:space="preserve">Referente / situación deseada (TO-BE)</w:t>
            </w:r>
          </w:p>
        </w:tc>
        <w:tc>
          <w:tcPr>
            <w:tcW w:type="dxa" w:w="2450"/>
            <w:tcBorders>
              <w:top w:val="single" w:color="8EAADB" w:sz="4"/>
              <w:left w:val="single" w:color="8EAADB" w:sz="4"/>
              <w:bottom w:val="single" w:color="8EAADB" w:sz="4"/>
              <w:right w:val="single" w:color="8EAADB" w:sz="4"/>
            </w:tcBorders>
            <w:shd w:fill="1F3864" w:color="auto" w:val="clear"/>
            <w:tcMar>
              <w:top w:type="dxa" w:w="50"/>
              <w:left w:type="dxa" w:w="80"/>
              <w:bottom w:type="dxa" w:w="50"/>
              <w:right w:type="dxa" w:w="80"/>
            </w:tcMar>
          </w:tcPr>
          <w:p>
            <w:pPr>
              <w:spacing w:after="30"/>
              <w:jc w:val="left"/>
            </w:pPr>
            <w:r>
              <w:rPr>
                <w:rFonts w:ascii="Arial" w:cs="Arial" w:eastAsia="Arial" w:hAnsi="Arial"/>
                <w:b/>
                <w:bCs/>
                <w:color w:val="FFFFFF"/>
                <w:sz w:val="15"/>
                <w:szCs w:val="15"/>
              </w:rPr>
              <w:t xml:space="preserve">Brecha identificada</w:t>
            </w:r>
          </w:p>
        </w:tc>
        <w:tc>
          <w:tcPr>
            <w:tcW w:type="dxa" w:w="3070"/>
            <w:tcBorders>
              <w:top w:val="single" w:color="8EAADB" w:sz="4"/>
              <w:left w:val="single" w:color="8EAADB" w:sz="4"/>
              <w:bottom w:val="single" w:color="8EAADB" w:sz="4"/>
              <w:right w:val="single" w:color="8EAADB" w:sz="4"/>
            </w:tcBorders>
            <w:shd w:fill="1F3864" w:color="auto" w:val="clear"/>
            <w:tcMar>
              <w:top w:type="dxa" w:w="50"/>
              <w:left w:type="dxa" w:w="80"/>
              <w:bottom w:type="dxa" w:w="50"/>
              <w:right w:type="dxa" w:w="80"/>
            </w:tcMar>
          </w:tcPr>
          <w:p>
            <w:pPr>
              <w:spacing w:after="30"/>
              <w:jc w:val="left"/>
            </w:pPr>
            <w:r>
              <w:rPr>
                <w:rFonts w:ascii="Arial" w:cs="Arial" w:eastAsia="Arial" w:hAnsi="Arial"/>
                <w:b/>
                <w:bCs/>
                <w:color w:val="FFFFFF"/>
                <w:sz w:val="15"/>
                <w:szCs w:val="15"/>
              </w:rPr>
              <w:t xml:space="preserve">Acción de cierre</w:t>
            </w:r>
          </w:p>
        </w:tc>
        <w:tc>
          <w:tcPr>
            <w:tcW w:type="dxa" w:w="1400"/>
            <w:tcBorders>
              <w:top w:val="single" w:color="8EAADB" w:sz="4"/>
              <w:left w:val="single" w:color="8EAADB" w:sz="4"/>
              <w:bottom w:val="single" w:color="8EAADB" w:sz="4"/>
              <w:right w:val="single" w:color="8EAADB" w:sz="4"/>
            </w:tcBorders>
            <w:shd w:fill="1F3864" w:color="auto" w:val="clear"/>
            <w:tcMar>
              <w:top w:type="dxa" w:w="50"/>
              <w:left w:type="dxa" w:w="80"/>
              <w:bottom w:type="dxa" w:w="50"/>
              <w:right w:type="dxa" w:w="80"/>
            </w:tcMar>
          </w:tcPr>
          <w:p>
            <w:pPr>
              <w:spacing w:after="30"/>
              <w:jc w:val="left"/>
            </w:pPr>
            <w:r>
              <w:rPr>
                <w:rFonts w:ascii="Arial" w:cs="Arial" w:eastAsia="Arial" w:hAnsi="Arial"/>
                <w:b/>
                <w:bCs/>
                <w:color w:val="FFFFFF"/>
                <w:sz w:val="15"/>
                <w:szCs w:val="15"/>
              </w:rPr>
              <w:t xml:space="preserve">Indicador</w:t>
            </w:r>
          </w:p>
        </w:tc>
      </w:tr>
      <w:tr>
        <w:trPr>
          <w:cantSplit/>
          <w:tblHeader w:val="false"/>
        </w:trPr>
        <w:tc>
          <w:tcPr>
            <w:tcW w:type="dxa" w:w="175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1. Tiempo de elaboración</w:t>
            </w:r>
          </w:p>
        </w:tc>
        <w:tc>
          <w:tcPr>
            <w:tcW w:type="dxa" w:w="30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Redacción manual. La literatura reporta desde ~4 min por ítem (211 min por 50 preguntas; Cheung et al., 2023) hasta 52 min por primer borrador (Meazure Learning, 2022). No existe línea base local.</w:t>
            </w:r>
          </w:p>
        </w:tc>
        <w:tc>
          <w:tcPr>
            <w:tcW w:type="dxa" w:w="29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Generación asistida con revisión docente; en Cheung et al. (2023) el modelo produjo 50 preguntas en ~20 min.</w:t>
            </w:r>
          </w:p>
        </w:tc>
        <w:tc>
          <w:tcPr>
            <w:tcW w:type="dxa" w:w="245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Costo de tiempo elevado y sin medición local que permita comparar.</w:t>
            </w:r>
          </w:p>
        </w:tc>
        <w:tc>
          <w:tcPr>
            <w:tcW w:type="dxa" w:w="307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Cronometrar el flujo manual con docentes voluntarios en el Sprint 1 y el flujo asistido en el piloto.</w:t>
            </w:r>
          </w:p>
        </w:tc>
        <w:tc>
          <w:tcPr>
            <w:tcW w:type="dxa" w:w="14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I1</w:t>
            </w:r>
          </w:p>
        </w:tc>
      </w:tr>
      <w:tr>
        <w:trPr>
          <w:cantSplit/>
          <w:tblHeader w:val="false"/>
        </w:trPr>
        <w:tc>
          <w:tcPr>
            <w:tcW w:type="dxa" w:w="175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2. Funcionalidad de los distractores</w:t>
            </w:r>
          </w:p>
        </w:tc>
        <w:tc>
          <w:tcPr>
            <w:tcW w:type="dxa" w:w="30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En un banco manual de 514 ítems, solo ~52 % de los distractores funcionaba (Research Square, 2019).</w:t>
            </w:r>
          </w:p>
        </w:tc>
        <w:tc>
          <w:tcPr>
            <w:tcW w:type="dxa" w:w="29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En un banco de estadística, 74,6 % de los distractores superó el 5 % de elección (Testa et al., 2018).</w:t>
            </w:r>
          </w:p>
        </w:tc>
        <w:tc>
          <w:tcPr>
            <w:tcW w:type="dxa" w:w="245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Entre 13 y 22 puntos porcentuales por debajo de un banco de buena calidad.</w:t>
            </w:r>
          </w:p>
        </w:tc>
        <w:tc>
          <w:tcPr>
            <w:tcW w:type="dxa" w:w="307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Recuperar conceptos hermanos del corpus por vecindad vectorial y verificar con análisis de ítems.</w:t>
            </w:r>
          </w:p>
        </w:tc>
        <w:tc>
          <w:tcPr>
            <w:tcW w:type="dxa" w:w="14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I8, I9, I10</w:t>
            </w:r>
          </w:p>
        </w:tc>
      </w:tr>
      <w:tr>
        <w:trPr>
          <w:cantSplit/>
          <w:tblHeader w:val="false"/>
        </w:trPr>
        <w:tc>
          <w:tcPr>
            <w:tcW w:type="dxa" w:w="175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3. Utilidad directa del contenido generado</w:t>
            </w:r>
          </w:p>
        </w:tc>
        <w:tc>
          <w:tcPr>
            <w:tcW w:type="dxa" w:w="30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Sistemas previos a los modelos de lenguaje llegaron a ~50 % de distractores sin sentido; con prompting predictivo, 53 % resultó apto para uso inmediato (Bitew et al., 2023).</w:t>
            </w:r>
          </w:p>
        </w:tc>
        <w:tc>
          <w:tcPr>
            <w:tcW w:type="dxa" w:w="29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Contenido mayoritariamente aprovechable sin edición, con rechazo automático de lo implausible.</w:t>
            </w:r>
          </w:p>
        </w:tc>
        <w:tc>
          <w:tcPr>
            <w:tcW w:type="dxa" w:w="245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Falta de un motor anclado al material que filtre lo absurdo y lo que en realidad es correcto.</w:t>
            </w:r>
          </w:p>
        </w:tc>
        <w:tc>
          <w:tcPr>
            <w:tcW w:type="dxa" w:w="307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Canal RAG con filtro de fiabilidad y revisión human-in-the-loop.</w:t>
            </w:r>
          </w:p>
        </w:tc>
        <w:tc>
          <w:tcPr>
            <w:tcW w:type="dxa" w:w="14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I2, I3, I5</w:t>
            </w:r>
          </w:p>
        </w:tc>
      </w:tr>
      <w:tr>
        <w:trPr>
          <w:cantSplit/>
          <w:tblHeader w:val="false"/>
        </w:trPr>
        <w:tc>
          <w:tcPr>
            <w:tcW w:type="dxa" w:w="175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4. Precisión frente a referencia</w:t>
            </w:r>
          </w:p>
        </w:tc>
        <w:tc>
          <w:tcPr>
            <w:tcW w:type="dxa" w:w="30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No existe conjunto de referencia en español para los cursos objetivo.</w:t>
            </w:r>
          </w:p>
        </w:tc>
        <w:tc>
          <w:tcPr>
            <w:tcW w:type="dxa" w:w="29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F1@3 ≈ 16,5 en SciQ y MCQ (Yu et al., 2024); NDCG@10 = 34,17 en DGen (Chiang et al., 2022), en inglés.</w:t>
            </w:r>
          </w:p>
        </w:tc>
        <w:tc>
          <w:tcPr>
            <w:tcW w:type="dxa" w:w="245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Sin conjunto gold propio no hay forma de comparar el motor con el estado del arte.</w:t>
            </w:r>
          </w:p>
        </w:tc>
        <w:tc>
          <w:tcPr>
            <w:tcW w:type="dxa" w:w="307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Construir un conjunto de referencia de ≥ 150 ítems y superar la línea base de solo embeddings.</w:t>
            </w:r>
          </w:p>
        </w:tc>
        <w:tc>
          <w:tcPr>
            <w:tcW w:type="dxa" w:w="14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I6, I7</w:t>
            </w:r>
          </w:p>
        </w:tc>
      </w:tr>
      <w:tr>
        <w:trPr>
          <w:cantSplit/>
          <w:tblHeader w:val="false"/>
        </w:trPr>
        <w:tc>
          <w:tcPr>
            <w:tcW w:type="dxa" w:w="175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5. Idioma y dominio</w:t>
            </w:r>
          </w:p>
        </w:tc>
        <w:tc>
          <w:tcPr>
            <w:tcW w:type="dxa" w:w="30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La revisión de Alhazmi et al. (2024) cubre preguntas en inglés; en español hay aportes aislados con word embeddings (Ramos Alvarez et al., 2024) y con modelos T5 (Rodriguez-Torrealba et al., 2022).</w:t>
            </w:r>
          </w:p>
        </w:tc>
        <w:tc>
          <w:tcPr>
            <w:tcW w:type="dxa" w:w="29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Motor que opere en español sobre contenidos universitarios de ingeniería.</w:t>
            </w:r>
          </w:p>
        </w:tc>
        <w:tc>
          <w:tcPr>
            <w:tcW w:type="dxa" w:w="245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Escasez de modelos y datos evaluados en español para este dominio.</w:t>
            </w:r>
          </w:p>
        </w:tc>
        <w:tc>
          <w:tcPr>
            <w:tcW w:type="dxa" w:w="307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Embeddings multilingües (Chen et al., 2024) y uso del corpus del propio docente como fuente de candidatos.</w:t>
            </w:r>
          </w:p>
        </w:tc>
        <w:tc>
          <w:tcPr>
            <w:tcW w:type="dxa" w:w="14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I6, I20</w:t>
            </w:r>
          </w:p>
        </w:tc>
      </w:tr>
      <w:tr>
        <w:trPr>
          <w:cantSplit/>
          <w:tblHeader w:val="false"/>
        </w:trPr>
        <w:tc>
          <w:tcPr>
            <w:tcW w:type="dxa" w:w="175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6. Confiabilidad de la validación humana</w:t>
            </w:r>
          </w:p>
        </w:tc>
        <w:tc>
          <w:tcPr>
            <w:tcW w:type="dxa" w:w="30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La concordancia entre expertos al valorar ítems puede ser muy baja (ICC 0,07–0,18; Linde et al., 2026).</w:t>
            </w:r>
          </w:p>
        </w:tc>
        <w:tc>
          <w:tcPr>
            <w:tcW w:type="dxa" w:w="29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Rúbrica con criterios operacionales y doble anotación; κ ≥ 0,41, acuerdo moderado (Landis y Koch, 1977).</w:t>
            </w:r>
          </w:p>
        </w:tc>
        <w:tc>
          <w:tcPr>
            <w:tcW w:type="dxa" w:w="245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Riesgo de que la evaluación experta sea subjetiva y no replicable.</w:t>
            </w:r>
          </w:p>
        </w:tc>
        <w:tc>
          <w:tcPr>
            <w:tcW w:type="dxa" w:w="307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Diseñar y validar la rúbrica por etapa 5E en el Sprint 1, con doble anotación en una muestra.</w:t>
            </w:r>
          </w:p>
        </w:tc>
        <w:tc>
          <w:tcPr>
            <w:tcW w:type="dxa" w:w="14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I4</w:t>
            </w:r>
          </w:p>
        </w:tc>
      </w:tr>
      <w:tr>
        <w:trPr>
          <w:cantSplit/>
          <w:tblHeader w:val="false"/>
        </w:trPr>
        <w:tc>
          <w:tcPr>
            <w:tcW w:type="dxa" w:w="175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7. Ausencia de secuencia pedagógica</w:t>
            </w:r>
          </w:p>
        </w:tc>
        <w:tc>
          <w:tcPr>
            <w:tcW w:type="dxa" w:w="30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Las herramientas asistidas por IA generan recursos sueltos, sin un modelo instruccional que ordene la progresión del aprendizaje.</w:t>
            </w:r>
          </w:p>
        </w:tc>
        <w:tc>
          <w:tcPr>
            <w:tcW w:type="dxa" w:w="29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Secuencia conforme al modelo 5E, cuya efectividad sobre el logro de aprendizaje está documentada en revisiones sistemáticas y metaanálisis (Bybee et al., 2006; Polanin et al., 2024).</w:t>
            </w:r>
          </w:p>
        </w:tc>
        <w:tc>
          <w:tcPr>
            <w:tcW w:type="dxa" w:w="245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El contenido generado carece de intención pedagógica declarada y verificable por etapa.</w:t>
            </w:r>
          </w:p>
        </w:tc>
        <w:tc>
          <w:tcPr>
            <w:tcW w:type="dxa" w:w="307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Orquestador que planifica las cinco etapas por unidad y rúbrica de validación por etapa.</w:t>
            </w:r>
          </w:p>
        </w:tc>
        <w:tc>
          <w:tcPr>
            <w:tcW w:type="dxa" w:w="14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I4, I23</w:t>
            </w:r>
          </w:p>
        </w:tc>
      </w:tr>
      <w:tr>
        <w:trPr>
          <w:cantSplit/>
          <w:tblHeader w:val="false"/>
        </w:trPr>
        <w:tc>
          <w:tcPr>
            <w:tcW w:type="dxa" w:w="175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8. Generación sin recuperación de evidencia</w:t>
            </w:r>
          </w:p>
        </w:tc>
        <w:tc>
          <w:tcPr>
            <w:tcW w:type="dxa" w:w="30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Los sistemas basados solo en instrucciones al modelo dependen de su memoria paramétrica; la alucinación es un problema central de la generación de lenguaje natural (Ji et al., 2023) y un riesgo de aprendizaje cuando el estudiante no puede detectar el error.</w:t>
            </w:r>
          </w:p>
        </w:tc>
        <w:tc>
          <w:tcPr>
            <w:tcW w:type="dxa" w:w="29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Generación condicionada por evidencia recuperada del propio material (Lewis et al., 2020). En un tutor universitario con RAG, solo 1,5 % de las respuestas resultó incorrecta y 16,5 % quedó fuera del contexto provisto (estudio piloto, 2025).</w:t>
            </w:r>
          </w:p>
        </w:tc>
        <w:tc>
          <w:tcPr>
            <w:tcW w:type="dxa" w:w="245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El contenido no es trazable ni auditable por el docente y puede introducir errores en el material del curso.</w:t>
            </w:r>
          </w:p>
        </w:tc>
        <w:tc>
          <w:tcPr>
            <w:tcW w:type="dxa" w:w="307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Canal RAG con citación obligatoria por afirmación, verificación de anclaje y rechazo por evidencia insuficiente.</w:t>
            </w:r>
          </w:p>
        </w:tc>
        <w:tc>
          <w:tcPr>
            <w:tcW w:type="dxa" w:w="14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I20, I21, I22</w:t>
            </w:r>
          </w:p>
        </w:tc>
      </w:tr>
      <w:tr>
        <w:trPr>
          <w:cantSplit/>
          <w:tblHeader w:val="false"/>
        </w:trPr>
        <w:tc>
          <w:tcPr>
            <w:tcW w:type="dxa" w:w="175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9. Ausencia de memoria entre recursos</w:t>
            </w:r>
          </w:p>
        </w:tc>
        <w:tc>
          <w:tcPr>
            <w:tcW w:type="dxa" w:w="30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Cada recurso se genera de forma independiente, sin conocimiento de lo ya producido para la misma unidad.</w:t>
            </w:r>
          </w:p>
        </w:tc>
        <w:tc>
          <w:tcPr>
            <w:tcW w:type="dxa" w:w="29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Base vectorial que almacena de forma estructurada tanto el material como los recursos aprobados, de modo que cada etapa recupere lo anterior.</w:t>
            </w:r>
          </w:p>
        </w:tc>
        <w:tc>
          <w:tcPr>
            <w:tcW w:type="dxa" w:w="245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Repeticiones, contradicciones y saltos de nivel entre lo explorado, lo explicado y lo evaluado.</w:t>
            </w:r>
          </w:p>
        </w:tc>
        <w:tc>
          <w:tcPr>
            <w:tcW w:type="dxa" w:w="307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Reindexación de los recursos aprobados como evidencia de segundo orden y detección de duplicidad por similitud.</w:t>
            </w:r>
          </w:p>
        </w:tc>
        <w:tc>
          <w:tcPr>
            <w:tcW w:type="dxa" w:w="14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I23, I7</w:t>
            </w:r>
          </w:p>
        </w:tc>
      </w:tr>
      <w:tr>
        <w:trPr>
          <w:cantSplit/>
          <w:tblHeader w:val="false"/>
        </w:trPr>
        <w:tc>
          <w:tcPr>
            <w:tcW w:type="dxa" w:w="175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10. Interoperabilidad del contenido</w:t>
            </w:r>
          </w:p>
        </w:tc>
        <w:tc>
          <w:tcPr>
            <w:tcW w:type="dxa" w:w="30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El docente copia y pega el contenido generado, pregunta por pregunta, en su plataforma.</w:t>
            </w:r>
          </w:p>
        </w:tc>
        <w:tc>
          <w:tcPr>
            <w:tcW w:type="dxa" w:w="29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Paquetes QTI y SCORM o Common Cartridge listos para importar; QTI 3.0 define el intercambio de ítems, pruebas y resultados entre herramientas y plataformas (1EdTech, 2022).</w:t>
            </w:r>
          </w:p>
        </w:tc>
        <w:tc>
          <w:tcPr>
            <w:tcW w:type="dxa" w:w="245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No existe un puente estándar entre el motor de generación y las plataformas educativas.</w:t>
            </w:r>
          </w:p>
        </w:tc>
        <w:tc>
          <w:tcPr>
            <w:tcW w:type="dxa" w:w="307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Exportador QTI y empaquetador, con validación de conformidad antes de cada entrega.</w:t>
            </w:r>
          </w:p>
        </w:tc>
        <w:tc>
          <w:tcPr>
            <w:tcW w:type="dxa" w:w="14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I16, I19</w:t>
            </w:r>
          </w:p>
        </w:tc>
      </w:tr>
      <w:tr>
        <w:trPr>
          <w:cantSplit/>
          <w:tblHeader w:val="false"/>
        </w:trPr>
        <w:tc>
          <w:tcPr>
            <w:tcW w:type="dxa" w:w="175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11. Portabilidad y vigencia de las plataformas</w:t>
            </w:r>
          </w:p>
        </w:tc>
        <w:tc>
          <w:tcPr>
            <w:tcW w:type="dxa" w:w="30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El contenido queda atado al LMS donde fue creado; además, las plataformas de código abierto disponibles presentan ritmos de mantenimiento muy dispares.</w:t>
            </w:r>
          </w:p>
        </w:tc>
        <w:tc>
          <w:tcPr>
            <w:tcW w:type="dxa" w:w="29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Un mismo paquete importable sin pérdida en al menos dos LMS activos y con comunidad vigente.</w:t>
            </w:r>
          </w:p>
        </w:tc>
        <w:tc>
          <w:tcPr>
            <w:tcW w:type="dxa" w:w="245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Soporte desigual del estándar y riesgo de construir sobre una plataforma descontinuada.</w:t>
            </w:r>
          </w:p>
        </w:tc>
        <w:tc>
          <w:tcPr>
            <w:tcW w:type="dxa" w:w="307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Matriz de compatibilidad con instancias instaladas y pruebas de importación reales en el Sprint 0.</w:t>
            </w:r>
          </w:p>
        </w:tc>
        <w:tc>
          <w:tcPr>
            <w:tcW w:type="dxa" w:w="14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I17, I18</w:t>
            </w:r>
          </w:p>
        </w:tc>
      </w:tr>
      <w:tr>
        <w:trPr>
          <w:cantSplit/>
          <w:tblHeader w:val="false"/>
        </w:trPr>
        <w:tc>
          <w:tcPr>
            <w:tcW w:type="dxa" w:w="175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12. Estandarización técnica y atributos de calidad</w:t>
            </w:r>
          </w:p>
        </w:tc>
        <w:tc>
          <w:tcPr>
            <w:tcW w:type="dxa" w:w="30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El sistema no existe aún y los cuatro módulos podrían desarrollarse con criterios técnicos distintos.</w:t>
            </w:r>
          </w:p>
        </w:tc>
        <w:tc>
          <w:tcPr>
            <w:tcW w:type="dxa" w:w="29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Arquitectura, modelo de datos, contratos de API y sistema de diseño comunes, con metas de latencia, disponibilidad y seguridad.</w:t>
            </w:r>
          </w:p>
        </w:tc>
        <w:tc>
          <w:tcPr>
            <w:tcW w:type="dxa" w:w="245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Riesgo de divergencia técnica y requisitos no funcionales no verificados.</w:t>
            </w:r>
          </w:p>
        </w:tc>
        <w:tc>
          <w:tcPr>
            <w:tcW w:type="dxa" w:w="307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Sprint 0 de definición arquitectónica y UX/UI, con pruebas de carga y escaneo de seguridad antes del piloto.</w:t>
            </w:r>
          </w:p>
        </w:tc>
        <w:tc>
          <w:tcPr>
            <w:tcW w:type="dxa" w:w="14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5"/>
                <w:szCs w:val="15"/>
              </w:rPr>
              <w:t xml:space="preserve">I11, I13, I14, I15</w:t>
            </w:r>
          </w:p>
        </w:tc>
      </w:tr>
    </w:tbl>
    <w:p>
      <w:pPr>
        <w:sectPr>
          <w:footerReference w:type="default" r:id="rId8"/>
          <w:pgSz w:w="16838" w:h="11906" w:orient="landscape"/>
          <w:pgMar w:top="1134" w:right="1134" w:bottom="1134" w:left="1134" w:header="708" w:footer="708" w:gutter="0"/>
          <w:pgNumType/>
          <w:docGrid w:linePitch="360"/>
        </w:sectPr>
      </w:pPr>
    </w:p>
    <w:p>
      <w:pPr>
        <w:pStyle w:val="Heading1"/>
        <w:spacing w:after="160" w:before="240"/>
      </w:pPr>
      <w:r>
        <w:rPr>
          <w:rFonts w:ascii="Arial" w:cs="Arial" w:eastAsia="Arial" w:hAnsi="Arial"/>
        </w:rPr>
        <w:t xml:space="preserve">4. Realidad problemática</w:t>
      </w:r>
    </w:p>
    <w:p>
      <w:pPr>
        <w:spacing w:after="120" w:before="0" w:line="276"/>
        <w:jc w:val="both"/>
      </w:pPr>
      <w:r>
        <w:rPr>
          <w:rFonts w:ascii="Arial" w:cs="Arial" w:eastAsia="Arial" w:hAnsi="Arial"/>
          <w:sz w:val="22"/>
          <w:szCs w:val="22"/>
        </w:rPr>
        <w:t xml:space="preserve">Conforme al esquema de la guía de la Semana 1, la realidad problemática se formula en función de los atributos de calidad de software. El atributo principal es el </w:t>
      </w:r>
      <w:r>
        <w:rPr>
          <w:rFonts w:ascii="Arial" w:cs="Arial" w:eastAsia="Arial" w:hAnsi="Arial"/>
          <w:b/>
          <w:bCs/>
          <w:sz w:val="22"/>
          <w:szCs w:val="22"/>
        </w:rPr>
        <w:t xml:space="preserve">rendimiento</w:t>
      </w:r>
      <w:r>
        <w:rPr>
          <w:rFonts w:ascii="Arial" w:cs="Arial" w:eastAsia="Arial" w:hAnsi="Arial"/>
          <w:sz w:val="22"/>
          <w:szCs w:val="22"/>
        </w:rPr>
        <w:t xml:space="preserve"> del proceso de elaboración de material didáctico, entendido como el tiempo docente necesario para producir un recurso de calidad; a él se suman la </w:t>
      </w:r>
      <w:r>
        <w:rPr>
          <w:rFonts w:ascii="Arial" w:cs="Arial" w:eastAsia="Arial" w:hAnsi="Arial"/>
          <w:b/>
          <w:bCs/>
          <w:sz w:val="22"/>
          <w:szCs w:val="22"/>
        </w:rPr>
        <w:t xml:space="preserve">usabilidad</w:t>
      </w:r>
      <w:r>
        <w:rPr>
          <w:rFonts w:ascii="Arial" w:cs="Arial" w:eastAsia="Arial" w:hAnsi="Arial"/>
          <w:sz w:val="22"/>
          <w:szCs w:val="22"/>
        </w:rPr>
        <w:t xml:space="preserve"> del flujo de revisión, la </w:t>
      </w:r>
      <w:r>
        <w:rPr>
          <w:rFonts w:ascii="Arial" w:cs="Arial" w:eastAsia="Arial" w:hAnsi="Arial"/>
          <w:b/>
          <w:bCs/>
          <w:sz w:val="22"/>
          <w:szCs w:val="22"/>
        </w:rPr>
        <w:t xml:space="preserve">gestión</w:t>
      </w:r>
      <w:r>
        <w:rPr>
          <w:rFonts w:ascii="Arial" w:cs="Arial" w:eastAsia="Arial" w:hAnsi="Arial"/>
          <w:sz w:val="22"/>
          <w:szCs w:val="22"/>
        </w:rPr>
        <w:t xml:space="preserve"> del contenido a lo largo del ciclo académico, la </w:t>
      </w:r>
      <w:r>
        <w:rPr>
          <w:rFonts w:ascii="Arial" w:cs="Arial" w:eastAsia="Arial" w:hAnsi="Arial"/>
          <w:b/>
          <w:bCs/>
          <w:sz w:val="22"/>
          <w:szCs w:val="22"/>
        </w:rPr>
        <w:t xml:space="preserve">disponibilidad</w:t>
      </w:r>
      <w:r>
        <w:rPr>
          <w:rFonts w:ascii="Arial" w:cs="Arial" w:eastAsia="Arial" w:hAnsi="Arial"/>
          <w:sz w:val="22"/>
          <w:szCs w:val="22"/>
        </w:rPr>
        <w:t xml:space="preserve"> del servicio durante los periodos de mayor demanda y la </w:t>
      </w:r>
      <w:r>
        <w:rPr>
          <w:rFonts w:ascii="Arial" w:cs="Arial" w:eastAsia="Arial" w:hAnsi="Arial"/>
          <w:b/>
          <w:bCs/>
          <w:sz w:val="22"/>
          <w:szCs w:val="22"/>
        </w:rPr>
        <w:t xml:space="preserve">seguridad</w:t>
      </w:r>
      <w:r>
        <w:rPr>
          <w:rFonts w:ascii="Arial" w:cs="Arial" w:eastAsia="Arial" w:hAnsi="Arial"/>
          <w:sz w:val="22"/>
          <w:szCs w:val="22"/>
        </w:rPr>
        <w:t xml:space="preserve"> del material y de los resultados de los estudiantes.</w:t>
      </w:r>
    </w:p>
    <w:p>
      <w:pPr>
        <w:pStyle w:val="Heading2"/>
        <w:spacing w:after="120" w:before="200"/>
      </w:pPr>
      <w:r>
        <w:rPr>
          <w:rFonts w:ascii="Arial" w:cs="Arial" w:eastAsia="Arial" w:hAnsi="Arial"/>
        </w:rPr>
        <w:t xml:space="preserve">4.1 Rendimiento (atributo principal)</w:t>
      </w:r>
    </w:p>
    <w:p>
      <w:pPr>
        <w:pStyle w:val="ListParagraph"/>
        <w:numPr>
          <w:ilvl w:val="0"/>
          <w:numId w:val="2"/>
        </w:numPr>
        <w:spacing w:after="80"/>
        <w:jc w:val="both"/>
      </w:pPr>
      <w:r>
        <w:rPr>
          <w:rFonts w:ascii="Arial" w:cs="Arial" w:eastAsia="Arial" w:hAnsi="Arial"/>
          <w:sz w:val="22"/>
          <w:szCs w:val="22"/>
        </w:rPr>
        <w:t xml:space="preserve">La elaboración manual de un ítem de opción múltiple de calidad requiere un tiempo considerable: un estudio con 75 especialistas registró un promedio de 52 minutos solo para el primer borrador (Meazure Learning, 2022), y en un ensayo con examinadores clínicos la redacción de 50 preguntas tomó alrededor de 211 minutos frente a unos 20 minutos del modelo de lenguaje (Cheung et al., 2023).</w:t>
      </w:r>
    </w:p>
    <w:p>
      <w:pPr>
        <w:pStyle w:val="ListParagraph"/>
        <w:numPr>
          <w:ilvl w:val="0"/>
          <w:numId w:val="2"/>
        </w:numPr>
        <w:spacing w:after="80"/>
        <w:jc w:val="both"/>
      </w:pPr>
      <w:r>
        <w:rPr>
          <w:rFonts w:ascii="Arial" w:cs="Arial" w:eastAsia="Arial" w:hAnsi="Arial"/>
          <w:sz w:val="22"/>
          <w:szCs w:val="22"/>
        </w:rPr>
        <w:t xml:space="preserve">El esfuerzo no se concentra en el enunciado sino en los distractores. En un banco de 514 ítems elaborados manualmente, solo algo más de la mitad de los distractores resultó funcional (Research Square, 2019); un distractor evidente convierte la pregunta en un ejercicio de descarte por sentido común.</w:t>
      </w:r>
    </w:p>
    <w:p>
      <w:pPr>
        <w:pStyle w:val="ListParagraph"/>
        <w:numPr>
          <w:ilvl w:val="0"/>
          <w:numId w:val="2"/>
        </w:numPr>
        <w:spacing w:after="80"/>
        <w:jc w:val="both"/>
      </w:pPr>
      <w:r>
        <w:rPr>
          <w:rFonts w:ascii="Arial" w:cs="Arial" w:eastAsia="Arial" w:hAnsi="Arial"/>
          <w:sz w:val="22"/>
          <w:szCs w:val="22"/>
        </w:rPr>
        <w:t xml:space="preserve">Producir una secuencia didáctica completa multiplica ese costo, porque a la evaluación se suman el material de enganche, las actividades de exploración, la explicación formal y los ejercicios de transferencia.</w:t>
      </w:r>
    </w:p>
    <w:p>
      <w:pPr>
        <w:pStyle w:val="Heading2"/>
        <w:spacing w:after="120" w:before="200"/>
      </w:pPr>
      <w:r>
        <w:rPr>
          <w:rFonts w:ascii="Arial" w:cs="Arial" w:eastAsia="Arial" w:hAnsi="Arial"/>
        </w:rPr>
        <w:t xml:space="preserve">4.2 Adecuación pedagógica del contenido generado</w:t>
      </w:r>
    </w:p>
    <w:p>
      <w:pPr>
        <w:pStyle w:val="ListParagraph"/>
        <w:numPr>
          <w:ilvl w:val="0"/>
          <w:numId w:val="2"/>
        </w:numPr>
        <w:spacing w:after="80"/>
        <w:jc w:val="both"/>
      </w:pPr>
      <w:r>
        <w:rPr>
          <w:rFonts w:ascii="Arial" w:cs="Arial" w:eastAsia="Arial" w:hAnsi="Arial"/>
          <w:sz w:val="22"/>
          <w:szCs w:val="22"/>
        </w:rPr>
        <w:t xml:space="preserve">Las herramientas asistidas por inteligencia artificial producen recursos sueltos, sin un modelo instruccional que ordene la progresión: se generan preguntas sin haber activado ideas previas y se explican conceptos que el estudiante no ha explorado. El modelo 5E ofrece esa estructura y su efecto sobre el logro de aprendizaje está documentado en revisiones sistemáticas y metaanálisis (Bybee et al., 2006; Polanin et al., 2024).</w:t>
      </w:r>
    </w:p>
    <w:p>
      <w:pPr>
        <w:pStyle w:val="ListParagraph"/>
        <w:numPr>
          <w:ilvl w:val="0"/>
          <w:numId w:val="2"/>
        </w:numPr>
        <w:spacing w:after="80"/>
        <w:jc w:val="both"/>
      </w:pPr>
      <w:r>
        <w:rPr>
          <w:rFonts w:ascii="Arial" w:cs="Arial" w:eastAsia="Arial" w:hAnsi="Arial"/>
          <w:sz w:val="22"/>
          <w:szCs w:val="22"/>
        </w:rPr>
        <w:t xml:space="preserve">Los modelos de lenguaje generan distractores lingüísticamente válidos pero no conocen del todo las confusiones reales de los estudiantes (Feng et al., 2024), por lo que la validación docente resulta indispensable.</w:t>
      </w:r>
    </w:p>
    <w:p>
      <w:pPr>
        <w:pStyle w:val="Heading2"/>
        <w:spacing w:after="120" w:before="200"/>
      </w:pPr>
      <w:r>
        <w:rPr>
          <w:rFonts w:ascii="Arial" w:cs="Arial" w:eastAsia="Arial" w:hAnsi="Arial"/>
        </w:rPr>
        <w:t xml:space="preserve">4.3 Gestión y trazabilidad del contenido</w:t>
      </w:r>
    </w:p>
    <w:p>
      <w:pPr>
        <w:pStyle w:val="ListParagraph"/>
        <w:numPr>
          <w:ilvl w:val="0"/>
          <w:numId w:val="2"/>
        </w:numPr>
        <w:spacing w:after="80"/>
        <w:jc w:val="both"/>
      </w:pPr>
      <w:r>
        <w:rPr>
          <w:rFonts w:ascii="Arial" w:cs="Arial" w:eastAsia="Arial" w:hAnsi="Arial"/>
          <w:sz w:val="22"/>
          <w:szCs w:val="22"/>
        </w:rPr>
        <w:t xml:space="preserve">Cuando la generación se realiza por inyección de instrucciones a un modelo general, el contenido depende de la memoria paramétrica del modelo y no del material del curso. La alucinación es un problema central de la generación de lenguaje natural (Ji et al., 2023) y en educación constituye un riesgo particular, porque el estudiante carece del conocimiento previo necesario para detectar el error.</w:t>
      </w:r>
    </w:p>
    <w:p>
      <w:pPr>
        <w:pStyle w:val="ListParagraph"/>
        <w:numPr>
          <w:ilvl w:val="0"/>
          <w:numId w:val="2"/>
        </w:numPr>
        <w:spacing w:after="80"/>
        <w:jc w:val="both"/>
      </w:pPr>
      <w:r>
        <w:rPr>
          <w:rFonts w:ascii="Arial" w:cs="Arial" w:eastAsia="Arial" w:hAnsi="Arial"/>
          <w:sz w:val="22"/>
          <w:szCs w:val="22"/>
        </w:rPr>
        <w:t xml:space="preserve">Cada recurso se genera de forma aislada, sin memoria de lo ya producido para la misma unidad, lo que provoca repeticiones, contradicciones y saltos de nivel entre etapas.</w:t>
      </w:r>
    </w:p>
    <w:p>
      <w:pPr>
        <w:pStyle w:val="ListParagraph"/>
        <w:numPr>
          <w:ilvl w:val="0"/>
          <w:numId w:val="2"/>
        </w:numPr>
        <w:spacing w:after="80"/>
        <w:jc w:val="both"/>
      </w:pPr>
      <w:r>
        <w:rPr>
          <w:rFonts w:ascii="Arial" w:cs="Arial" w:eastAsia="Arial" w:hAnsi="Arial"/>
          <w:sz w:val="22"/>
          <w:szCs w:val="22"/>
        </w:rPr>
        <w:t xml:space="preserve">El material producido queda atado a la plataforma donde se creó: al no entregarse en los formatos que los sistemas de gestión del aprendizaje saben importar, el docente copia y pega pregunta por pregunta y el contenido no se reutiliza entre cursos, ciclos ni instituciones.</w:t>
      </w:r>
    </w:p>
    <w:p>
      <w:pPr>
        <w:pStyle w:val="Heading2"/>
        <w:spacing w:after="120" w:before="200"/>
      </w:pPr>
      <w:r>
        <w:rPr>
          <w:rFonts w:ascii="Arial" w:cs="Arial" w:eastAsia="Arial" w:hAnsi="Arial"/>
        </w:rPr>
        <w:t xml:space="preserve">4.4 Usabilidad</w:t>
      </w:r>
    </w:p>
    <w:p>
      <w:pPr>
        <w:pStyle w:val="ListParagraph"/>
        <w:numPr>
          <w:ilvl w:val="0"/>
          <w:numId w:val="2"/>
        </w:numPr>
        <w:spacing w:after="80"/>
        <w:jc w:val="both"/>
      </w:pPr>
      <w:r>
        <w:rPr>
          <w:rFonts w:ascii="Arial" w:cs="Arial" w:eastAsia="Arial" w:hAnsi="Arial"/>
          <w:sz w:val="22"/>
          <w:szCs w:val="22"/>
        </w:rPr>
        <w:t xml:space="preserve">El docente trabaja hoy con herramientas separadas: un asistente conversacional para redactar y la plataforma institucional para publicar, sin un flujo único que le permita revisar, corregir y aprobar con la evidencia de origen a la vista.</w:t>
      </w:r>
    </w:p>
    <w:p>
      <w:pPr>
        <w:pStyle w:val="ListParagraph"/>
        <w:numPr>
          <w:ilvl w:val="0"/>
          <w:numId w:val="2"/>
        </w:numPr>
        <w:spacing w:after="80"/>
        <w:jc w:val="both"/>
      </w:pPr>
      <w:r>
        <w:rPr>
          <w:rFonts w:ascii="Arial" w:cs="Arial" w:eastAsia="Arial" w:hAnsi="Arial"/>
          <w:sz w:val="22"/>
          <w:szCs w:val="22"/>
        </w:rPr>
        <w:t xml:space="preserve">Sin un registro estructurado de esas decisiones, tampoco existe forma de medir objetivamente qué proporción del contenido generado resulta aprovechable.</w:t>
      </w:r>
    </w:p>
    <w:p>
      <w:pPr>
        <w:pStyle w:val="Heading2"/>
        <w:spacing w:after="120" w:before="200"/>
      </w:pPr>
      <w:r>
        <w:rPr>
          <w:rFonts w:ascii="Arial" w:cs="Arial" w:eastAsia="Arial" w:hAnsi="Arial"/>
        </w:rPr>
        <w:t xml:space="preserve">4.5 Disponibilidad y seguridad</w:t>
      </w:r>
    </w:p>
    <w:p>
      <w:pPr>
        <w:pStyle w:val="ListParagraph"/>
        <w:numPr>
          <w:ilvl w:val="0"/>
          <w:numId w:val="2"/>
        </w:numPr>
        <w:spacing w:after="80"/>
        <w:jc w:val="both"/>
      </w:pPr>
      <w:r>
        <w:rPr>
          <w:rFonts w:ascii="Arial" w:cs="Arial" w:eastAsia="Arial" w:hAnsi="Arial"/>
          <w:sz w:val="22"/>
          <w:szCs w:val="22"/>
        </w:rPr>
        <w:t xml:space="preserve">La demanda de elaboración de evaluaciones se concentra en periodos específicos del ciclo académico, por lo que una caída del servicio en esas semanas anula su utilidad.</w:t>
      </w:r>
    </w:p>
    <w:p>
      <w:pPr>
        <w:pStyle w:val="ListParagraph"/>
        <w:numPr>
          <w:ilvl w:val="0"/>
          <w:numId w:val="2"/>
        </w:numPr>
        <w:spacing w:after="80"/>
        <w:jc w:val="both"/>
      </w:pPr>
      <w:r>
        <w:rPr>
          <w:rFonts w:ascii="Arial" w:cs="Arial" w:eastAsia="Arial" w:hAnsi="Arial"/>
          <w:sz w:val="22"/>
          <w:szCs w:val="22"/>
        </w:rPr>
        <w:t xml:space="preserve">El sistema manipula material intelectual del docente y resultados de estudiantes, información que exige control de acceso por rol y registro de auditoría.</w:t>
      </w:r>
    </w:p>
    <w:p>
      <w:pPr>
        <w:pStyle w:val="Heading1"/>
        <w:spacing w:after="160" w:before="240"/>
      </w:pPr>
      <w:r>
        <w:rPr>
          <w:rFonts w:ascii="Arial" w:cs="Arial" w:eastAsia="Arial" w:hAnsi="Arial"/>
        </w:rPr>
        <w:t xml:space="preserve">5. Problema de investigación</w:t>
      </w:r>
    </w:p>
    <w:p>
      <w:pPr>
        <w:spacing w:after="120" w:before="0" w:line="276"/>
        <w:jc w:val="both"/>
      </w:pPr>
      <w:r>
        <w:rPr>
          <w:rFonts w:ascii="Arial" w:cs="Arial" w:eastAsia="Arial" w:hAnsi="Arial"/>
          <w:sz w:val="22"/>
          <w:szCs w:val="22"/>
        </w:rPr>
        <w:t xml:space="preserve">A partir de la realidad problemática descrita, el problema se formula en los siguientes términos: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sz w:val="22"/>
                <w:szCs w:val="22"/>
              </w:rPr>
              <w:t xml:space="preserve">¿Cómo reducir el tiempo de elaboración de secuencias didácticas de una unidad, conservando la calidad pedagógica de los recursos y la trazabilidad de su contenido, mediante una plataforma con arquitectura de generación aumentada por recuperación sobre base de datos vectorial que produzca material conforme al modelo instruccional de las 5E e importable en distintos sistemas de gestión del aprendizaje?</w:t>
            </w:r>
          </w:p>
        </w:tc>
      </w:tr>
    </w:tbl>
    <w:p>
      <w:pPr>
        <w:spacing w:after="120"/>
      </w:pPr>
    </w:p>
    <w:p>
      <w:pPr>
        <w:spacing w:after="120" w:before="0" w:line="276"/>
        <w:jc w:val="both"/>
      </w:pPr>
      <w:r>
        <w:rPr>
          <w:rFonts w:ascii="Arial" w:cs="Arial" w:eastAsia="Arial" w:hAnsi="Arial"/>
          <w:sz w:val="22"/>
          <w:szCs w:val="22"/>
        </w:rPr>
        <w:t xml:space="preserve">El problema se desagrega en tres preguntas específicas que orientan el desarrollo:</w:t>
      </w:r>
    </w:p>
    <w:p>
      <w:pPr>
        <w:pStyle w:val="ListParagraph"/>
        <w:numPr>
          <w:ilvl w:val="0"/>
          <w:numId w:val="2"/>
        </w:numPr>
        <w:spacing w:after="80"/>
        <w:jc w:val="both"/>
      </w:pPr>
      <w:r>
        <w:rPr>
          <w:rFonts w:ascii="Arial" w:cs="Arial" w:eastAsia="Arial" w:hAnsi="Arial"/>
          <w:sz w:val="22"/>
          <w:szCs w:val="22"/>
        </w:rPr>
        <w:t xml:space="preserve">¿En qué medida una arquitectura de recuperación aumentada reduce el contenido no respaldado por el material del docente frente a una generación basada únicamente en instrucciones al modelo?</w:t>
      </w:r>
    </w:p>
    <w:p>
      <w:pPr>
        <w:pStyle w:val="ListParagraph"/>
        <w:numPr>
          <w:ilvl w:val="0"/>
          <w:numId w:val="2"/>
        </w:numPr>
        <w:spacing w:after="80"/>
        <w:jc w:val="both"/>
      </w:pPr>
      <w:r>
        <w:rPr>
          <w:rFonts w:ascii="Arial" w:cs="Arial" w:eastAsia="Arial" w:hAnsi="Arial"/>
          <w:sz w:val="22"/>
          <w:szCs w:val="22"/>
        </w:rPr>
        <w:t xml:space="preserve">¿Qué calidad alcanzan los recursos generados para cada etapa del modelo 5E, evaluados mediante rúbrica experta y, en el caso de la evaluación, mediante análisis psicométrico con estudiantes reales?</w:t>
      </w:r>
    </w:p>
    <w:p>
      <w:pPr>
        <w:pStyle w:val="ListParagraph"/>
        <w:numPr>
          <w:ilvl w:val="0"/>
          <w:numId w:val="2"/>
        </w:numPr>
        <w:spacing w:after="80"/>
        <w:jc w:val="both"/>
      </w:pPr>
      <w:r>
        <w:rPr>
          <w:rFonts w:ascii="Arial" w:cs="Arial" w:eastAsia="Arial" w:hAnsi="Arial"/>
          <w:sz w:val="22"/>
          <w:szCs w:val="22"/>
        </w:rPr>
        <w:t xml:space="preserve">¿Qué grado de portabilidad se obtiene al entregar la secuencia en formatos conformes a estándares de interoperabilidad?</w:t>
      </w:r>
    </w:p>
    <w:p>
      <w:pPr>
        <w:pStyle w:val="Heading1"/>
        <w:spacing w:after="160" w:before="240"/>
      </w:pPr>
      <w:r>
        <w:rPr>
          <w:rFonts w:ascii="Arial" w:cs="Arial" w:eastAsia="Arial" w:hAnsi="Arial"/>
        </w:rPr>
        <w:t xml:space="preserve">6. Objetivos</w:t>
      </w:r>
    </w:p>
    <w:p>
      <w:pPr>
        <w:pStyle w:val="Heading2"/>
        <w:spacing w:after="120" w:before="200"/>
      </w:pPr>
      <w:r>
        <w:rPr>
          <w:rFonts w:ascii="Arial" w:cs="Arial" w:eastAsia="Arial" w:hAnsi="Arial"/>
        </w:rPr>
        <w:t xml:space="preserve">6.1 Objetivo general</w:t>
      </w:r>
    </w:p>
    <w:p>
      <w:pPr>
        <w:spacing w:after="120" w:before="0" w:line="276"/>
        <w:jc w:val="both"/>
      </w:pPr>
      <w:r>
        <w:rPr>
          <w:rFonts w:ascii="Arial" w:cs="Arial" w:eastAsia="Arial" w:hAnsi="Arial"/>
          <w:sz w:val="22"/>
          <w:szCs w:val="22"/>
        </w:rPr>
        <w:t xml:space="preserve">Desarrollar una plataforma de generación de secuencias didácticas conforme al modelo instruccional de las 5E, sustentada en una arquitectura de generación aumentada por recuperación sobre base de datos vectorial, que produzca recursos trazables al material del docente y exportables a sistemas de gestión del aprendizaje mediante estándares de interoperabilidad, reduciendo en al menos 50 % el tiempo medio de elaboración por recurso respecto de la línea base manual, en un plazo de quince semanas.</w:t>
      </w:r>
    </w:p>
    <w:p>
      <w:pPr>
        <w:pStyle w:val="Heading2"/>
        <w:spacing w:after="120" w:before="200"/>
      </w:pPr>
      <w:r>
        <w:rPr>
          <w:rFonts w:ascii="Arial" w:cs="Arial" w:eastAsia="Arial" w:hAnsi="Arial"/>
        </w:rPr>
        <w:t xml:space="preserve">6.2 Objetivos específicos</w:t>
      </w:r>
    </w:p>
    <w:p>
      <w:pPr>
        <w:spacing w:after="120" w:before="0" w:line="276"/>
        <w:jc w:val="both"/>
      </w:pPr>
      <w:r>
        <w:rPr>
          <w:rFonts w:ascii="Arial" w:cs="Arial" w:eastAsia="Arial" w:hAnsi="Arial"/>
          <w:sz w:val="22"/>
          <w:szCs w:val="22"/>
        </w:rPr>
        <w:t xml:space="preserve">Los objetivos siguen el formato del curso (investigar, construir, implementar, integrar y evaluar) y cada uno declara su meta verificable y los indicadores que lo controlan.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238"/>
        <w:gridCol w:w="2300"/>
      </w:tblGrid>
      <w:tr>
        <w:trPr>
          <w:cantSplit/>
          <w:tblHeader/>
        </w:trPr>
        <w:tc>
          <w:tcPr>
            <w:tcW w:type="dxa" w:w="1100"/>
            <w:tcBorders>
              <w:top w:val="single" w:color="8EAADB" w:sz="4"/>
              <w:left w:val="single" w:color="8EAADB" w:sz="4"/>
              <w:bottom w:val="single" w:color="8EAADB" w:sz="4"/>
              <w:right w:val="single" w:color="8EAADB" w:sz="4"/>
            </w:tcBorders>
            <w:shd w:fill="1F3864" w:color="auto" w:val="clear"/>
            <w:tcMar>
              <w:top w:type="dxa" w:w="50"/>
              <w:left w:type="dxa" w:w="80"/>
              <w:bottom w:type="dxa" w:w="50"/>
              <w:right w:type="dxa" w:w="80"/>
            </w:tcMar>
          </w:tcPr>
          <w:p>
            <w:pPr>
              <w:spacing w:after="30"/>
              <w:jc w:val="left"/>
            </w:pPr>
            <w:r>
              <w:rPr>
                <w:rFonts w:ascii="Arial" w:cs="Arial" w:eastAsia="Arial" w:hAnsi="Arial"/>
                <w:b/>
                <w:bCs/>
                <w:color w:val="FFFFFF"/>
                <w:sz w:val="18"/>
                <w:szCs w:val="18"/>
              </w:rPr>
              <w:t xml:space="preserve">Objetivo</w:t>
            </w:r>
          </w:p>
        </w:tc>
        <w:tc>
          <w:tcPr>
            <w:tcW w:type="dxa" w:w="6238"/>
            <w:tcBorders>
              <w:top w:val="single" w:color="8EAADB" w:sz="4"/>
              <w:left w:val="single" w:color="8EAADB" w:sz="4"/>
              <w:bottom w:val="single" w:color="8EAADB" w:sz="4"/>
              <w:right w:val="single" w:color="8EAADB" w:sz="4"/>
            </w:tcBorders>
            <w:shd w:fill="1F3864" w:color="auto" w:val="clear"/>
            <w:tcMar>
              <w:top w:type="dxa" w:w="50"/>
              <w:left w:type="dxa" w:w="80"/>
              <w:bottom w:type="dxa" w:w="50"/>
              <w:right w:type="dxa" w:w="80"/>
            </w:tcMar>
          </w:tcPr>
          <w:p>
            <w:pPr>
              <w:spacing w:after="30"/>
              <w:jc w:val="left"/>
            </w:pPr>
            <w:r>
              <w:rPr>
                <w:rFonts w:ascii="Arial" w:cs="Arial" w:eastAsia="Arial" w:hAnsi="Arial"/>
                <w:b/>
                <w:bCs/>
                <w:color w:val="FFFFFF"/>
                <w:sz w:val="18"/>
                <w:szCs w:val="18"/>
              </w:rPr>
              <w:t xml:space="preserve">Enunciado</w:t>
            </w:r>
          </w:p>
        </w:tc>
        <w:tc>
          <w:tcPr>
            <w:tcW w:type="dxa" w:w="2300"/>
            <w:tcBorders>
              <w:top w:val="single" w:color="8EAADB" w:sz="4"/>
              <w:left w:val="single" w:color="8EAADB" w:sz="4"/>
              <w:bottom w:val="single" w:color="8EAADB" w:sz="4"/>
              <w:right w:val="single" w:color="8EAADB" w:sz="4"/>
            </w:tcBorders>
            <w:shd w:fill="1F3864" w:color="auto" w:val="clear"/>
            <w:tcMar>
              <w:top w:type="dxa" w:w="50"/>
              <w:left w:type="dxa" w:w="80"/>
              <w:bottom w:type="dxa" w:w="50"/>
              <w:right w:type="dxa" w:w="80"/>
            </w:tcMar>
          </w:tcPr>
          <w:p>
            <w:pPr>
              <w:spacing w:after="30"/>
              <w:jc w:val="left"/>
            </w:pPr>
            <w:r>
              <w:rPr>
                <w:rFonts w:ascii="Arial" w:cs="Arial" w:eastAsia="Arial" w:hAnsi="Arial"/>
                <w:b/>
                <w:bCs/>
                <w:color w:val="FFFFFF"/>
                <w:sz w:val="18"/>
                <w:szCs w:val="18"/>
              </w:rPr>
              <w:t xml:space="preserve">Indicadores</w:t>
            </w:r>
          </w:p>
        </w:tc>
      </w:tr>
      <w:tr>
        <w:trPr>
          <w:cantSplit/>
          <w:tblHeader w:val="false"/>
        </w:trPr>
        <w:tc>
          <w:tcPr>
            <w:tcW w:type="dxa" w:w="11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OE1</w:t>
            </w:r>
          </w:p>
        </w:tc>
        <w:tc>
          <w:tcPr>
            <w:tcW w:type="dxa" w:w="62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Investigar las técnicas de generación de contenido educativo, las métricas de evaluación de sistemas de recuperación aumentada y los estándares de interoperabilidad aplicables, y definir sobre esa base la arquitectura de software, el modelo de datos y el sistema de diseño de interfaz, consolidando un estado del arte de al menos veinte fuentes y una matriz de indicadores aprobada al cierre de la semana 5.</w:t>
            </w:r>
          </w:p>
        </w:tc>
        <w:tc>
          <w:tcPr>
            <w:tcW w:type="dxa" w:w="23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I15</w:t>
            </w:r>
          </w:p>
        </w:tc>
      </w:tr>
      <w:tr>
        <w:trPr>
          <w:cantSplit/>
          <w:tblHeader w:val="false"/>
        </w:trPr>
        <w:tc>
          <w:tcPr>
            <w:tcW w:type="dxa" w:w="11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OE2</w:t>
            </w:r>
          </w:p>
        </w:tc>
        <w:tc>
          <w:tcPr>
            <w:tcW w:type="dxa" w:w="62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Construir el núcleo de recuperación aumentada: ingesta, segmentación y vectorización del material del docente en una base de datos vectorial, con recuperación híbrida y reordenamiento, alcanzando un recall@10 no menor a 0,80 sobre un conjunto de evaluación propio y una latencia de recuperación p95 no mayor a 2 segundos.</w:t>
            </w:r>
          </w:p>
        </w:tc>
        <w:tc>
          <w:tcPr>
            <w:tcW w:type="dxa" w:w="23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I20, I11</w:t>
            </w:r>
          </w:p>
        </w:tc>
      </w:tr>
      <w:tr>
        <w:trPr>
          <w:cantSplit/>
          <w:tblHeader w:val="false"/>
        </w:trPr>
        <w:tc>
          <w:tcPr>
            <w:tcW w:type="dxa" w:w="11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OE3</w:t>
            </w:r>
          </w:p>
        </w:tc>
        <w:tc>
          <w:tcPr>
            <w:tcW w:type="dxa" w:w="62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Implementar la generación anclada de recursos para las cinco etapas del modelo 5E, con citación obligatoria de la evidencia y verificación automática de anclaje, logrando una trazabilidad no menor al 95 % de los recursos, una tasa de alucinación no mayor al 3 %, una tasa de distractores sin sentido no mayor al 10 % y una aceptación docente directa no menor al 50 %.</w:t>
            </w:r>
          </w:p>
        </w:tc>
        <w:tc>
          <w:tcPr>
            <w:tcW w:type="dxa" w:w="23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I21, I22, I3, I2</w:t>
            </w:r>
          </w:p>
        </w:tc>
      </w:tr>
      <w:tr>
        <w:trPr>
          <w:cantSplit/>
          <w:tblHeader w:val="false"/>
        </w:trPr>
        <w:tc>
          <w:tcPr>
            <w:tcW w:type="dxa" w:w="11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OE4</w:t>
            </w:r>
          </w:p>
        </w:tc>
        <w:tc>
          <w:tcPr>
            <w:tcW w:type="dxa" w:w="62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Integrar la capa de interoperabilidad que exporte la secuencia en formatos conformes a estándares, obteniendo 100 % de paquetes válidos ante el validador de conformidad, una tasa de importación exitosa no menor al 95 % y portabilidad verificada en al menos dos sistemas de gestión del aprendizaje, con un puntaje SUS no menor a 68.</w:t>
            </w:r>
          </w:p>
        </w:tc>
        <w:tc>
          <w:tcPr>
            <w:tcW w:type="dxa" w:w="23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I16, I17, I18, I19, I12</w:t>
            </w:r>
          </w:p>
        </w:tc>
      </w:tr>
      <w:tr>
        <w:trPr>
          <w:cantSplit/>
          <w:tblHeader w:val="false"/>
        </w:trPr>
        <w:tc>
          <w:tcPr>
            <w:tcW w:type="dxa" w:w="1100"/>
            <w:tcBorders>
              <w:top w:val="single" w:color="8EAADB" w:sz="4"/>
              <w:left w:val="single" w:color="8EAADB" w:sz="4"/>
              <w:bottom w:val="single" w:color="8EAADB" w:sz="4"/>
              <w:right w:val="single" w:color="8EAADB" w:sz="4"/>
            </w:tcBorders>
            <w:shd w:fill="D9E2F3" w:color="auto" w:val="clear"/>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OE5</w:t>
            </w:r>
          </w:p>
        </w:tc>
        <w:tc>
          <w:tcPr>
            <w:tcW w:type="dxa" w:w="6238"/>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Evaluar el uso de la plataforma en un piloto con docentes y estudiantes, verificando una reducción no menor al 50 % del tiempo medio por recurso respecto de la línea base manual, cobertura del 100 % de las cinco etapas por unidad, eficiencia de distractores no menor al 65 % y discriminación r-pb no menor a 0,20 en al menos el 70 % de los ítems.</w:t>
            </w:r>
          </w:p>
        </w:tc>
        <w:tc>
          <w:tcPr>
            <w:tcW w:type="dxa" w:w="2300"/>
            <w:tcBorders>
              <w:top w:val="single" w:color="8EAADB" w:sz="4"/>
              <w:left w:val="single" w:color="8EAADB" w:sz="4"/>
              <w:bottom w:val="single" w:color="8EAADB" w:sz="4"/>
              <w:right w:val="single" w:color="8EAADB" w:sz="4"/>
            </w:tcBorders>
            <w:tcMar>
              <w:top w:type="dxa" w:w="50"/>
              <w:left w:type="dxa" w:w="80"/>
              <w:bottom w:type="dxa" w:w="50"/>
              <w:right w:type="dxa" w:w="80"/>
            </w:tcMar>
          </w:tcPr>
          <w:p>
            <w:pPr>
              <w:spacing w:after="30"/>
              <w:jc w:val="left"/>
            </w:pPr>
            <w:r>
              <w:rPr>
                <w:rFonts w:ascii="Arial" w:cs="Arial" w:eastAsia="Arial" w:hAnsi="Arial"/>
                <w:b w:val="false"/>
                <w:bCs w:val="false"/>
                <w:sz w:val="18"/>
                <w:szCs w:val="18"/>
              </w:rPr>
              <w:t xml:space="preserve">I1, I23, I9, I10, I8</w:t>
            </w:r>
          </w:p>
        </w:tc>
      </w:tr>
    </w:tbl>
    <w:p>
      <w:pPr>
        <w:spacing w:after="120"/>
      </w:pPr>
    </w:p>
    <w:p>
      <w:pPr>
        <w:spacing w:after="120" w:before="0" w:line="276"/>
        <w:jc w:val="both"/>
      </w:pPr>
      <w:r>
        <w:rPr>
          <w:rFonts w:ascii="Arial" w:cs="Arial" w:eastAsia="Arial" w:hAnsi="Arial"/>
          <w:i/>
          <w:iCs/>
          <w:sz w:val="20"/>
          <w:szCs w:val="20"/>
        </w:rPr>
        <w:t xml:space="preserve">Los cinco objetivos son medibles, están acotados al ciclo académico y cubren las tres dimensiones del problema: la eficiencia del proceso (OE1 y OE5), la calidad técnica y pedagógica del contenido (OE2 y OE3) y su portabilidad (OE4).</w:t>
      </w:r>
    </w:p>
    <w:p>
      <w:r>
        <w:br w:type="page"/>
      </w:r>
    </w:p>
    <w:p>
      <w:pPr>
        <w:pStyle w:val="Heading1"/>
        <w:spacing w:after="160" w:before="240"/>
      </w:pPr>
      <w:r>
        <w:rPr>
          <w:rFonts w:ascii="Arial" w:cs="Arial" w:eastAsia="Arial" w:hAnsi="Arial"/>
        </w:rPr>
        <w:t xml:space="preserve">Referencias</w:t>
      </w:r>
    </w:p>
    <w:p>
      <w:pPr>
        <w:spacing w:after="120"/>
        <w:ind w:left="720" w:hanging="720"/>
        <w:jc w:val="left"/>
      </w:pPr>
      <w:r>
        <w:rPr>
          <w:rFonts w:ascii="Arial" w:cs="Arial" w:eastAsia="Arial" w:hAnsi="Arial"/>
          <w:sz w:val="20"/>
          <w:szCs w:val="20"/>
        </w:rPr>
        <w:t xml:space="preserve">1EdTech Consortium. (2022). Question and Test Interoperability (QTI) v3.0 final release specification. https://www.1edtech.org/standards/qti</w:t>
      </w:r>
    </w:p>
    <w:p>
      <w:pPr>
        <w:spacing w:after="120"/>
        <w:ind w:left="720" w:hanging="720"/>
        <w:jc w:val="left"/>
      </w:pPr>
      <w:r>
        <w:rPr>
          <w:rFonts w:ascii="Arial" w:cs="Arial" w:eastAsia="Arial" w:hAnsi="Arial"/>
          <w:sz w:val="20"/>
          <w:szCs w:val="20"/>
        </w:rPr>
        <w:t xml:space="preserve">Alhazmi, E., Sheng, Q. Z., Zhang, W. E., Zaib, M., &amp; Alhazmi, A. (2024). Distractor generation in multiple-choice tasks: A survey of methods, datasets, and evaluation. En Proceedings of the 2024 Conference on Empirical Methods in Natural Language Processing (pp. 14437–14458). Association for Computational Linguistics. https://doi.org/10.18653/v1/2024.emnlp-main.799</w:t>
      </w:r>
    </w:p>
    <w:p>
      <w:pPr>
        <w:spacing w:after="120"/>
        <w:ind w:left="720" w:hanging="720"/>
        <w:jc w:val="left"/>
      </w:pPr>
      <w:r>
        <w:rPr>
          <w:rFonts w:ascii="Arial" w:cs="Arial" w:eastAsia="Arial" w:hAnsi="Arial"/>
          <w:sz w:val="20"/>
          <w:szCs w:val="20"/>
        </w:rPr>
        <w:t xml:space="preserve">Bitew, S. K., Deleu, J., Develder, C., &amp; Demeester, T. (2025). Distractor generation for multiple-choice questions with predictive prompting and large language models. En Machine Learning and Principles and Practice of Knowledge Discovery in Databases (CCIS, vol. 2134, pp. 48–63). Springer. https://doi.org/10.1007/978-3-031-74627-7_4</w:t>
      </w:r>
    </w:p>
    <w:p>
      <w:pPr>
        <w:spacing w:after="120"/>
        <w:ind w:left="720" w:hanging="720"/>
        <w:jc w:val="left"/>
      </w:pPr>
      <w:r>
        <w:rPr>
          <w:rFonts w:ascii="Arial" w:cs="Arial" w:eastAsia="Arial" w:hAnsi="Arial"/>
          <w:sz w:val="20"/>
          <w:szCs w:val="20"/>
        </w:rPr>
        <w:t xml:space="preserve">Brooke, J. (1996). SUS: A «quick and dirty» usability scale. En P. W. Jordan, B. Thomas, B. A. Weerdmeester, &amp; I. L. McClelland (Eds.), Usability evaluation in industry (pp. 189–194). Taylor &amp; Francis.</w:t>
      </w:r>
    </w:p>
    <w:p>
      <w:pPr>
        <w:spacing w:after="120"/>
        <w:ind w:left="720" w:hanging="720"/>
        <w:jc w:val="left"/>
      </w:pPr>
      <w:r>
        <w:rPr>
          <w:rFonts w:ascii="Arial" w:cs="Arial" w:eastAsia="Arial" w:hAnsi="Arial"/>
          <w:sz w:val="20"/>
          <w:szCs w:val="20"/>
        </w:rPr>
        <w:t xml:space="preserve">Bybee, R. W., Taylor, J. A., Gardner, A., Van Scotter, P., Carlson Powell, J., Westbrook, A., &amp; Landes, N. (2006). The BSCS 5E instructional model: Origins and effectiveness. BSCS / Office of Science Education, National Institutes of Health.</w:t>
      </w:r>
    </w:p>
    <w:p>
      <w:pPr>
        <w:spacing w:after="120"/>
        <w:ind w:left="720" w:hanging="720"/>
        <w:jc w:val="left"/>
      </w:pPr>
      <w:r>
        <w:rPr>
          <w:rFonts w:ascii="Arial" w:cs="Arial" w:eastAsia="Arial" w:hAnsi="Arial"/>
          <w:sz w:val="20"/>
          <w:szCs w:val="20"/>
        </w:rPr>
        <w:t xml:space="preserve">Chen, J., Xiao, S., Zhang, P., Luo, K., Lian, D., &amp; Liu, Z. (2024). BGE M3-Embedding: Multi-lingual, multi-functionality, multi-granularity text embeddings through self-knowledge distillation [Preprint]. arXiv. https://arxiv.org/abs/2402.03216</w:t>
      </w:r>
    </w:p>
    <w:p>
      <w:pPr>
        <w:spacing w:after="120"/>
        <w:ind w:left="720" w:hanging="720"/>
        <w:jc w:val="left"/>
      </w:pPr>
      <w:r>
        <w:rPr>
          <w:rFonts w:ascii="Arial" w:cs="Arial" w:eastAsia="Arial" w:hAnsi="Arial"/>
          <w:sz w:val="20"/>
          <w:szCs w:val="20"/>
        </w:rPr>
        <w:t xml:space="preserve">Chen, C.-H., &amp; Shiu, M.-F. (2025). KAQG: A knowledge-graph-enhanced RAG for difficulty-controlled question generation [Preprint]. arXiv. https://arxiv.org/abs/2505.07618</w:t>
      </w:r>
    </w:p>
    <w:p>
      <w:pPr>
        <w:spacing w:after="120"/>
        <w:ind w:left="720" w:hanging="720"/>
        <w:jc w:val="left"/>
      </w:pPr>
      <w:r>
        <w:rPr>
          <w:rFonts w:ascii="Arial" w:cs="Arial" w:eastAsia="Arial" w:hAnsi="Arial"/>
          <w:sz w:val="20"/>
          <w:szCs w:val="20"/>
        </w:rPr>
        <w:t xml:space="preserve">Cheung, B. H. H., et al. (2023). ChatGPT versus human in generating medical graduate exam multiple choice questions: A multinational prospective study. PLOS ONE, 18(8), e0290691. https://doi.org/10.1371/journal.pone.0290691</w:t>
      </w:r>
    </w:p>
    <w:p>
      <w:pPr>
        <w:spacing w:after="120"/>
        <w:ind w:left="720" w:hanging="720"/>
        <w:jc w:val="left"/>
      </w:pPr>
      <w:r>
        <w:rPr>
          <w:rFonts w:ascii="Arial" w:cs="Arial" w:eastAsia="Arial" w:hAnsi="Arial"/>
          <w:sz w:val="20"/>
          <w:szCs w:val="20"/>
        </w:rPr>
        <w:t xml:space="preserve">Chiang, S.-H., Wang, S.-C., &amp; Fan, Y.-C. (2022). CDGP: Automatic cloze distractor generation based on pre-trained language model. En Findings of the Association for Computational Linguistics: EMNLP 2022 (pp. 5835–5840). https://arxiv.org/abs/2403.10326</w:t>
      </w:r>
    </w:p>
    <w:p>
      <w:pPr>
        <w:spacing w:after="120"/>
        <w:ind w:left="720" w:hanging="720"/>
        <w:jc w:val="left"/>
      </w:pPr>
      <w:r>
        <w:rPr>
          <w:rFonts w:ascii="Arial" w:cs="Arial" w:eastAsia="Arial" w:hAnsi="Arial"/>
          <w:sz w:val="20"/>
          <w:szCs w:val="20"/>
        </w:rPr>
        <w:t xml:space="preserve">Duan, X., Nwanganga, F., &amp; Wang, C. (2026). CODE-GEN: A human-in-the-loop RAG-based agentic AI system for multiple-choice question generation [Preprint]. arXiv. https://arxiv.org/abs/2604.03926</w:t>
      </w:r>
    </w:p>
    <w:p>
      <w:pPr>
        <w:spacing w:after="120"/>
        <w:ind w:left="720" w:hanging="720"/>
        <w:jc w:val="left"/>
      </w:pPr>
      <w:r>
        <w:rPr>
          <w:rFonts w:ascii="Arial" w:cs="Arial" w:eastAsia="Arial" w:hAnsi="Arial"/>
          <w:sz w:val="20"/>
          <w:szCs w:val="20"/>
        </w:rPr>
        <w:t xml:space="preserve">Es, S., James, J., Espinosa Anke, L., &amp; Schockaert, S. (2024). RAGAs: Automated evaluation of retrieval augmented generation. En Proceedings of the 18th Conference of the European Chapter of the Association for Computational Linguistics: System Demonstrations (pp. 150–158). https://aclanthology.org/2024.eacl-demo.16/</w:t>
      </w:r>
    </w:p>
    <w:p>
      <w:pPr>
        <w:spacing w:after="120"/>
        <w:ind w:left="720" w:hanging="720"/>
        <w:jc w:val="left"/>
      </w:pPr>
      <w:r>
        <w:rPr>
          <w:rFonts w:ascii="Arial" w:cs="Arial" w:eastAsia="Arial" w:hAnsi="Arial"/>
          <w:sz w:val="20"/>
          <w:szCs w:val="20"/>
        </w:rPr>
        <w:t xml:space="preserve">Feng, W., Lee, J., McNichols, H., Scarlatos, A., Smith, D., Woodhead, S., Ornelas, N., &amp; Lan, A. (2024). Exploring automated distractor generation for math multiple-choice questions via large language models. En Findings of the Association for Computational Linguistics: NAACL 2024 (pp. 3067–3082). https://doi.org/10.18653/v1/2024.findings-naacl.193</w:t>
      </w:r>
    </w:p>
    <w:p>
      <w:pPr>
        <w:spacing w:after="120"/>
        <w:ind w:left="720" w:hanging="720"/>
        <w:jc w:val="left"/>
      </w:pPr>
      <w:r>
        <w:rPr>
          <w:rFonts w:ascii="Arial" w:cs="Arial" w:eastAsia="Arial" w:hAnsi="Arial"/>
          <w:sz w:val="20"/>
          <w:szCs w:val="20"/>
        </w:rPr>
        <w:t xml:space="preserve">Ji, Z., Lee, N., Frieske, R., Yu, T., Su, D., Xu, Y., Ishii, E., Bang, Y., Madotto, A., &amp; Fung, P. (2023). Survey of hallucination in natural language generation. ACM Computing Surveys, 55(12), 1–38. https://doi.org/10.1145/3571730</w:t>
      </w:r>
    </w:p>
    <w:p>
      <w:pPr>
        <w:spacing w:after="120"/>
        <w:ind w:left="720" w:hanging="720"/>
        <w:jc w:val="left"/>
      </w:pPr>
      <w:r>
        <w:rPr>
          <w:rFonts w:ascii="Arial" w:cs="Arial" w:eastAsia="Arial" w:hAnsi="Arial"/>
          <w:sz w:val="20"/>
          <w:szCs w:val="20"/>
        </w:rPr>
        <w:t xml:space="preserve">Landis, J. R., &amp; Koch, G. G. (1977). The measurement of observer agreement for categorical data. Biometrics, 33(1), 159–174.</w:t>
      </w:r>
    </w:p>
    <w:p>
      <w:pPr>
        <w:spacing w:after="120"/>
        <w:ind w:left="720" w:hanging="720"/>
        <w:jc w:val="left"/>
      </w:pPr>
      <w:r>
        <w:rPr>
          <w:rFonts w:ascii="Arial" w:cs="Arial" w:eastAsia="Arial" w:hAnsi="Arial"/>
          <w:sz w:val="20"/>
          <w:szCs w:val="20"/>
        </w:rPr>
        <w:t xml:space="preserve">Lewis, P., Perez, E., Piktus, A., Petroni, F., Karpukhin, V., Goyal, N., Küttler, H., Lewis, M., Yih, W., Rocktäschel, T., Riedel, S., &amp; Kiela, D. (2020). Retrieval-augmented generation for knowledge-intensive NLP tasks. En Advances in Neural Information Processing Systems (Vol. 33, pp. 9459–9474). https://arxiv.org/abs/2005.11401</w:t>
      </w:r>
    </w:p>
    <w:p>
      <w:pPr>
        <w:spacing w:after="120"/>
        <w:ind w:left="720" w:hanging="720"/>
        <w:jc w:val="left"/>
      </w:pPr>
      <w:r>
        <w:rPr>
          <w:rFonts w:ascii="Arial" w:cs="Arial" w:eastAsia="Arial" w:hAnsi="Arial"/>
          <w:sz w:val="20"/>
          <w:szCs w:val="20"/>
        </w:rPr>
        <w:t xml:space="preserve">Linde, P., Fichter, F., Dietlein, M., et al. (2026). Psychometric properties and detectability of GPT-4o-generated multiple-choice questions compared with human-authored items across imaging specialties. npj Digital Medicine, 9, 132. https://doi.org/10.1038/s41746-025-02313-7</w:t>
      </w:r>
    </w:p>
    <w:p>
      <w:pPr>
        <w:spacing w:after="120"/>
        <w:ind w:left="720" w:hanging="720"/>
        <w:jc w:val="left"/>
      </w:pPr>
      <w:r>
        <w:rPr>
          <w:rFonts w:ascii="Arial" w:cs="Arial" w:eastAsia="Arial" w:hAnsi="Arial"/>
          <w:sz w:val="20"/>
          <w:szCs w:val="20"/>
        </w:rPr>
        <w:t xml:space="preserve">Meazure Learning. (2022, 8 de febrero). How long does it take to create a multiple choice question? https://www.meazurelearning.com/resources/how-long-does-it-take-to-create-a-multiple-choice-question</w:t>
      </w:r>
    </w:p>
    <w:p>
      <w:pPr>
        <w:spacing w:after="120"/>
        <w:ind w:left="720" w:hanging="720"/>
        <w:jc w:val="left"/>
      </w:pPr>
      <w:r>
        <w:rPr>
          <w:rFonts w:ascii="Arial" w:cs="Arial" w:eastAsia="Arial" w:hAnsi="Arial"/>
          <w:sz w:val="20"/>
          <w:szCs w:val="20"/>
        </w:rPr>
        <w:t xml:space="preserve">Polanin, J. R., Austin, M., Taylor, J. A., Steingut, R. R., Rodgers, M. A., &amp; Williams, R. (2024). Effects of the 5E instructional model: A systematic review and meta-analysis. AERA Open, 10. https://doi.org/10.1177/23328584241269866</w:t>
      </w:r>
    </w:p>
    <w:p>
      <w:pPr>
        <w:spacing w:after="120"/>
        <w:ind w:left="720" w:hanging="720"/>
        <w:jc w:val="left"/>
      </w:pPr>
      <w:r>
        <w:rPr>
          <w:rFonts w:ascii="Arial" w:cs="Arial" w:eastAsia="Arial" w:hAnsi="Arial"/>
          <w:sz w:val="20"/>
          <w:szCs w:val="20"/>
        </w:rPr>
        <w:t xml:space="preserve">Ramos Alvarez, J. I., Torres, R. V., Segarra Faggioni, V., &amp; Pinza Tapia, E. I. (2024). Creación de distractores para preguntas de opción múltiple mediante técnicas de incrustación (Word Embedding). Revista Tecnológica - ESPOL, 36(2), 95–110. https://doi.org/10.37815/rte.v36n2.1161</w:t>
      </w:r>
    </w:p>
    <w:p>
      <w:pPr>
        <w:spacing w:after="120"/>
        <w:ind w:left="720" w:hanging="720"/>
        <w:jc w:val="left"/>
      </w:pPr>
      <w:r>
        <w:rPr>
          <w:rFonts w:ascii="Arial" w:cs="Arial" w:eastAsia="Arial" w:hAnsi="Arial"/>
          <w:sz w:val="20"/>
          <w:szCs w:val="20"/>
        </w:rPr>
        <w:t xml:space="preserve">Ren, S., &amp; Zhu, K. Q. (2021). Knowledge-driven distractor generation for cloze-style multiple choice questions. Proceedings of the AAAI Conference on Artificial Intelligence, 35(5), 4339–4347. https://doi.org/10.1609/aaai.v35i5.16559</w:t>
      </w:r>
    </w:p>
    <w:p>
      <w:pPr>
        <w:spacing w:after="120"/>
        <w:ind w:left="720" w:hanging="720"/>
        <w:jc w:val="left"/>
      </w:pPr>
      <w:r>
        <w:rPr>
          <w:rFonts w:ascii="Arial" w:cs="Arial" w:eastAsia="Arial" w:hAnsi="Arial"/>
          <w:sz w:val="20"/>
          <w:szCs w:val="20"/>
        </w:rPr>
        <w:t xml:space="preserve">Research Square. (2019). Item analysis: The impact of distractor efficiency on the discrimination power of multiple choice items [Preprint]. https://www.researchsquare.com/article/rs-6556/v1</w:t>
      </w:r>
    </w:p>
    <w:p>
      <w:pPr>
        <w:spacing w:after="120"/>
        <w:ind w:left="720" w:hanging="720"/>
        <w:jc w:val="left"/>
      </w:pPr>
      <w:r>
        <w:rPr>
          <w:rFonts w:ascii="Arial" w:cs="Arial" w:eastAsia="Arial" w:hAnsi="Arial"/>
          <w:sz w:val="20"/>
          <w:szCs w:val="20"/>
        </w:rPr>
        <w:t xml:space="preserve">Rezigalla, A. A., et al. (2024). Item analysis: The impact of distractor efficiency on the difficulty index and discrimination power of multiple-choice items. BMC Medical Education, 24(1), 445. https://pubmed.ncbi.nlm.nih.gov/38658912/</w:t>
      </w:r>
    </w:p>
    <w:p>
      <w:pPr>
        <w:spacing w:after="120"/>
        <w:ind w:left="720" w:hanging="720"/>
        <w:jc w:val="left"/>
      </w:pPr>
      <w:r>
        <w:rPr>
          <w:rFonts w:ascii="Arial" w:cs="Arial" w:eastAsia="Arial" w:hAnsi="Arial"/>
          <w:sz w:val="20"/>
          <w:szCs w:val="20"/>
        </w:rPr>
        <w:t xml:space="preserve">Rodriguez-Torrealba, R., Garcia-Lopez, E., &amp; Garcia-Cabot, A. (2022). End-to-end generation of multiple-choice questions using text-to-text transfer transformer models. Expert Systems with Applications, 208, 118258. https://doi.org/10.1016/j.eswa.2022.118258</w:t>
      </w:r>
    </w:p>
    <w:p>
      <w:pPr>
        <w:spacing w:after="120"/>
        <w:ind w:left="720" w:hanging="720"/>
        <w:jc w:val="left"/>
      </w:pPr>
      <w:r>
        <w:rPr>
          <w:rFonts w:ascii="Arial" w:cs="Arial" w:eastAsia="Arial" w:hAnsi="Arial"/>
          <w:sz w:val="20"/>
          <w:szCs w:val="20"/>
        </w:rPr>
        <w:t xml:space="preserve">Testa, S., Toscano, A., &amp; Rosato, R. (2018). Distractor efficiency in an item pool for a statistics classroom exam. Frontiers in Psychology, 9, 1585. https://doi.org/10.3389/fpsyg.2018.01585</w:t>
      </w:r>
    </w:p>
    <w:p>
      <w:pPr>
        <w:spacing w:after="120"/>
        <w:ind w:left="720" w:hanging="720"/>
        <w:jc w:val="left"/>
      </w:pPr>
      <w:r>
        <w:rPr>
          <w:rFonts w:ascii="Arial" w:cs="Arial" w:eastAsia="Arial" w:hAnsi="Arial"/>
          <w:sz w:val="20"/>
          <w:szCs w:val="20"/>
        </w:rPr>
        <w:t xml:space="preserve">Yu, H.-C., et al. (2024). Enhancing distractor generation for multiple-choice questions with retrieval augmented pretraining and knowledge graph integration. En Findings of the Association for Computational Linguistics: ACL 2024 (pp. 11019–11029). https://doi.org/10.18653/v1/2024.findings-acl.655</w:t>
      </w:r>
    </w:p>
    <w:p>
      <w:pPr>
        <w:spacing w:after="120"/>
        <w:ind w:left="720" w:hanging="720"/>
        <w:jc w:val="left"/>
      </w:pPr>
      <w:r>
        <w:rPr>
          <w:rFonts w:ascii="Arial" w:cs="Arial" w:eastAsia="Arial" w:hAnsi="Arial"/>
          <w:sz w:val="20"/>
          <w:szCs w:val="20"/>
        </w:rPr>
        <w:t xml:space="preserve">Exploring the use of retrieval-augmented generation models in higher education: A pilot study on artificial intelligence-based tutoring. (2025). Computers and Education Open. https://www.sciencedirect.com/science/article/pii/S2590291125004796</w:t>
      </w:r>
    </w:p>
    <w:p>
      <w:pPr>
        <w:spacing w:after="120"/>
        <w:ind w:left="720" w:hanging="720"/>
        <w:jc w:val="left"/>
      </w:pPr>
      <w:r>
        <w:rPr>
          <w:rFonts w:ascii="Arial" w:cs="Arial" w:eastAsia="Arial" w:hAnsi="Arial"/>
          <w:sz w:val="20"/>
          <w:szCs w:val="20"/>
        </w:rPr>
        <w:t xml:space="preserve">Retrieval-augmented generation for educational application: A systematic survey. (2025). Computers and Education: Artificial Intelligence. https://www.sciencedirect.com/science/article/pii/S2666920X25000578</w:t>
      </w:r>
    </w:p>
    <w:p>
      <w:pPr>
        <w:spacing w:after="120" w:before="120" w:line="276"/>
        <w:jc w:val="both"/>
      </w:pPr>
      <w:r>
        <w:rPr>
          <w:rFonts w:ascii="Arial" w:cs="Arial" w:eastAsia="Arial" w:hAnsi="Arial"/>
          <w:i/>
          <w:iCs/>
          <w:sz w:val="18"/>
          <w:szCs w:val="18"/>
        </w:rPr>
        <w:t xml:space="preserve">Nota del equipo: las dos últimas referencias se registran por título porque no se pudo confirmar la autoría completa; deben completarse con los datos de la fuente antes de la entrega final, junto con el volumen y el número de artículo.</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Semana 1 · Inception · Taller Integrador 1 · 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Semana 1 · Inception · Taller Integrador 1 · Página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Semana 1 · Inception · Taller Integrador 1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2026-09-26T12:37:40.390Z</dcterms:created>
  <dcterms:modified xsi:type="dcterms:W3CDTF">2026-09-26T12:37:40.399Z</dcterms:modified>
</cp:coreProperties>
</file>

<file path=docProps/custom.xml><?xml version="1.0" encoding="utf-8"?>
<Properties xmlns="http://schemas.openxmlformats.org/officeDocument/2006/custom-properties" xmlns:vt="http://schemas.openxmlformats.org/officeDocument/2006/docPropsVTypes"/>
</file>