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6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UNIVERSIDAD PRIVADA ANTENOR ORREGO</w:t>
      </w:r>
    </w:p>
    <w:p>
      <w:pPr>
        <w:spacing w:after="420"/>
        <w:jc w:val="center"/>
      </w:pPr>
      <w:r>
        <w:rPr>
          <w:rFonts w:ascii="Arial" w:cs="Arial" w:eastAsia="Arial" w:hAnsi="Arial"/>
          <w:sz w:val="24"/>
          <w:szCs w:val="24"/>
        </w:rPr>
        <w:t xml:space="preserve">Taller Integrador 1 · Semana 2 — Product Discovery</w:t>
      </w:r>
    </w:p>
    <w:p>
      <w:pPr>
        <w:spacing w:after="180"/>
        <w:jc w:val="center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Plataforma de generación asistida de contenido educativo y evaluaciones a partir del material del docente, interoperable con sistemas de gestión del aprendizaje</w:t>
      </w:r>
    </w:p>
    <w:p>
      <w:pPr>
        <w:spacing w:after="62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Indicadores e instrumentos de medición · Estado del arte · Síntesis por indicador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Integrantes</w:t>
      </w:r>
    </w:p>
    <w:p>
      <w:pPr>
        <w:spacing w:after="40"/>
        <w:jc w:val="center"/>
      </w:pPr>
      <w:r>
        <w:rPr>
          <w:rFonts w:ascii="Arial" w:cs="Arial" w:eastAsia="Arial" w:hAnsi="Arial"/>
          <w:sz w:val="22"/>
          <w:szCs w:val="22"/>
        </w:rPr>
        <w:t xml:space="preserve">Juan Alegria</w:t>
      </w:r>
    </w:p>
    <w:p>
      <w:pPr>
        <w:spacing w:after="40"/>
        <w:jc w:val="center"/>
      </w:pPr>
      <w:r>
        <w:rPr>
          <w:rFonts w:ascii="Arial" w:cs="Arial" w:eastAsia="Arial" w:hAnsi="Arial"/>
          <w:sz w:val="22"/>
          <w:szCs w:val="22"/>
        </w:rPr>
        <w:t xml:space="preserve">Silvana Diaz</w:t>
      </w:r>
    </w:p>
    <w:p>
      <w:pPr>
        <w:spacing w:after="40"/>
        <w:jc w:val="center"/>
      </w:pPr>
      <w:r>
        <w:rPr>
          <w:rFonts w:ascii="Arial" w:cs="Arial" w:eastAsia="Arial" w:hAnsi="Arial"/>
          <w:sz w:val="22"/>
          <w:szCs w:val="22"/>
        </w:rPr>
        <w:t xml:space="preserve">Yan Liu Dai</w:t>
      </w:r>
    </w:p>
    <w:p>
      <w:pPr>
        <w:spacing w:after="40"/>
        <w:jc w:val="center"/>
      </w:pPr>
      <w:r>
        <w:rPr>
          <w:rFonts w:ascii="Arial" w:cs="Arial" w:eastAsia="Arial" w:hAnsi="Arial"/>
          <w:sz w:val="22"/>
          <w:szCs w:val="22"/>
        </w:rPr>
        <w:t xml:space="preserve">Sergio Celi</w:t>
      </w:r>
    </w:p>
    <w:p>
      <w:pPr>
        <w:spacing w:before="620"/>
        <w:jc w:val="center"/>
      </w:pPr>
      <w:r>
        <w:rPr>
          <w:rFonts w:ascii="Arial" w:cs="Arial" w:eastAsia="Arial" w:hAnsi="Arial"/>
          <w:sz w:val="22"/>
          <w:szCs w:val="22"/>
        </w:rPr>
        <w:t xml:space="preserve">Trujillo – Perú, setiembre de 2026</w:t>
      </w:r>
    </w:p>
    <w:p>
      <w:r>
        <w:br w:type="page"/>
      </w:r>
    </w:p>
    <w:p>
      <w:pPr>
        <w:spacing w:after="2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Contenido</w:t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20" w:before="120" w:line="276"/>
        <w:jc w:val="both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Nota: en Word, clic derecho sobre el índice y «Actualizar campos».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Arial" w:cs="Arial" w:eastAsia="Arial" w:hAnsi="Arial"/>
        </w:rPr>
        <w:t xml:space="preserve">1. Propósito del entregable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La Semana 2 operacionaliza lo definido en el Inception: convierte las siete familias de métricas y las doce brechas en una matriz de indicadores con fórmula, meta, instrumento y momento de medición, y contrasta esas metas con los valores que reporta la literatura. El estado del arte se organiza en función de los indicadores, de modo que cada fuente aporte un referente comparable y no solo una cita.</w:t>
      </w:r>
    </w:p>
    <w:p>
      <w:pPr>
        <w:sectPr>
          <w:footerReference w:type="default" r:id="rId7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  <w:spacing w:after="160" w:before="240"/>
      </w:pPr>
      <w:r>
        <w:rPr>
          <w:rFonts w:ascii="Arial" w:cs="Arial" w:eastAsia="Arial" w:hAnsi="Arial"/>
        </w:rPr>
        <w:t xml:space="preserve">2. Indicadores derivados de las métricas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De las siete familias se derivan veintitrés indicadores con definición operacional, meta e instrumento. Las metas provienen de valores de referencia del estado del arte o de umbrales aceptados en psicometría y usabilidad; las marcadas con (*) son propuestas del equipo y se recalibrarán tras medir la línea base.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Tabla 1.</w:t>
      </w:r>
      <w:r>
        <w:rPr>
          <w:rFonts w:ascii="Arial" w:cs="Arial" w:eastAsia="Arial" w:hAnsi="Arial"/>
          <w:sz w:val="20"/>
          <w:szCs w:val="20"/>
        </w:rPr>
        <w:t xml:space="preserve"> Matriz de indicadores, metas e instrumentos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2050"/>
        <w:gridCol w:w="3400"/>
        <w:gridCol w:w="1900"/>
        <w:gridCol w:w="3300"/>
        <w:gridCol w:w="1800"/>
        <w:gridCol w:w="1500"/>
      </w:tblGrid>
      <w:tr>
        <w:trPr>
          <w:cantSplit/>
          <w:tblHeader/>
        </w:trPr>
        <w:tc>
          <w:tcPr>
            <w:tcW w:type="dxa" w:w="62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Cód.</w:t>
            </w:r>
          </w:p>
        </w:tc>
        <w:tc>
          <w:tcPr>
            <w:tcW w:type="dxa" w:w="20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Indicador</w:t>
            </w:r>
          </w:p>
        </w:tc>
        <w:tc>
          <w:tcPr>
            <w:tcW w:type="dxa" w:w="34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Definición operacional</w:t>
            </w:r>
          </w:p>
        </w:tc>
        <w:tc>
          <w:tcPr>
            <w:tcW w:type="dxa" w:w="1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Meta</w:t>
            </w:r>
          </w:p>
        </w:tc>
        <w:tc>
          <w:tcPr>
            <w:tcW w:type="dxa" w:w="3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Instrumento</w:t>
            </w:r>
          </w:p>
        </w:tc>
        <w:tc>
          <w:tcPr>
            <w:tcW w:type="dxa" w:w="18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Momento</w:t>
            </w:r>
          </w:p>
        </w:tc>
        <w:tc>
          <w:tcPr>
            <w:tcW w:type="dxa" w:w="1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Familia</w:t>
            </w:r>
          </w:p>
        </w:tc>
      </w:tr>
      <w:tr>
        <w:trPr>
          <w:cantSplit/>
          <w:tblHeader w:val="false"/>
        </w:trPr>
        <w:tc>
          <w:tcPr>
            <w:tcW w:type="dxa" w:w="62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I1</w:t>
            </w:r>
          </w:p>
        </w:tc>
        <w:tc>
          <w:tcPr>
            <w:tcW w:type="dxa" w:w="20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Tiempo medio por recurso</w:t>
            </w:r>
          </w:p>
        </w:tc>
        <w:tc>
          <w:tcPr>
            <w:tcW w:type="dxa" w:w="34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Σ minutos invertidos / n.º de recursos publicados, comparando flujo manual y asistido con los mismos docentes.</w:t>
            </w:r>
          </w:p>
        </w:tc>
        <w:tc>
          <w:tcPr>
            <w:tcW w:type="dxa" w:w="1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Reducción ≥ 50 %</w:t>
            </w:r>
          </w:p>
        </w:tc>
        <w:tc>
          <w:tcPr>
            <w:tcW w:type="dxa" w:w="3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Ficha de cronometraje y marcas de tiempo del sistema.</w:t>
            </w:r>
          </w:p>
        </w:tc>
        <w:tc>
          <w:tcPr>
            <w:tcW w:type="dxa" w:w="18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Línea base y piloto</w:t>
            </w:r>
          </w:p>
        </w:tc>
        <w:tc>
          <w:tcPr>
            <w:tcW w:type="dxa" w:w="1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7</w:t>
            </w:r>
          </w:p>
        </w:tc>
      </w:tr>
      <w:tr>
        <w:trPr>
          <w:cantSplit/>
          <w:tblHeader w:val="false"/>
        </w:trPr>
        <w:tc>
          <w:tcPr>
            <w:tcW w:type="dxa" w:w="62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I2</w:t>
            </w:r>
          </w:p>
        </w:tc>
        <w:tc>
          <w:tcPr>
            <w:tcW w:type="dxa" w:w="20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Tasa de aceptación directa</w:t>
            </w:r>
          </w:p>
        </w:tc>
        <w:tc>
          <w:tcPr>
            <w:tcW w:type="dxa" w:w="34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(Recursos aceptados sin edición / recursos propuestos) × 100.</w:t>
            </w:r>
          </w:p>
        </w:tc>
        <w:tc>
          <w:tcPr>
            <w:tcW w:type="dxa" w:w="1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≥ 50 %</w:t>
            </w:r>
          </w:p>
        </w:tc>
        <w:tc>
          <w:tcPr>
            <w:tcW w:type="dxa" w:w="3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Registro de acciones de la interfaz de revisión.</w:t>
            </w:r>
          </w:p>
        </w:tc>
        <w:tc>
          <w:tcPr>
            <w:tcW w:type="dxa" w:w="18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Sprints 1–2 y piloto</w:t>
            </w:r>
          </w:p>
        </w:tc>
        <w:tc>
          <w:tcPr>
            <w:tcW w:type="dxa" w:w="1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5</w:t>
            </w:r>
          </w:p>
        </w:tc>
      </w:tr>
      <w:tr>
        <w:trPr>
          <w:cantSplit/>
          <w:tblHeader w:val="false"/>
        </w:trPr>
        <w:tc>
          <w:tcPr>
            <w:tcW w:type="dxa" w:w="62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I3</w:t>
            </w:r>
          </w:p>
        </w:tc>
        <w:tc>
          <w:tcPr>
            <w:tcW w:type="dxa" w:w="20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Distractores sin sentido (NDR)</w:t>
            </w:r>
          </w:p>
        </w:tc>
        <w:tc>
          <w:tcPr>
            <w:tcW w:type="dxa" w:w="34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(Distractores calificados «sin sentido» / evaluados) × 100.</w:t>
            </w:r>
          </w:p>
        </w:tc>
        <w:tc>
          <w:tcPr>
            <w:tcW w:type="dxa" w:w="1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≤ 10 %</w:t>
            </w:r>
          </w:p>
        </w:tc>
        <w:tc>
          <w:tcPr>
            <w:tcW w:type="dxa" w:w="3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Rúbrica de juicio experto.</w:t>
            </w:r>
          </w:p>
        </w:tc>
        <w:tc>
          <w:tcPr>
            <w:tcW w:type="dxa" w:w="18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Cierre de cada sprint</w:t>
            </w:r>
          </w:p>
        </w:tc>
        <w:tc>
          <w:tcPr>
            <w:tcW w:type="dxa" w:w="1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5</w:t>
            </w:r>
          </w:p>
        </w:tc>
      </w:tr>
      <w:tr>
        <w:trPr>
          <w:cantSplit/>
          <w:tblHeader w:val="false"/>
        </w:trPr>
        <w:tc>
          <w:tcPr>
            <w:tcW w:type="dxa" w:w="62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I4</w:t>
            </w:r>
          </w:p>
        </w:tc>
        <w:tc>
          <w:tcPr>
            <w:tcW w:type="dxa" w:w="20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Plausibilidad y concordancia</w:t>
            </w:r>
          </w:p>
        </w:tc>
        <w:tc>
          <w:tcPr>
            <w:tcW w:type="dxa" w:w="34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Media en escala 1–3 y kappa de Cohen entre dos evaluadores.</w:t>
            </w:r>
          </w:p>
        </w:tc>
        <w:tc>
          <w:tcPr>
            <w:tcW w:type="dxa" w:w="1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Media ≥ 2,3 (*); κ ≥ 0,41</w:t>
            </w:r>
          </w:p>
        </w:tc>
        <w:tc>
          <w:tcPr>
            <w:tcW w:type="dxa" w:w="3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Rúbrica validada con doble anotación.</w:t>
            </w:r>
          </w:p>
        </w:tc>
        <w:tc>
          <w:tcPr>
            <w:tcW w:type="dxa" w:w="18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Cierre de cada sprint</w:t>
            </w:r>
          </w:p>
        </w:tc>
        <w:tc>
          <w:tcPr>
            <w:tcW w:type="dxa" w:w="1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5</w:t>
            </w:r>
          </w:p>
        </w:tc>
      </w:tr>
      <w:tr>
        <w:trPr>
          <w:cantSplit/>
          <w:tblHeader w:val="false"/>
        </w:trPr>
        <w:tc>
          <w:tcPr>
            <w:tcW w:type="dxa" w:w="62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I5</w:t>
            </w:r>
          </w:p>
        </w:tc>
        <w:tc>
          <w:tcPr>
            <w:tcW w:type="dxa" w:w="20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Error de fiabilidad</w:t>
            </w:r>
          </w:p>
        </w:tc>
        <w:tc>
          <w:tcPr>
            <w:tcW w:type="dxa" w:w="34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(Distractores que también son correctos / evaluados) × 100.</w:t>
            </w:r>
          </w:p>
        </w:tc>
        <w:tc>
          <w:tcPr>
            <w:tcW w:type="dxa" w:w="1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≤ 5 % (*)</w:t>
            </w:r>
          </w:p>
        </w:tc>
        <w:tc>
          <w:tcPr>
            <w:tcW w:type="dxa" w:w="3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Criterio binario de la rúbrica más verificación contra la evidencia.</w:t>
            </w:r>
          </w:p>
        </w:tc>
        <w:tc>
          <w:tcPr>
            <w:tcW w:type="dxa" w:w="18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Cierre de cada sprint</w:t>
            </w:r>
          </w:p>
        </w:tc>
        <w:tc>
          <w:tcPr>
            <w:tcW w:type="dxa" w:w="1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5</w:t>
            </w:r>
          </w:p>
        </w:tc>
      </w:tr>
      <w:tr>
        <w:trPr>
          <w:cantSplit/>
          <w:tblHeader w:val="false"/>
        </w:trPr>
        <w:tc>
          <w:tcPr>
            <w:tcW w:type="dxa" w:w="62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I6</w:t>
            </w:r>
          </w:p>
        </w:tc>
        <w:tc>
          <w:tcPr>
            <w:tcW w:type="dxa" w:w="20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Precisión frente a referencia</w:t>
            </w:r>
          </w:p>
        </w:tc>
        <w:tc>
          <w:tcPr>
            <w:tcW w:type="dxa" w:w="34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P@1, F1@3 y NDCG@10 sobre el conjunto gold en español.</w:t>
            </w:r>
          </w:p>
        </w:tc>
        <w:tc>
          <w:tcPr>
            <w:tcW w:type="dxa" w:w="1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Superar la línea base de solo embeddings en ≥ 10 % relativo (*)</w:t>
            </w:r>
          </w:p>
        </w:tc>
        <w:tc>
          <w:tcPr>
            <w:tcW w:type="dxa" w:w="3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Script de evaluación offline.</w:t>
            </w:r>
          </w:p>
        </w:tc>
        <w:tc>
          <w:tcPr>
            <w:tcW w:type="dxa" w:w="18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Sprints 1–2</w:t>
            </w:r>
          </w:p>
        </w:tc>
        <w:tc>
          <w:tcPr>
            <w:tcW w:type="dxa" w:w="1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</w:t>
            </w:r>
          </w:p>
        </w:tc>
      </w:tr>
      <w:tr>
        <w:trPr>
          <w:cantSplit/>
          <w:tblHeader w:val="false"/>
        </w:trPr>
        <w:tc>
          <w:tcPr>
            <w:tcW w:type="dxa" w:w="62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I7</w:t>
            </w:r>
          </w:p>
        </w:tc>
        <w:tc>
          <w:tcPr>
            <w:tcW w:type="dxa" w:w="20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Diversidad de distractores</w:t>
            </w:r>
          </w:p>
        </w:tc>
        <w:tc>
          <w:tcPr>
            <w:tcW w:type="dxa" w:w="34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(Pares con similitud coseno &gt; 0,90 / total de pares) × 100.</w:t>
            </w:r>
          </w:p>
        </w:tc>
        <w:tc>
          <w:tcPr>
            <w:tcW w:type="dxa" w:w="1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≤ 5 % duplicados (*)</w:t>
            </w:r>
          </w:p>
        </w:tc>
        <w:tc>
          <w:tcPr>
            <w:tcW w:type="dxa" w:w="3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Script de embeddings.</w:t>
            </w:r>
          </w:p>
        </w:tc>
        <w:tc>
          <w:tcPr>
            <w:tcW w:type="dxa" w:w="18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Cada ejecución</w:t>
            </w:r>
          </w:p>
        </w:tc>
        <w:tc>
          <w:tcPr>
            <w:tcW w:type="dxa" w:w="1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</w:t>
            </w:r>
          </w:p>
        </w:tc>
      </w:tr>
      <w:tr>
        <w:trPr>
          <w:cantSplit/>
          <w:tblHeader w:val="false"/>
        </w:trPr>
        <w:tc>
          <w:tcPr>
            <w:tcW w:type="dxa" w:w="62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I8</w:t>
            </w:r>
          </w:p>
        </w:tc>
        <w:tc>
          <w:tcPr>
            <w:tcW w:type="dxa" w:w="20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Índice de dificultad</w:t>
            </w:r>
          </w:p>
        </w:tc>
        <w:tc>
          <w:tcPr>
            <w:tcW w:type="dxa" w:w="34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 = respuestas correctas / respuestas totales al ítem.</w:t>
            </w:r>
          </w:p>
        </w:tc>
        <w:tc>
          <w:tcPr>
            <w:tcW w:type="dxa" w:w="1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0,30–0,80 en ≥ 70 % de ítems</w:t>
            </w:r>
          </w:p>
        </w:tc>
        <w:tc>
          <w:tcPr>
            <w:tcW w:type="dxa" w:w="3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Análisis de ítems con respuestas de estudiantes.</w:t>
            </w:r>
          </w:p>
        </w:tc>
        <w:tc>
          <w:tcPr>
            <w:tcW w:type="dxa" w:w="18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Piloto</w:t>
            </w:r>
          </w:p>
        </w:tc>
        <w:tc>
          <w:tcPr>
            <w:tcW w:type="dxa" w:w="1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6</w:t>
            </w:r>
          </w:p>
        </w:tc>
      </w:tr>
      <w:tr>
        <w:trPr>
          <w:cantSplit/>
          <w:tblHeader w:val="false"/>
        </w:trPr>
        <w:tc>
          <w:tcPr>
            <w:tcW w:type="dxa" w:w="62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I9</w:t>
            </w:r>
          </w:p>
        </w:tc>
        <w:tc>
          <w:tcPr>
            <w:tcW w:type="dxa" w:w="20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Eficiencia de distractores</w:t>
            </w:r>
          </w:p>
        </w:tc>
        <w:tc>
          <w:tcPr>
            <w:tcW w:type="dxa" w:w="34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(Distractores con elección ≥ 5 % y r-pb &lt; 0 / total) × 100.</w:t>
            </w:r>
          </w:p>
        </w:tc>
        <w:tc>
          <w:tcPr>
            <w:tcW w:type="dxa" w:w="1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≥ 65 %</w:t>
            </w:r>
          </w:p>
        </w:tc>
        <w:tc>
          <w:tcPr>
            <w:tcW w:type="dxa" w:w="3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Reporte de análisis de ítems por distractor.</w:t>
            </w:r>
          </w:p>
        </w:tc>
        <w:tc>
          <w:tcPr>
            <w:tcW w:type="dxa" w:w="18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Piloto</w:t>
            </w:r>
          </w:p>
        </w:tc>
        <w:tc>
          <w:tcPr>
            <w:tcW w:type="dxa" w:w="1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6</w:t>
            </w:r>
          </w:p>
        </w:tc>
      </w:tr>
      <w:tr>
        <w:trPr>
          <w:cantSplit/>
          <w:tblHeader w:val="false"/>
        </w:trPr>
        <w:tc>
          <w:tcPr>
            <w:tcW w:type="dxa" w:w="62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I10</w:t>
            </w:r>
          </w:p>
        </w:tc>
        <w:tc>
          <w:tcPr>
            <w:tcW w:type="dxa" w:w="20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Discriminación del ítem</w:t>
            </w:r>
          </w:p>
        </w:tc>
        <w:tc>
          <w:tcPr>
            <w:tcW w:type="dxa" w:w="34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Correlación punto-biserial entre acierto y puntaje total.</w:t>
            </w:r>
          </w:p>
        </w:tc>
        <w:tc>
          <w:tcPr>
            <w:tcW w:type="dxa" w:w="1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r-pb ≥ 0,20 en ≥ 70 % de ítems</w:t>
            </w:r>
          </w:p>
        </w:tc>
        <w:tc>
          <w:tcPr>
            <w:tcW w:type="dxa" w:w="3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Análisis de ítems.</w:t>
            </w:r>
          </w:p>
        </w:tc>
        <w:tc>
          <w:tcPr>
            <w:tcW w:type="dxa" w:w="18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Piloto</w:t>
            </w:r>
          </w:p>
        </w:tc>
        <w:tc>
          <w:tcPr>
            <w:tcW w:type="dxa" w:w="1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6</w:t>
            </w:r>
          </w:p>
        </w:tc>
      </w:tr>
      <w:tr>
        <w:trPr>
          <w:cantSplit/>
          <w:tblHeader w:val="false"/>
        </w:trPr>
        <w:tc>
          <w:tcPr>
            <w:tcW w:type="dxa" w:w="62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I11</w:t>
            </w:r>
          </w:p>
        </w:tc>
        <w:tc>
          <w:tcPr>
            <w:tcW w:type="dxa" w:w="20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Latencia</w:t>
            </w:r>
          </w:p>
        </w:tc>
        <w:tc>
          <w:tcPr>
            <w:tcW w:type="dxa" w:w="34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Percentil 95 del tiempo de recuperación y de generación por recurso.</w:t>
            </w:r>
          </w:p>
        </w:tc>
        <w:tc>
          <w:tcPr>
            <w:tcW w:type="dxa" w:w="1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Recuperación ≤ 2 s; generación ≤ 15 s (*)</w:t>
            </w:r>
          </w:p>
        </w:tc>
        <w:tc>
          <w:tcPr>
            <w:tcW w:type="dxa" w:w="3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Registros del backend y pruebas de carga.</w:t>
            </w:r>
          </w:p>
        </w:tc>
        <w:tc>
          <w:tcPr>
            <w:tcW w:type="dxa" w:w="18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Cierre de Sprint 2</w:t>
            </w:r>
          </w:p>
        </w:tc>
        <w:tc>
          <w:tcPr>
            <w:tcW w:type="dxa" w:w="1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7</w:t>
            </w:r>
          </w:p>
        </w:tc>
      </w:tr>
      <w:tr>
        <w:trPr>
          <w:cantSplit/>
          <w:tblHeader w:val="false"/>
        </w:trPr>
        <w:tc>
          <w:tcPr>
            <w:tcW w:type="dxa" w:w="62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I12</w:t>
            </w:r>
          </w:p>
        </w:tc>
        <w:tc>
          <w:tcPr>
            <w:tcW w:type="dxa" w:w="20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Usabilidad percibida</w:t>
            </w:r>
          </w:p>
        </w:tc>
        <w:tc>
          <w:tcPr>
            <w:tcW w:type="dxa" w:w="34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Puntaje del System Usability Scale (0–100).</w:t>
            </w:r>
          </w:p>
        </w:tc>
        <w:tc>
          <w:tcPr>
            <w:tcW w:type="dxa" w:w="1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≥ 68</w:t>
            </w:r>
          </w:p>
        </w:tc>
        <w:tc>
          <w:tcPr>
            <w:tcW w:type="dxa" w:w="3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Cuestionario SUS de 10 ítems (Brooke, 1996).</w:t>
            </w:r>
          </w:p>
        </w:tc>
        <w:tc>
          <w:tcPr>
            <w:tcW w:type="dxa" w:w="18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Piloto</w:t>
            </w:r>
          </w:p>
        </w:tc>
        <w:tc>
          <w:tcPr>
            <w:tcW w:type="dxa" w:w="1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7</w:t>
            </w:r>
          </w:p>
        </w:tc>
      </w:tr>
      <w:tr>
        <w:trPr>
          <w:cantSplit/>
          <w:tblHeader w:val="false"/>
        </w:trPr>
        <w:tc>
          <w:tcPr>
            <w:tcW w:type="dxa" w:w="62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I13</w:t>
            </w:r>
          </w:p>
        </w:tc>
        <w:tc>
          <w:tcPr>
            <w:tcW w:type="dxa" w:w="20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Disponibilidad</w:t>
            </w:r>
          </w:p>
        </w:tc>
        <w:tc>
          <w:tcPr>
            <w:tcW w:type="dxa" w:w="34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(Tiempo operativo / tiempo total del piloto) × 100.</w:t>
            </w:r>
          </w:p>
        </w:tc>
        <w:tc>
          <w:tcPr>
            <w:tcW w:type="dxa" w:w="1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≥ 99 % (*)</w:t>
            </w:r>
          </w:p>
        </w:tc>
        <w:tc>
          <w:tcPr>
            <w:tcW w:type="dxa" w:w="3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Monitor de disponibilidad.</w:t>
            </w:r>
          </w:p>
        </w:tc>
        <w:tc>
          <w:tcPr>
            <w:tcW w:type="dxa" w:w="18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Piloto</w:t>
            </w:r>
          </w:p>
        </w:tc>
        <w:tc>
          <w:tcPr>
            <w:tcW w:type="dxa" w:w="1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7</w:t>
            </w:r>
          </w:p>
        </w:tc>
      </w:tr>
      <w:tr>
        <w:trPr>
          <w:cantSplit/>
          <w:tblHeader w:val="false"/>
        </w:trPr>
        <w:tc>
          <w:tcPr>
            <w:tcW w:type="dxa" w:w="62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I14</w:t>
            </w:r>
          </w:p>
        </w:tc>
        <w:tc>
          <w:tcPr>
            <w:tcW w:type="dxa" w:w="20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Seguridad</w:t>
            </w:r>
          </w:p>
        </w:tc>
        <w:tc>
          <w:tcPr>
            <w:tcW w:type="dxa" w:w="34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Vulnerabilidades altas o críticas; % de endpoints con control de acceso por rol.</w:t>
            </w:r>
          </w:p>
        </w:tc>
        <w:tc>
          <w:tcPr>
            <w:tcW w:type="dxa" w:w="1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0 críticas; 100 % endpoints</w:t>
            </w:r>
          </w:p>
        </w:tc>
        <w:tc>
          <w:tcPr>
            <w:tcW w:type="dxa" w:w="3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Escaneo OWASP ZAP y checklist ASVS nivel 1.</w:t>
            </w:r>
          </w:p>
        </w:tc>
        <w:tc>
          <w:tcPr>
            <w:tcW w:type="dxa" w:w="18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Antes del piloto</w:t>
            </w:r>
          </w:p>
        </w:tc>
        <w:tc>
          <w:tcPr>
            <w:tcW w:type="dxa" w:w="1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7</w:t>
            </w:r>
          </w:p>
        </w:tc>
      </w:tr>
      <w:tr>
        <w:trPr>
          <w:cantSplit/>
          <w:tblHeader w:val="false"/>
        </w:trPr>
        <w:tc>
          <w:tcPr>
            <w:tcW w:type="dxa" w:w="62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I15</w:t>
            </w:r>
          </w:p>
        </w:tc>
        <w:tc>
          <w:tcPr>
            <w:tcW w:type="dxa" w:w="20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Gestión del proyecto</w:t>
            </w:r>
          </w:p>
        </w:tc>
        <w:tc>
          <w:tcPr>
            <w:tcW w:type="dxa" w:w="34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(Historias terminadas / comprometidas) × 100 por sprint.</w:t>
            </w:r>
          </w:p>
        </w:tc>
        <w:tc>
          <w:tcPr>
            <w:tcW w:type="dxa" w:w="1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≥ 85 %</w:t>
            </w:r>
          </w:p>
        </w:tc>
        <w:tc>
          <w:tcPr>
            <w:tcW w:type="dxa" w:w="3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Tablero Scrum y burndown.</w:t>
            </w:r>
          </w:p>
        </w:tc>
        <w:tc>
          <w:tcPr>
            <w:tcW w:type="dxa" w:w="18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Cierre de cada sprint</w:t>
            </w:r>
          </w:p>
        </w:tc>
        <w:tc>
          <w:tcPr>
            <w:tcW w:type="dxa" w:w="1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7</w:t>
            </w:r>
          </w:p>
        </w:tc>
      </w:tr>
      <w:tr>
        <w:trPr>
          <w:cantSplit/>
          <w:tblHeader w:val="false"/>
        </w:trPr>
        <w:tc>
          <w:tcPr>
            <w:tcW w:type="dxa" w:w="62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I16</w:t>
            </w:r>
          </w:p>
        </w:tc>
        <w:tc>
          <w:tcPr>
            <w:tcW w:type="dxa" w:w="20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Conformidad con el estándar</w:t>
            </w:r>
          </w:p>
        </w:tc>
        <w:tc>
          <w:tcPr>
            <w:tcW w:type="dxa" w:w="34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(Paquetes válidos ante el validador / paquetes generados) × 100.</w:t>
            </w:r>
          </w:p>
        </w:tc>
        <w:tc>
          <w:tcPr>
            <w:tcW w:type="dxa" w:w="1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100 %</w:t>
            </w:r>
          </w:p>
        </w:tc>
        <w:tc>
          <w:tcPr>
            <w:tcW w:type="dxa" w:w="3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Validador QTI de 1EdTech y verificación del manifiesto.</w:t>
            </w:r>
          </w:p>
        </w:tc>
        <w:tc>
          <w:tcPr>
            <w:tcW w:type="dxa" w:w="18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Cada entrega</w:t>
            </w:r>
          </w:p>
        </w:tc>
        <w:tc>
          <w:tcPr>
            <w:tcW w:type="dxa" w:w="1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7</w:t>
            </w:r>
          </w:p>
        </w:tc>
      </w:tr>
      <w:tr>
        <w:trPr>
          <w:cantSplit/>
          <w:tblHeader w:val="false"/>
        </w:trPr>
        <w:tc>
          <w:tcPr>
            <w:tcW w:type="dxa" w:w="62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I17</w:t>
            </w:r>
          </w:p>
        </w:tc>
        <w:tc>
          <w:tcPr>
            <w:tcW w:type="dxa" w:w="20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Importación exitosa</w:t>
            </w:r>
          </w:p>
        </w:tc>
        <w:tc>
          <w:tcPr>
            <w:tcW w:type="dxa" w:w="34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(Importaciones sin error / intentos) × 100 por LMS objetivo.</w:t>
            </w:r>
          </w:p>
        </w:tc>
        <w:tc>
          <w:tcPr>
            <w:tcW w:type="dxa" w:w="1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≥ 95 %</w:t>
            </w:r>
          </w:p>
        </w:tc>
        <w:tc>
          <w:tcPr>
            <w:tcW w:type="dxa" w:w="3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Pruebas de importación en instancias locales.</w:t>
            </w:r>
          </w:p>
        </w:tc>
        <w:tc>
          <w:tcPr>
            <w:tcW w:type="dxa" w:w="18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Cierre de cada sprint</w:t>
            </w:r>
          </w:p>
        </w:tc>
        <w:tc>
          <w:tcPr>
            <w:tcW w:type="dxa" w:w="1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7</w:t>
            </w:r>
          </w:p>
        </w:tc>
      </w:tr>
      <w:tr>
        <w:trPr>
          <w:cantSplit/>
          <w:tblHeader w:val="false"/>
        </w:trPr>
        <w:tc>
          <w:tcPr>
            <w:tcW w:type="dxa" w:w="62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I18</w:t>
            </w:r>
          </w:p>
        </w:tc>
        <w:tc>
          <w:tcPr>
            <w:tcW w:type="dxa" w:w="20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Portabilidad</w:t>
            </w:r>
          </w:p>
        </w:tc>
        <w:tc>
          <w:tcPr>
            <w:tcW w:type="dxa" w:w="34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Número de LMS distintos donde el mismo paquete funciona.</w:t>
            </w:r>
          </w:p>
        </w:tc>
        <w:tc>
          <w:tcPr>
            <w:tcW w:type="dxa" w:w="1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≥ 2 (ideal 3)</w:t>
            </w:r>
          </w:p>
        </w:tc>
        <w:tc>
          <w:tcPr>
            <w:tcW w:type="dxa" w:w="3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Matriz de compatibilidad LMS × versión del estándar.</w:t>
            </w:r>
          </w:p>
        </w:tc>
        <w:tc>
          <w:tcPr>
            <w:tcW w:type="dxa" w:w="18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Cierre de Sprint 2</w:t>
            </w:r>
          </w:p>
        </w:tc>
        <w:tc>
          <w:tcPr>
            <w:tcW w:type="dxa" w:w="1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7</w:t>
            </w:r>
          </w:p>
        </w:tc>
      </w:tr>
      <w:tr>
        <w:trPr>
          <w:cantSplit/>
          <w:tblHeader w:val="false"/>
        </w:trPr>
        <w:tc>
          <w:tcPr>
            <w:tcW w:type="dxa" w:w="62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I19</w:t>
            </w:r>
          </w:p>
        </w:tc>
        <w:tc>
          <w:tcPr>
            <w:tcW w:type="dxa" w:w="20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Fidelidad tras la importación</w:t>
            </w:r>
          </w:p>
        </w:tc>
        <w:tc>
          <w:tcPr>
            <w:tcW w:type="dxa" w:w="34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(Ítems que conservan enunciado, opciones, clave y retroalimentación / importados) × 100.</w:t>
            </w:r>
          </w:p>
        </w:tc>
        <w:tc>
          <w:tcPr>
            <w:tcW w:type="dxa" w:w="1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100 %</w:t>
            </w:r>
          </w:p>
        </w:tc>
        <w:tc>
          <w:tcPr>
            <w:tcW w:type="dxa" w:w="3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Lista de verificación antes y después de importar.</w:t>
            </w:r>
          </w:p>
        </w:tc>
        <w:tc>
          <w:tcPr>
            <w:tcW w:type="dxa" w:w="18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Cierre de cada sprint</w:t>
            </w:r>
          </w:p>
        </w:tc>
        <w:tc>
          <w:tcPr>
            <w:tcW w:type="dxa" w:w="1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7</w:t>
            </w:r>
          </w:p>
        </w:tc>
      </w:tr>
      <w:tr>
        <w:trPr>
          <w:cantSplit/>
          <w:tblHeader w:val="false"/>
        </w:trPr>
        <w:tc>
          <w:tcPr>
            <w:tcW w:type="dxa" w:w="62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I20</w:t>
            </w:r>
          </w:p>
        </w:tc>
        <w:tc>
          <w:tcPr>
            <w:tcW w:type="dxa" w:w="20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Calidad de la recuperación</w:t>
            </w:r>
          </w:p>
        </w:tc>
        <w:tc>
          <w:tcPr>
            <w:tcW w:type="dxa" w:w="34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recall@10 y precisión media sobre consultas con fragmentos relevantes anotados.</w:t>
            </w:r>
          </w:p>
        </w:tc>
        <w:tc>
          <w:tcPr>
            <w:tcW w:type="dxa" w:w="1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recall@10 ≥ 0,80</w:t>
            </w:r>
          </w:p>
        </w:tc>
        <w:tc>
          <w:tcPr>
            <w:tcW w:type="dxa" w:w="3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Conjunto de evaluación de recuperación y script de métricas.</w:t>
            </w:r>
          </w:p>
        </w:tc>
        <w:tc>
          <w:tcPr>
            <w:tcW w:type="dxa" w:w="18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Sprints 1–2</w:t>
            </w:r>
          </w:p>
        </w:tc>
        <w:tc>
          <w:tcPr>
            <w:tcW w:type="dxa" w:w="1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62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I21</w:t>
            </w:r>
          </w:p>
        </w:tc>
        <w:tc>
          <w:tcPr>
            <w:tcW w:type="dxa" w:w="20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Tasa de alucinación</w:t>
            </w:r>
          </w:p>
        </w:tc>
        <w:tc>
          <w:tcPr>
            <w:tcW w:type="dxa" w:w="34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Afirmaciones sin respaldo en los fragmentos recuperados / afirmaciones verificadas por muestreo.</w:t>
            </w:r>
          </w:p>
        </w:tc>
        <w:tc>
          <w:tcPr>
            <w:tcW w:type="dxa" w:w="1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≤ 3 %</w:t>
            </w:r>
          </w:p>
        </w:tc>
        <w:tc>
          <w:tcPr>
            <w:tcW w:type="dxa" w:w="3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Verificación automática de anclaje más auditoría manual por muestra.</w:t>
            </w:r>
          </w:p>
        </w:tc>
        <w:tc>
          <w:tcPr>
            <w:tcW w:type="dxa" w:w="18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Cierre de cada sprint</w:t>
            </w:r>
          </w:p>
        </w:tc>
        <w:tc>
          <w:tcPr>
            <w:tcW w:type="dxa" w:w="1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62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I22</w:t>
            </w:r>
          </w:p>
        </w:tc>
        <w:tc>
          <w:tcPr>
            <w:tcW w:type="dxa" w:w="20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Trazabilidad del recurso</w:t>
            </w:r>
          </w:p>
        </w:tc>
        <w:tc>
          <w:tcPr>
            <w:tcW w:type="dxa" w:w="34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Recursos cuyas afirmaciones citan al menos un fragmento verificable / recursos generados.</w:t>
            </w:r>
          </w:p>
        </w:tc>
        <w:tc>
          <w:tcPr>
            <w:tcW w:type="dxa" w:w="1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≥ 95 %</w:t>
            </w:r>
          </w:p>
        </w:tc>
        <w:tc>
          <w:tcPr>
            <w:tcW w:type="dxa" w:w="3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Validación del campo de trazabilidad en la salida estructurada.</w:t>
            </w:r>
          </w:p>
        </w:tc>
        <w:tc>
          <w:tcPr>
            <w:tcW w:type="dxa" w:w="18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Cada ejecución</w:t>
            </w:r>
          </w:p>
        </w:tc>
        <w:tc>
          <w:tcPr>
            <w:tcW w:type="dxa" w:w="1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62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I23</w:t>
            </w:r>
          </w:p>
        </w:tc>
        <w:tc>
          <w:tcPr>
            <w:tcW w:type="dxa" w:w="20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Cobertura de la secuencia 5E</w:t>
            </w:r>
          </w:p>
        </w:tc>
        <w:tc>
          <w:tcPr>
            <w:tcW w:type="dxa" w:w="34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Unidades con recursos aprobados en las cinco etapas / unidades trabajadas.</w:t>
            </w:r>
          </w:p>
        </w:tc>
        <w:tc>
          <w:tcPr>
            <w:tcW w:type="dxa" w:w="1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100 %</w:t>
            </w:r>
          </w:p>
        </w:tc>
        <w:tc>
          <w:tcPr>
            <w:tcW w:type="dxa" w:w="3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Reporte del orquestador de secuencia.</w:t>
            </w:r>
          </w:p>
        </w:tc>
        <w:tc>
          <w:tcPr>
            <w:tcW w:type="dxa" w:w="18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Piloto</w:t>
            </w:r>
          </w:p>
        </w:tc>
        <w:tc>
          <w:tcPr>
            <w:tcW w:type="dxa" w:w="1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</w:t>
            </w:r>
          </w:p>
        </w:tc>
      </w:tr>
    </w:tbl>
    <w:p>
      <w:r>
        <w:br w:type="page"/>
      </w:r>
    </w:p>
    <w:p>
      <w:pPr>
        <w:pStyle w:val="Heading1"/>
        <w:spacing w:after="160" w:before="240"/>
      </w:pPr>
      <w:r>
        <w:rPr>
          <w:rFonts w:ascii="Arial" w:cs="Arial" w:eastAsia="Arial" w:hAnsi="Arial"/>
        </w:rPr>
        <w:t xml:space="preserve">3. Estado del arte organizado por indicadores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Para cada fuente se registra qué indicadores emplea y qué valor reporta, de modo que las metas del proyecto tengan un referente comparable. El estado «Seleccionado» indica que la fuente fue identificada y su resumen revisado; corresponde al equipo leer el texto completo y actualizarlo a «Leído».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Tabla 2.</w:t>
      </w:r>
      <w:r>
        <w:rPr>
          <w:rFonts w:ascii="Arial" w:cs="Arial" w:eastAsia="Arial" w:hAnsi="Arial"/>
          <w:sz w:val="20"/>
          <w:szCs w:val="20"/>
        </w:rPr>
        <w:t xml:space="preserve"> Estado del arte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100"/>
        <w:gridCol w:w="2200"/>
        <w:gridCol w:w="2100"/>
        <w:gridCol w:w="1250"/>
        <w:gridCol w:w="3820"/>
        <w:gridCol w:w="1600"/>
      </w:tblGrid>
      <w:tr>
        <w:trPr>
          <w:cantSplit/>
          <w:tblHeader/>
        </w:trPr>
        <w:tc>
          <w:tcPr>
            <w:tcW w:type="dxa" w:w="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N°</w:t>
            </w:r>
          </w:p>
        </w:tc>
        <w:tc>
          <w:tcPr>
            <w:tcW w:type="dxa" w:w="31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Title of paper</w:t>
            </w:r>
          </w:p>
        </w:tc>
        <w:tc>
          <w:tcPr>
            <w:tcW w:type="dxa" w:w="2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Autor (año)</w:t>
            </w:r>
          </w:p>
        </w:tc>
        <w:tc>
          <w:tcPr>
            <w:tcW w:type="dxa" w:w="21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Tags (Tool / Problem)</w:t>
            </w:r>
          </w:p>
        </w:tc>
        <w:tc>
          <w:tcPr>
            <w:tcW w:type="dxa" w:w="12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Indicadores</w:t>
            </w:r>
          </w:p>
        </w:tc>
        <w:tc>
          <w:tcPr>
            <w:tcW w:type="dxa" w:w="382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Resultado frente al indicador</w:t>
            </w:r>
          </w:p>
        </w:tc>
        <w:tc>
          <w:tcPr>
            <w:tcW w:type="dxa" w:w="1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Fuente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31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Distractor Generation in Multiple-Choice Tasks: A Survey of Methods, Datasets, and Evaluation</w:t>
            </w:r>
          </w:p>
        </w:tc>
        <w:tc>
          <w:tcPr>
            <w:tcW w:type="dxa" w:w="2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Alhazmi, Sheng, Zhang, Zaib y Alhazmi (2024)</w:t>
            </w:r>
          </w:p>
        </w:tc>
        <w:tc>
          <w:tcPr>
            <w:tcW w:type="dxa" w:w="21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Problem: taxonomía de métodos y métricas</w:t>
            </w:r>
          </w:p>
        </w:tc>
        <w:tc>
          <w:tcPr>
            <w:tcW w:type="dxa" w:w="12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I3, I4, I5, I6, I7</w:t>
            </w:r>
          </w:p>
        </w:tc>
        <w:tc>
          <w:tcPr>
            <w:tcW w:type="dxa" w:w="382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Clasifica la evaluación en automática y manual; plausibilidad, fiabilidad y diversidad son los criterios humanos centrales. Cubre preguntas en inglés.</w:t>
            </w:r>
          </w:p>
        </w:tc>
        <w:tc>
          <w:tcPr>
            <w:tcW w:type="dxa" w:w="1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EMNLP 2024, pp. 14437-14458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</w:t>
            </w:r>
          </w:p>
        </w:tc>
        <w:tc>
          <w:tcPr>
            <w:tcW w:type="dxa" w:w="31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CDGP: Automatic Cloze Distractor Generation based on Pre-trained Language Model</w:t>
            </w:r>
          </w:p>
        </w:tc>
        <w:tc>
          <w:tcPr>
            <w:tcW w:type="dxa" w:w="2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Chiang, Wang y Fan (2022)</w:t>
            </w:r>
          </w:p>
        </w:tc>
        <w:tc>
          <w:tcPr>
            <w:tcW w:type="dxa" w:w="21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Tool: BERT, SciBERT, RoBERTa, BART</w:t>
            </w:r>
          </w:p>
        </w:tc>
        <w:tc>
          <w:tcPr>
            <w:tcW w:type="dxa" w:w="12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I6</w:t>
            </w:r>
          </w:p>
        </w:tc>
        <w:tc>
          <w:tcPr>
            <w:tcW w:type="dxa" w:w="382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Generador de candidatos más selector. Con SciBERT elevó el NDCG@10 de 14,94 a 34,17 en DGen.</w:t>
            </w:r>
          </w:p>
        </w:tc>
        <w:tc>
          <w:tcPr>
            <w:tcW w:type="dxa" w:w="1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Findings EMNLP 2022, pp. 5835-5840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</w:t>
            </w:r>
          </w:p>
        </w:tc>
        <w:tc>
          <w:tcPr>
            <w:tcW w:type="dxa" w:w="31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Enhancing Distractor Generation for MCQ with Retrieval Augmented Pretraining and Knowledge Graph Integration</w:t>
            </w:r>
          </w:p>
        </w:tc>
        <w:tc>
          <w:tcPr>
            <w:tcW w:type="dxa" w:w="2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Yu et al. (2024)</w:t>
            </w:r>
          </w:p>
        </w:tc>
        <w:tc>
          <w:tcPr>
            <w:tcW w:type="dxa" w:w="21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Tool: T5, recuperación, grafos de conocimiento</w:t>
            </w:r>
          </w:p>
        </w:tc>
        <w:tc>
          <w:tcPr>
            <w:tcW w:type="dxa" w:w="12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I4, I6</w:t>
            </w:r>
          </w:p>
        </w:tc>
        <w:tc>
          <w:tcPr>
            <w:tcW w:type="dxa" w:w="382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F1@3 de 14,80 a 16,47 (MCQ) y de 15,92 a 16,50 (SciQ); supera a ChatGPT en SciQ.</w:t>
            </w:r>
          </w:p>
        </w:tc>
        <w:tc>
          <w:tcPr>
            <w:tcW w:type="dxa" w:w="1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Findings ACL 2024, pp. 11019-11029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</w:t>
            </w:r>
          </w:p>
        </w:tc>
        <w:tc>
          <w:tcPr>
            <w:tcW w:type="dxa" w:w="31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Distractor Generation for MCQ with Predictive Prompting and Large Language Models</w:t>
            </w:r>
          </w:p>
        </w:tc>
        <w:tc>
          <w:tcPr>
            <w:tcW w:type="dxa" w:w="2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Bitew, Deleu, Develder y Demeester (2023)</w:t>
            </w:r>
          </w:p>
        </w:tc>
        <w:tc>
          <w:tcPr>
            <w:tcW w:type="dxa" w:w="21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Tool: ChatGPT con recuperación de ejemplos</w:t>
            </w:r>
          </w:p>
        </w:tc>
        <w:tc>
          <w:tcPr>
            <w:tcW w:type="dxa" w:w="12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I2, I3, I4</w:t>
            </w:r>
          </w:p>
        </w:tc>
        <w:tc>
          <w:tcPr>
            <w:tcW w:type="dxa" w:w="382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53 % de distractores aptos para uso inmediato según 10 docentes; introduce la tasa de distractores sin sentido.</w:t>
            </w:r>
          </w:p>
        </w:tc>
        <w:tc>
          <w:tcPr>
            <w:tcW w:type="dxa" w:w="1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ECML PKDD 2023, CCIS 2134, pp. 48-63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5</w:t>
            </w:r>
          </w:p>
        </w:tc>
        <w:tc>
          <w:tcPr>
            <w:tcW w:type="dxa" w:w="31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Exploring Automated Distractor Generation for Math MCQ via Large Language Models</w:t>
            </w:r>
          </w:p>
        </w:tc>
        <w:tc>
          <w:tcPr>
            <w:tcW w:type="dxa" w:w="2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Feng et al. (2024)</w:t>
            </w:r>
          </w:p>
        </w:tc>
        <w:tc>
          <w:tcPr>
            <w:tcW w:type="dxa" w:w="21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Tool: LLM, kNN in-context, fine-tuning</w:t>
            </w:r>
          </w:p>
        </w:tc>
        <w:tc>
          <w:tcPr>
            <w:tcW w:type="dxa" w:w="12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I6, I9</w:t>
            </w:r>
          </w:p>
        </w:tc>
        <w:tc>
          <w:tcPr>
            <w:tcW w:type="dxa" w:w="382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La selección kNN rindió mejor; los LLM no captan del todo las confusiones reales. Recomienda revisión docente obligatoria.</w:t>
            </w:r>
          </w:p>
        </w:tc>
        <w:tc>
          <w:tcPr>
            <w:tcW w:type="dxa" w:w="1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Findings NAACL 2024, pp. 3067-3082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6</w:t>
            </w:r>
          </w:p>
        </w:tc>
        <w:tc>
          <w:tcPr>
            <w:tcW w:type="dxa" w:w="31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Improving Automated Distractor Generation for Math MCQ with Overgenerate-and-rank</w:t>
            </w:r>
          </w:p>
        </w:tc>
        <w:tc>
          <w:tcPr>
            <w:tcW w:type="dxa" w:w="2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Scarlatos, Feng, Smith, Woodhead y Lan (2024)</w:t>
            </w:r>
          </w:p>
        </w:tc>
        <w:tc>
          <w:tcPr>
            <w:tcW w:type="dxa" w:w="21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Tool: LLM con modelo de ranking</w:t>
            </w:r>
          </w:p>
        </w:tc>
        <w:tc>
          <w:tcPr>
            <w:tcW w:type="dxa" w:w="12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I6, I9</w:t>
            </w:r>
          </w:p>
        </w:tc>
        <w:tc>
          <w:tcPr>
            <w:tcW w:type="dxa" w:w="382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Propone una métrica ponderada por el porcentaje de estudiantes que elige cada distractor.</w:t>
            </w:r>
          </w:p>
        </w:tc>
        <w:tc>
          <w:tcPr>
            <w:tcW w:type="dxa" w:w="1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BEA 2024, pp. 222-231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7</w:t>
            </w:r>
          </w:p>
        </w:tc>
        <w:tc>
          <w:tcPr>
            <w:tcW w:type="dxa" w:w="31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Knowledge-Driven Distractor Generation for Cloze-Style MCQ</w:t>
            </w:r>
          </w:p>
        </w:tc>
        <w:tc>
          <w:tcPr>
            <w:tcW w:type="dxa" w:w="2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Ren y Zhu (2021)</w:t>
            </w:r>
          </w:p>
        </w:tc>
        <w:tc>
          <w:tcPr>
            <w:tcW w:type="dxa" w:w="21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Tool: bases de conocimiento y learning-to-rank</w:t>
            </w:r>
          </w:p>
        </w:tc>
        <w:tc>
          <w:tcPr>
            <w:tcW w:type="dxa" w:w="12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I4, I6</w:t>
            </w:r>
          </w:p>
        </w:tc>
        <w:tc>
          <w:tcPr>
            <w:tcW w:type="dxa" w:w="382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Define el protocolo P@1, P@3, R@3, F1@3, MRR y NDCG@10, más plausibilidad y fiabilidad.</w:t>
            </w:r>
          </w:p>
        </w:tc>
        <w:tc>
          <w:tcPr>
            <w:tcW w:type="dxa" w:w="1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AAAI 2021, 35(5), pp. 4339-4347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8</w:t>
            </w:r>
          </w:p>
        </w:tc>
        <w:tc>
          <w:tcPr>
            <w:tcW w:type="dxa" w:w="31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Automatic Distractor Generation for MCQ in Standard Tests</w:t>
            </w:r>
          </w:p>
        </w:tc>
        <w:tc>
          <w:tcPr>
            <w:tcW w:type="dxa" w:w="2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Qiu, Wu y Fan (2020)</w:t>
            </w:r>
          </w:p>
        </w:tc>
        <w:tc>
          <w:tcPr>
            <w:tcW w:type="dxa" w:w="21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Tool: modelo neuronal encoder-decoder</w:t>
            </w:r>
          </w:p>
        </w:tc>
        <w:tc>
          <w:tcPr>
            <w:tcW w:type="dxa" w:w="12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I4</w:t>
            </w:r>
          </w:p>
        </w:tc>
        <w:tc>
          <w:tcPr>
            <w:tcW w:type="dxa" w:w="382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Evaluación humana con fluidez, coherencia y capacidad distractora.</w:t>
            </w:r>
          </w:p>
        </w:tc>
        <w:tc>
          <w:tcPr>
            <w:tcW w:type="dxa" w:w="1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COLING 2020, pp. 2096-2106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9</w:t>
            </w:r>
          </w:p>
        </w:tc>
        <w:tc>
          <w:tcPr>
            <w:tcW w:type="dxa" w:w="31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DisGeM: Distractor Generation for MCQ with Span Masking</w:t>
            </w:r>
          </w:p>
        </w:tc>
        <w:tc>
          <w:tcPr>
            <w:tcW w:type="dxa" w:w="2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Çavuşoğlu, Şen y Sert (2024)</w:t>
            </w:r>
          </w:p>
        </w:tc>
        <w:tc>
          <w:tcPr>
            <w:tcW w:type="dxa" w:w="21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Tool: PLM sin entrenamiento adicional</w:t>
            </w:r>
          </w:p>
        </w:tc>
        <w:tc>
          <w:tcPr>
            <w:tcW w:type="dxa" w:w="12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I6, I11</w:t>
            </w:r>
          </w:p>
        </w:tc>
        <w:tc>
          <w:tcPr>
            <w:tcW w:type="dxa" w:w="382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Extiende CDGP sin fase de entrenamiento; relevante para restricciones de presupuesto y latencia.</w:t>
            </w:r>
          </w:p>
        </w:tc>
        <w:tc>
          <w:tcPr>
            <w:tcW w:type="dxa" w:w="1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Findings EMNLP 2024, pp. 9714-9732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10</w:t>
            </w:r>
          </w:p>
        </w:tc>
        <w:tc>
          <w:tcPr>
            <w:tcW w:type="dxa" w:w="31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Creación de distractores para preguntas de opción múltiple mediante técnicas de incrustación (Word Embedding)</w:t>
            </w:r>
          </w:p>
        </w:tc>
        <w:tc>
          <w:tcPr>
            <w:tcW w:type="dxa" w:w="2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Ramos Alvarez, Torres, Segarra Faggioni y Pinza Tapia (2024)</w:t>
            </w:r>
          </w:p>
        </w:tc>
        <w:tc>
          <w:tcPr>
            <w:tcW w:type="dxa" w:w="21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Tool: Word2Vec y entorno web</w:t>
            </w:r>
          </w:p>
        </w:tc>
        <w:tc>
          <w:tcPr>
            <w:tcW w:type="dxa" w:w="12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I4, I7</w:t>
            </w:r>
          </w:p>
        </w:tc>
        <w:tc>
          <w:tcPr>
            <w:tcW w:type="dxa" w:w="382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Antecedente en español: interfaz donde se ingresa pregunta y respuesta y se obtienen distractores por similitud.</w:t>
            </w:r>
          </w:p>
        </w:tc>
        <w:tc>
          <w:tcPr>
            <w:tcW w:type="dxa" w:w="1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Revista Tecnológica ESPOL, 36(2), pp. 95-110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11</w:t>
            </w:r>
          </w:p>
        </w:tc>
        <w:tc>
          <w:tcPr>
            <w:tcW w:type="dxa" w:w="31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End-to-end generation of multiple-choice questions using text-to-text transfer transformer models</w:t>
            </w:r>
          </w:p>
        </w:tc>
        <w:tc>
          <w:tcPr>
            <w:tcW w:type="dxa" w:w="2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Rodriguez-Torrealba, Garcia-Lopez y Garcia-Cabot (2022)</w:t>
            </w:r>
          </w:p>
        </w:tc>
        <w:tc>
          <w:tcPr>
            <w:tcW w:type="dxa" w:w="21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Tool: T5 y mT5</w:t>
            </w:r>
          </w:p>
        </w:tc>
        <w:tc>
          <w:tcPr>
            <w:tcW w:type="dxa" w:w="12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I4, I6</w:t>
            </w:r>
          </w:p>
        </w:tc>
        <w:tc>
          <w:tcPr>
            <w:tcW w:type="dxa" w:w="382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Generación conjunta de pregunta, respuesta y distractores; antecedente cercano en español.</w:t>
            </w:r>
          </w:p>
        </w:tc>
        <w:tc>
          <w:tcPr>
            <w:tcW w:type="dxa" w:w="1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Expert Systems with Applications, 208, 118258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12</w:t>
            </w:r>
          </w:p>
        </w:tc>
        <w:tc>
          <w:tcPr>
            <w:tcW w:type="dxa" w:w="31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Distractor Efficiency in an Item Pool for a Statistics Classroom Exam</w:t>
            </w:r>
          </w:p>
        </w:tc>
        <w:tc>
          <w:tcPr>
            <w:tcW w:type="dxa" w:w="2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Testa, Toscano y Rosato (2018)</w:t>
            </w:r>
          </w:p>
        </w:tc>
        <w:tc>
          <w:tcPr>
            <w:tcW w:type="dxa" w:w="21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Problem: funcionalidad de distractores</w:t>
            </w:r>
          </w:p>
        </w:tc>
        <w:tc>
          <w:tcPr>
            <w:tcW w:type="dxa" w:w="12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I8, I9, I10</w:t>
            </w:r>
          </w:p>
        </w:tc>
        <w:tc>
          <w:tcPr>
            <w:tcW w:type="dxa" w:w="382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174 ítems y 848 estudiantes; 74,6 % de distractores con elección ≥ 5 %.</w:t>
            </w:r>
          </w:p>
        </w:tc>
        <w:tc>
          <w:tcPr>
            <w:tcW w:type="dxa" w:w="1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Frontiers in Psychology, 9, 1585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13</w:t>
            </w:r>
          </w:p>
        </w:tc>
        <w:tc>
          <w:tcPr>
            <w:tcW w:type="dxa" w:w="31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Item analysis: the impact of distractor efficiency on the difficulty index and discrimination power of MCQ</w:t>
            </w:r>
          </w:p>
        </w:tc>
        <w:tc>
          <w:tcPr>
            <w:tcW w:type="dxa" w:w="2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Rezigalla et al. (2024)</w:t>
            </w:r>
          </w:p>
        </w:tc>
        <w:tc>
          <w:tcPr>
            <w:tcW w:type="dxa" w:w="21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Problem: calidad psicométrica de exámenes</w:t>
            </w:r>
          </w:p>
        </w:tc>
        <w:tc>
          <w:tcPr>
            <w:tcW w:type="dxa" w:w="12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I8, I9, I10</w:t>
            </w:r>
          </w:p>
        </w:tc>
        <w:tc>
          <w:tcPr>
            <w:tcW w:type="dxa" w:w="382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Relaciona eficiencia de distractores con dificultad y discriminación; umbral de 5 % para distractor no funcional.</w:t>
            </w:r>
          </w:p>
        </w:tc>
        <w:tc>
          <w:tcPr>
            <w:tcW w:type="dxa" w:w="1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BMC Medical Education, 24(1), 445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14</w:t>
            </w:r>
          </w:p>
        </w:tc>
        <w:tc>
          <w:tcPr>
            <w:tcW w:type="dxa" w:w="31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ChatGPT versus human in generating medical graduate exam MCQ</w:t>
            </w:r>
          </w:p>
        </w:tc>
        <w:tc>
          <w:tcPr>
            <w:tcW w:type="dxa" w:w="2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Cheung et al. (2023)</w:t>
            </w:r>
          </w:p>
        </w:tc>
        <w:tc>
          <w:tcPr>
            <w:tcW w:type="dxa" w:w="21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Problem: tiempo y calidad docente</w:t>
            </w:r>
          </w:p>
        </w:tc>
        <w:tc>
          <w:tcPr>
            <w:tcW w:type="dxa" w:w="12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I1, I4</w:t>
            </w:r>
          </w:p>
        </w:tc>
        <w:tc>
          <w:tcPr>
            <w:tcW w:type="dxa" w:w="382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50 preguntas en ~20 min con IA frente a ~211 min de humanos, sin diferencia significativa en la calidad global.</w:t>
            </w:r>
          </w:p>
        </w:tc>
        <w:tc>
          <w:tcPr>
            <w:tcW w:type="dxa" w:w="1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PLOS ONE, 18(8), e0290691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15</w:t>
            </w:r>
          </w:p>
        </w:tc>
        <w:tc>
          <w:tcPr>
            <w:tcW w:type="dxa" w:w="31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Psychometric properties and detectability of GPT-4o-generated MCQ compared with human-authored items</w:t>
            </w:r>
          </w:p>
        </w:tc>
        <w:tc>
          <w:tcPr>
            <w:tcW w:type="dxa" w:w="2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Linde et al. (2026)</w:t>
            </w:r>
          </w:p>
        </w:tc>
        <w:tc>
          <w:tcPr>
            <w:tcW w:type="dxa" w:w="21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Problem: equivalencia psicométrica</w:t>
            </w:r>
          </w:p>
        </w:tc>
        <w:tc>
          <w:tcPr>
            <w:tcW w:type="dxa" w:w="12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I4, I8, I10</w:t>
            </w:r>
          </w:p>
        </w:tc>
        <w:tc>
          <w:tcPr>
            <w:tcW w:type="dxa" w:w="382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Dificultad (0,65 vs. 0,67) y discriminación (0,27 vs. 0,29) sin diferencias significativas; baja concordancia entre expertos.</w:t>
            </w:r>
          </w:p>
        </w:tc>
        <w:tc>
          <w:tcPr>
            <w:tcW w:type="dxa" w:w="1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npj Digital Medicine, 9, 132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16</w:t>
            </w:r>
          </w:p>
        </w:tc>
        <w:tc>
          <w:tcPr>
            <w:tcW w:type="dxa" w:w="31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Psychometric performance and student perceptions of AI- versus student-generated MCQ: a randomized controlled trial</w:t>
            </w:r>
          </w:p>
        </w:tc>
        <w:tc>
          <w:tcPr>
            <w:tcW w:type="dxa" w:w="2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Al-Najafi et al. (2026)</w:t>
            </w:r>
          </w:p>
        </w:tc>
        <w:tc>
          <w:tcPr>
            <w:tcW w:type="dxa" w:w="21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Problem: modelo human-in-the-loop</w:t>
            </w:r>
          </w:p>
        </w:tc>
        <w:tc>
          <w:tcPr>
            <w:tcW w:type="dxa" w:w="12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I1, I2, I9, I10</w:t>
            </w:r>
          </w:p>
        </w:tc>
        <w:tc>
          <w:tcPr>
            <w:tcW w:type="dxa" w:w="382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Respalda que la IA acelere la generación mientras el docente verifica exactitud, dificultad y funcionalidad de distractores.</w:t>
            </w:r>
          </w:p>
        </w:tc>
        <w:tc>
          <w:tcPr>
            <w:tcW w:type="dxa" w:w="1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BMC Medical Education</w:t>
            </w:r>
          </w:p>
        </w:tc>
      </w:tr>
    </w:tbl>
    <w:p>
      <w:pPr>
        <w:spacing w:after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</w:rPr>
        <w:t xml:space="preserve">3.1 Línea de búsqueda pendiente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El estado del arte debe completarse con una segunda línea, todavía sin revisar, sobre generación automática de objetos de aprendizaje conformes a estándares. Términos sugeridos: «automatic generation of SCORM learning objects», «QTI item generation LLM», «IMS Common Cartridge automatic content», «learning object generation NLP interoperability» y «LLM plugin Moodle question generation». La meta de OE1 pasa de 15 a 20 fuentes por esta razón.</w:t>
      </w:r>
    </w:p>
    <w:p>
      <w:pPr>
        <w:spacing w:after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</w:rPr>
        <w:t xml:space="preserve">3.2 Síntesis: referente por indicador y meta del proyecto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370"/>
        <w:gridCol w:w="4600"/>
      </w:tblGrid>
      <w:tr>
        <w:trPr>
          <w:cantSplit/>
          <w:tblHeader/>
        </w:trPr>
        <w:tc>
          <w:tcPr>
            <w:tcW w:type="dxa" w:w="3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Indicador</w:t>
            </w:r>
          </w:p>
        </w:tc>
        <w:tc>
          <w:tcPr>
            <w:tcW w:type="dxa" w:w="637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Valor de referencia en el estado del arte</w:t>
            </w:r>
          </w:p>
        </w:tc>
        <w:tc>
          <w:tcPr>
            <w:tcW w:type="dxa" w:w="4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Meta del proyecto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I1 Tiempo por ítem</w:t>
            </w:r>
          </w:p>
        </w:tc>
        <w:tc>
          <w:tcPr>
            <w:tcW w:type="dxa" w:w="637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~4 min (expertos) a 52 min (primer borrador en certificación); IA ~0,4 min por ítem sin revisión (Cheung et al., 2023; Meazure Learning, 2022).</w:t>
            </w:r>
          </w:p>
        </w:tc>
        <w:tc>
          <w:tcPr>
            <w:tcW w:type="dxa" w:w="4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Reducción ≥ 50 % frente a la línea base local, incluido el tiempo de revisión.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I2 Aceptación directa / I3 NDR</w:t>
            </w:r>
          </w:p>
        </w:tc>
        <w:tc>
          <w:tcPr>
            <w:tcW w:type="dxa" w:w="637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53 % de distractores listos para usar; sistemas previos con ~50 % sin sentido (Bitew et al., 2023).</w:t>
            </w:r>
          </w:p>
        </w:tc>
        <w:tc>
          <w:tcPr>
            <w:tcW w:type="dxa" w:w="4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≥ 50 % de aceptación; NDR ≤ 10 %.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I6 Precisión frente a referencia</w:t>
            </w:r>
          </w:p>
        </w:tc>
        <w:tc>
          <w:tcPr>
            <w:tcW w:type="dxa" w:w="637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F1@3 ≈ 16,5 (Yu et al., 2024); NDCG@10 = 34,17 (Chiang et al., 2022), en inglés.</w:t>
            </w:r>
          </w:p>
        </w:tc>
        <w:tc>
          <w:tcPr>
            <w:tcW w:type="dxa" w:w="4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Superar la línea base de embeddings en el conjunto en español.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I9 Eficiencia de distractores</w:t>
            </w:r>
          </w:p>
        </w:tc>
        <w:tc>
          <w:tcPr>
            <w:tcW w:type="dxa" w:w="637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~52 % en banco manual (Research Square, 2019); 74,6 % en banco de estadística (Testa et al., 2018).</w:t>
            </w:r>
          </w:p>
        </w:tc>
        <w:tc>
          <w:tcPr>
            <w:tcW w:type="dxa" w:w="4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≥ 65 %.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I8 Dificultad / I10 Discriminación</w:t>
            </w:r>
          </w:p>
        </w:tc>
        <w:tc>
          <w:tcPr>
            <w:tcW w:type="dxa" w:w="637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Ítems de IA y humanos equivalentes: p ≈ 0,65–0,67; discriminación ≈ 0,27–0,29 (Linde et al., 2026).</w:t>
            </w:r>
          </w:p>
        </w:tc>
        <w:tc>
          <w:tcPr>
            <w:tcW w:type="dxa" w:w="4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 entre 0,30 y 0,80 y r-pb ≥ 0,20 en ≥ 70 % de ítems.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I16–I19 Interoperabilidad</w:t>
            </w:r>
          </w:p>
        </w:tc>
        <w:tc>
          <w:tcPr>
            <w:tcW w:type="dxa" w:w="637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QTI 3.0 (2022) define el intercambio de ítems, pruebas y resultados entre herramientas y plataformas; no todos los LMS soportan la misma versión.</w:t>
            </w:r>
          </w:p>
        </w:tc>
        <w:tc>
          <w:tcPr>
            <w:tcW w:type="dxa" w:w="4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100 % de paquetes válidos, ≥ 95 % de importaciones exitosas y portabilidad en ≥ 2 LMS.</w:t>
            </w:r>
          </w:p>
        </w:tc>
      </w:tr>
    </w:tbl>
    <w:p>
      <w:pPr>
        <w:sectPr>
          <w:footerReference w:type="default" r:id="rId8"/>
          <w:pgSz w:w="16838" w:h="11906" w:orient="landscape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  <w:spacing w:after="160" w:before="240"/>
      </w:pPr>
      <w:r>
        <w:rPr>
          <w:rFonts w:ascii="Arial" w:cs="Arial" w:eastAsia="Arial" w:hAnsi="Arial"/>
        </w:rPr>
        <w:t xml:space="preserve">Referencias</w:t>
      </w:r>
    </w:p>
    <w:p>
      <w:pPr>
        <w:spacing w:after="120"/>
        <w:ind w:left="720" w:hanging="720"/>
        <w:jc w:val="left"/>
      </w:pPr>
      <w:r>
        <w:rPr>
          <w:rFonts w:ascii="Arial" w:cs="Arial" w:eastAsia="Arial" w:hAnsi="Arial"/>
          <w:sz w:val="20"/>
          <w:szCs w:val="20"/>
        </w:rPr>
        <w:t xml:space="preserve">1EdTech Consortium. (2022). Question and Test Interoperability (QTI) v3.0 final release specification. https://www.1edtech.org/standards/qti</w:t>
      </w:r>
    </w:p>
    <w:p>
      <w:pPr>
        <w:spacing w:after="120"/>
        <w:ind w:left="720" w:hanging="720"/>
        <w:jc w:val="left"/>
      </w:pPr>
      <w:r>
        <w:rPr>
          <w:rFonts w:ascii="Arial" w:cs="Arial" w:eastAsia="Arial" w:hAnsi="Arial"/>
          <w:sz w:val="20"/>
          <w:szCs w:val="20"/>
        </w:rPr>
        <w:t xml:space="preserve">Alhazmi, E., Sheng, Q. Z., Zhang, W. E., Zaib, M., &amp; Alhazmi, A. (2024). Distractor generation in multiple-choice tasks: A survey of methods, datasets, and evaluation. En Proceedings of the 2024 Conference on Empirical Methods in Natural Language Processing (pp. 14437–14458). Association for Computational Linguistics. https://doi.org/10.18653/v1/2024.emnlp-main.799</w:t>
      </w:r>
    </w:p>
    <w:p>
      <w:pPr>
        <w:spacing w:after="120"/>
        <w:ind w:left="720" w:hanging="720"/>
        <w:jc w:val="left"/>
      </w:pPr>
      <w:r>
        <w:rPr>
          <w:rFonts w:ascii="Arial" w:cs="Arial" w:eastAsia="Arial" w:hAnsi="Arial"/>
          <w:sz w:val="20"/>
          <w:szCs w:val="20"/>
        </w:rPr>
        <w:t xml:space="preserve">Bitew, S. K., Deleu, J., Develder, C., &amp; Demeester, T. (2025). Distractor generation for multiple-choice questions with predictive prompting and large language models. En Machine Learning and Principles and Practice of Knowledge Discovery in Databases (CCIS, vol. 2134, pp. 48–63). Springer. https://doi.org/10.1007/978-3-031-74627-7_4</w:t>
      </w:r>
    </w:p>
    <w:p>
      <w:pPr>
        <w:spacing w:after="120"/>
        <w:ind w:left="720" w:hanging="720"/>
        <w:jc w:val="left"/>
      </w:pPr>
      <w:r>
        <w:rPr>
          <w:rFonts w:ascii="Arial" w:cs="Arial" w:eastAsia="Arial" w:hAnsi="Arial"/>
          <w:sz w:val="20"/>
          <w:szCs w:val="20"/>
        </w:rPr>
        <w:t xml:space="preserve">Brooke, J. (1996). SUS: A «quick and dirty» usability scale. En P. W. Jordan, B. Thomas, B. A. Weerdmeester, &amp; I. L. McClelland (Eds.), Usability evaluation in industry (pp. 189–194). Taylor &amp; Francis.</w:t>
      </w:r>
    </w:p>
    <w:p>
      <w:pPr>
        <w:spacing w:after="120"/>
        <w:ind w:left="720" w:hanging="720"/>
        <w:jc w:val="left"/>
      </w:pPr>
      <w:r>
        <w:rPr>
          <w:rFonts w:ascii="Arial" w:cs="Arial" w:eastAsia="Arial" w:hAnsi="Arial"/>
          <w:sz w:val="20"/>
          <w:szCs w:val="20"/>
        </w:rPr>
        <w:t xml:space="preserve">Bybee, R. W., Taylor, J. A., Gardner, A., Van Scotter, P., Carlson Powell, J., Westbrook, A., &amp; Landes, N. (2006). The BSCS 5E instructional model: Origins and effectiveness. BSCS / Office of Science Education, National Institutes of Health.</w:t>
      </w:r>
    </w:p>
    <w:p>
      <w:pPr>
        <w:spacing w:after="120"/>
        <w:ind w:left="720" w:hanging="720"/>
        <w:jc w:val="left"/>
      </w:pPr>
      <w:r>
        <w:rPr>
          <w:rFonts w:ascii="Arial" w:cs="Arial" w:eastAsia="Arial" w:hAnsi="Arial"/>
          <w:sz w:val="20"/>
          <w:szCs w:val="20"/>
        </w:rPr>
        <w:t xml:space="preserve">Chen, J., Xiao, S., Zhang, P., Luo, K., Lian, D., &amp; Liu, Z. (2024). BGE M3-Embedding: Multi-lingual, multi-functionality, multi-granularity text embeddings through self-knowledge distillation [Preprint]. arXiv. https://arxiv.org/abs/2402.03216</w:t>
      </w:r>
    </w:p>
    <w:p>
      <w:pPr>
        <w:spacing w:after="120"/>
        <w:ind w:left="720" w:hanging="720"/>
        <w:jc w:val="left"/>
      </w:pPr>
      <w:r>
        <w:rPr>
          <w:rFonts w:ascii="Arial" w:cs="Arial" w:eastAsia="Arial" w:hAnsi="Arial"/>
          <w:sz w:val="20"/>
          <w:szCs w:val="20"/>
        </w:rPr>
        <w:t xml:space="preserve">Chen, C.-H., &amp; Shiu, M.-F. (2025). KAQG: A knowledge-graph-enhanced RAG for difficulty-controlled question generation [Preprint]. arXiv. https://arxiv.org/abs/2505.07618</w:t>
      </w:r>
    </w:p>
    <w:p>
      <w:pPr>
        <w:spacing w:after="120"/>
        <w:ind w:left="720" w:hanging="720"/>
        <w:jc w:val="left"/>
      </w:pPr>
      <w:r>
        <w:rPr>
          <w:rFonts w:ascii="Arial" w:cs="Arial" w:eastAsia="Arial" w:hAnsi="Arial"/>
          <w:sz w:val="20"/>
          <w:szCs w:val="20"/>
        </w:rPr>
        <w:t xml:space="preserve">Cheung, B. H. H., et al. (2023). ChatGPT versus human in generating medical graduate exam multiple choice questions: A multinational prospective study. PLOS ONE, 18(8), e0290691. https://doi.org/10.1371/journal.pone.0290691</w:t>
      </w:r>
    </w:p>
    <w:p>
      <w:pPr>
        <w:spacing w:after="120"/>
        <w:ind w:left="720" w:hanging="720"/>
        <w:jc w:val="left"/>
      </w:pPr>
      <w:r>
        <w:rPr>
          <w:rFonts w:ascii="Arial" w:cs="Arial" w:eastAsia="Arial" w:hAnsi="Arial"/>
          <w:sz w:val="20"/>
          <w:szCs w:val="20"/>
        </w:rPr>
        <w:t xml:space="preserve">Chiang, S.-H., Wang, S.-C., &amp; Fan, Y.-C. (2022). CDGP: Automatic cloze distractor generation based on pre-trained language model. En Findings of the Association for Computational Linguistics: EMNLP 2022 (pp. 5835–5840). https://arxiv.org/abs/2403.10326</w:t>
      </w:r>
    </w:p>
    <w:p>
      <w:pPr>
        <w:spacing w:after="120"/>
        <w:ind w:left="720" w:hanging="720"/>
        <w:jc w:val="left"/>
      </w:pPr>
      <w:r>
        <w:rPr>
          <w:rFonts w:ascii="Arial" w:cs="Arial" w:eastAsia="Arial" w:hAnsi="Arial"/>
          <w:sz w:val="20"/>
          <w:szCs w:val="20"/>
        </w:rPr>
        <w:t xml:space="preserve">Duan, X., Nwanganga, F., &amp; Wang, C. (2026). CODE-GEN: A human-in-the-loop RAG-based agentic AI system for multiple-choice question generation [Preprint]. arXiv. https://arxiv.org/abs/2604.03926</w:t>
      </w:r>
    </w:p>
    <w:p>
      <w:pPr>
        <w:spacing w:after="120"/>
        <w:ind w:left="720" w:hanging="720"/>
        <w:jc w:val="left"/>
      </w:pPr>
      <w:r>
        <w:rPr>
          <w:rFonts w:ascii="Arial" w:cs="Arial" w:eastAsia="Arial" w:hAnsi="Arial"/>
          <w:sz w:val="20"/>
          <w:szCs w:val="20"/>
        </w:rPr>
        <w:t xml:space="preserve">Es, S., James, J., Espinosa Anke, L., &amp; Schockaert, S. (2024). RAGAs: Automated evaluation of retrieval augmented generation. En Proceedings of the 18th Conference of the European Chapter of the Association for Computational Linguistics: System Demonstrations (pp. 150–158). https://aclanthology.org/2024.eacl-demo.16/</w:t>
      </w:r>
    </w:p>
    <w:p>
      <w:pPr>
        <w:spacing w:after="120"/>
        <w:ind w:left="720" w:hanging="720"/>
        <w:jc w:val="left"/>
      </w:pPr>
      <w:r>
        <w:rPr>
          <w:rFonts w:ascii="Arial" w:cs="Arial" w:eastAsia="Arial" w:hAnsi="Arial"/>
          <w:sz w:val="20"/>
          <w:szCs w:val="20"/>
        </w:rPr>
        <w:t xml:space="preserve">Feng, W., Lee, J., McNichols, H., Scarlatos, A., Smith, D., Woodhead, S., Ornelas, N., &amp; Lan, A. (2024). Exploring automated distractor generation for math multiple-choice questions via large language models. En Findings of the Association for Computational Linguistics: NAACL 2024 (pp. 3067–3082). https://doi.org/10.18653/v1/2024.findings-naacl.193</w:t>
      </w:r>
    </w:p>
    <w:p>
      <w:pPr>
        <w:spacing w:after="120"/>
        <w:ind w:left="720" w:hanging="720"/>
        <w:jc w:val="left"/>
      </w:pPr>
      <w:r>
        <w:rPr>
          <w:rFonts w:ascii="Arial" w:cs="Arial" w:eastAsia="Arial" w:hAnsi="Arial"/>
          <w:sz w:val="20"/>
          <w:szCs w:val="20"/>
        </w:rPr>
        <w:t xml:space="preserve">Ji, Z., Lee, N., Frieske, R., Yu, T., Su, D., Xu, Y., Ishii, E., Bang, Y., Madotto, A., &amp; Fung, P. (2023). Survey of hallucination in natural language generation. ACM Computing Surveys, 55(12), 1–38. https://doi.org/10.1145/3571730</w:t>
      </w:r>
    </w:p>
    <w:p>
      <w:pPr>
        <w:spacing w:after="120"/>
        <w:ind w:left="720" w:hanging="720"/>
        <w:jc w:val="left"/>
      </w:pPr>
      <w:r>
        <w:rPr>
          <w:rFonts w:ascii="Arial" w:cs="Arial" w:eastAsia="Arial" w:hAnsi="Arial"/>
          <w:sz w:val="20"/>
          <w:szCs w:val="20"/>
        </w:rPr>
        <w:t xml:space="preserve">Landis, J. R., &amp; Koch, G. G. (1977). The measurement of observer agreement for categorical data. Biometrics, 33(1), 159–174.</w:t>
      </w:r>
    </w:p>
    <w:p>
      <w:pPr>
        <w:spacing w:after="120"/>
        <w:ind w:left="720" w:hanging="720"/>
        <w:jc w:val="left"/>
      </w:pPr>
      <w:r>
        <w:rPr>
          <w:rFonts w:ascii="Arial" w:cs="Arial" w:eastAsia="Arial" w:hAnsi="Arial"/>
          <w:sz w:val="20"/>
          <w:szCs w:val="20"/>
        </w:rPr>
        <w:t xml:space="preserve">Lewis, P., Perez, E., Piktus, A., Petroni, F., Karpukhin, V., Goyal, N., Küttler, H., Lewis, M., Yih, W., Rocktäschel, T., Riedel, S., &amp; Kiela, D. (2020). Retrieval-augmented generation for knowledge-intensive NLP tasks. En Advances in Neural Information Processing Systems (Vol. 33, pp. 9459–9474). https://arxiv.org/abs/2005.11401</w:t>
      </w:r>
    </w:p>
    <w:p>
      <w:pPr>
        <w:spacing w:after="120"/>
        <w:ind w:left="720" w:hanging="720"/>
        <w:jc w:val="left"/>
      </w:pPr>
      <w:r>
        <w:rPr>
          <w:rFonts w:ascii="Arial" w:cs="Arial" w:eastAsia="Arial" w:hAnsi="Arial"/>
          <w:sz w:val="20"/>
          <w:szCs w:val="20"/>
        </w:rPr>
        <w:t xml:space="preserve">Linde, P., Fichter, F., Dietlein, M., et al. (2026). Psychometric properties and detectability of GPT-4o-generated multiple-choice questions compared with human-authored items across imaging specialties. npj Digital Medicine, 9, 132. https://doi.org/10.1038/s41746-025-02313-7</w:t>
      </w:r>
    </w:p>
    <w:p>
      <w:pPr>
        <w:spacing w:after="120"/>
        <w:ind w:left="720" w:hanging="720"/>
        <w:jc w:val="left"/>
      </w:pPr>
      <w:r>
        <w:rPr>
          <w:rFonts w:ascii="Arial" w:cs="Arial" w:eastAsia="Arial" w:hAnsi="Arial"/>
          <w:sz w:val="20"/>
          <w:szCs w:val="20"/>
        </w:rPr>
        <w:t xml:space="preserve">Meazure Learning. (2022, 8 de febrero). How long does it take to create a multiple choice question? https://www.meazurelearning.com/resources/how-long-does-it-take-to-create-a-multiple-choice-question</w:t>
      </w:r>
    </w:p>
    <w:p>
      <w:pPr>
        <w:spacing w:after="120"/>
        <w:ind w:left="720" w:hanging="720"/>
        <w:jc w:val="left"/>
      </w:pPr>
      <w:r>
        <w:rPr>
          <w:rFonts w:ascii="Arial" w:cs="Arial" w:eastAsia="Arial" w:hAnsi="Arial"/>
          <w:sz w:val="20"/>
          <w:szCs w:val="20"/>
        </w:rPr>
        <w:t xml:space="preserve">Polanin, J. R., Austin, M., Taylor, J. A., Steingut, R. R., Rodgers, M. A., &amp; Williams, R. (2024). Effects of the 5E instructional model: A systematic review and meta-analysis. AERA Open, 10. https://doi.org/10.1177/23328584241269866</w:t>
      </w:r>
    </w:p>
    <w:p>
      <w:pPr>
        <w:spacing w:after="120"/>
        <w:ind w:left="720" w:hanging="720"/>
        <w:jc w:val="left"/>
      </w:pPr>
      <w:r>
        <w:rPr>
          <w:rFonts w:ascii="Arial" w:cs="Arial" w:eastAsia="Arial" w:hAnsi="Arial"/>
          <w:sz w:val="20"/>
          <w:szCs w:val="20"/>
        </w:rPr>
        <w:t xml:space="preserve">Ramos Alvarez, J. I., Torres, R. V., Segarra Faggioni, V., &amp; Pinza Tapia, E. I. (2024). Creación de distractores para preguntas de opción múltiple mediante técnicas de incrustación (Word Embedding). Revista Tecnológica - ESPOL, 36(2), 95–110. https://doi.org/10.37815/rte.v36n2.1161</w:t>
      </w:r>
    </w:p>
    <w:p>
      <w:pPr>
        <w:spacing w:after="120"/>
        <w:ind w:left="720" w:hanging="720"/>
        <w:jc w:val="left"/>
      </w:pPr>
      <w:r>
        <w:rPr>
          <w:rFonts w:ascii="Arial" w:cs="Arial" w:eastAsia="Arial" w:hAnsi="Arial"/>
          <w:sz w:val="20"/>
          <w:szCs w:val="20"/>
        </w:rPr>
        <w:t xml:space="preserve">Ren, S., &amp; Zhu, K. Q. (2021). Knowledge-driven distractor generation for cloze-style multiple choice questions. Proceedings of the AAAI Conference on Artificial Intelligence, 35(5), 4339–4347. https://doi.org/10.1609/aaai.v35i5.16559</w:t>
      </w:r>
    </w:p>
    <w:p>
      <w:pPr>
        <w:spacing w:after="120"/>
        <w:ind w:left="720" w:hanging="720"/>
        <w:jc w:val="left"/>
      </w:pPr>
      <w:r>
        <w:rPr>
          <w:rFonts w:ascii="Arial" w:cs="Arial" w:eastAsia="Arial" w:hAnsi="Arial"/>
          <w:sz w:val="20"/>
          <w:szCs w:val="20"/>
        </w:rPr>
        <w:t xml:space="preserve">Research Square. (2019). Item analysis: The impact of distractor efficiency on the discrimination power of multiple choice items [Preprint]. https://www.researchsquare.com/article/rs-6556/v1</w:t>
      </w:r>
    </w:p>
    <w:p>
      <w:pPr>
        <w:spacing w:after="120"/>
        <w:ind w:left="720" w:hanging="720"/>
        <w:jc w:val="left"/>
      </w:pPr>
      <w:r>
        <w:rPr>
          <w:rFonts w:ascii="Arial" w:cs="Arial" w:eastAsia="Arial" w:hAnsi="Arial"/>
          <w:sz w:val="20"/>
          <w:szCs w:val="20"/>
        </w:rPr>
        <w:t xml:space="preserve">Rezigalla, A. A., et al. (2024). Item analysis: The impact of distractor efficiency on the difficulty index and discrimination power of multiple-choice items. BMC Medical Education, 24(1), 445. https://pubmed.ncbi.nlm.nih.gov/38658912/</w:t>
      </w:r>
    </w:p>
    <w:p>
      <w:pPr>
        <w:spacing w:after="120"/>
        <w:ind w:left="720" w:hanging="720"/>
        <w:jc w:val="left"/>
      </w:pPr>
      <w:r>
        <w:rPr>
          <w:rFonts w:ascii="Arial" w:cs="Arial" w:eastAsia="Arial" w:hAnsi="Arial"/>
          <w:sz w:val="20"/>
          <w:szCs w:val="20"/>
        </w:rPr>
        <w:t xml:space="preserve">Rodriguez-Torrealba, R., Garcia-Lopez, E., &amp; Garcia-Cabot, A. (2022). End-to-end generation of multiple-choice questions using text-to-text transfer transformer models. Expert Systems with Applications, 208, 118258. https://doi.org/10.1016/j.eswa.2022.118258</w:t>
      </w:r>
    </w:p>
    <w:p>
      <w:pPr>
        <w:spacing w:after="120"/>
        <w:ind w:left="720" w:hanging="720"/>
        <w:jc w:val="left"/>
      </w:pPr>
      <w:r>
        <w:rPr>
          <w:rFonts w:ascii="Arial" w:cs="Arial" w:eastAsia="Arial" w:hAnsi="Arial"/>
          <w:sz w:val="20"/>
          <w:szCs w:val="20"/>
        </w:rPr>
        <w:t xml:space="preserve">Testa, S., Toscano, A., &amp; Rosato, R. (2018). Distractor efficiency in an item pool for a statistics classroom exam. Frontiers in Psychology, 9, 1585. https://doi.org/10.3389/fpsyg.2018.01585</w:t>
      </w:r>
    </w:p>
    <w:p>
      <w:pPr>
        <w:spacing w:after="120"/>
        <w:ind w:left="720" w:hanging="720"/>
        <w:jc w:val="left"/>
      </w:pPr>
      <w:r>
        <w:rPr>
          <w:rFonts w:ascii="Arial" w:cs="Arial" w:eastAsia="Arial" w:hAnsi="Arial"/>
          <w:sz w:val="20"/>
          <w:szCs w:val="20"/>
        </w:rPr>
        <w:t xml:space="preserve">Yu, H.-C., et al. (2024). Enhancing distractor generation for multiple-choice questions with retrieval augmented pretraining and knowledge graph integration. En Findings of the Association for Computational Linguistics: ACL 2024 (pp. 11019–11029). https://doi.org/10.18653/v1/2024.findings-acl.655</w:t>
      </w:r>
    </w:p>
    <w:p>
      <w:pPr>
        <w:spacing w:after="120"/>
        <w:ind w:left="720" w:hanging="720"/>
        <w:jc w:val="left"/>
      </w:pPr>
      <w:r>
        <w:rPr>
          <w:rFonts w:ascii="Arial" w:cs="Arial" w:eastAsia="Arial" w:hAnsi="Arial"/>
          <w:sz w:val="20"/>
          <w:szCs w:val="20"/>
        </w:rPr>
        <w:t xml:space="preserve">Exploring the use of retrieval-augmented generation models in higher education: A pilot study on artificial intelligence-based tutoring. (2025). Computers and Education Open. https://www.sciencedirect.com/science/article/pii/S2590291125004796</w:t>
      </w:r>
    </w:p>
    <w:p>
      <w:pPr>
        <w:spacing w:after="120"/>
        <w:ind w:left="720" w:hanging="720"/>
        <w:jc w:val="left"/>
      </w:pPr>
      <w:r>
        <w:rPr>
          <w:rFonts w:ascii="Arial" w:cs="Arial" w:eastAsia="Arial" w:hAnsi="Arial"/>
          <w:sz w:val="20"/>
          <w:szCs w:val="20"/>
        </w:rPr>
        <w:t xml:space="preserve">Retrieval-augmented generation for educational application: A systematic survey. (2025). Computers and Education: Artificial Intelligence. https://www.sciencedirect.com/science/article/pii/S2666920X25000578</w:t>
      </w:r>
    </w:p>
    <w:p>
      <w:pPr>
        <w:spacing w:after="120" w:before="120" w:line="276"/>
        <w:jc w:val="both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Nota del equipo: las dos últimas referencias se registran por título porque no se pudo confirmar la autoría completa; deben completarse con los datos de la fuente antes de la entrega final, junto con el volumen y el número de artículo.</w:t>
      </w:r>
    </w:p>
    <w:sectPr>
      <w:footerReference w:type="default" r:id="rId9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sz w:val="16"/>
        <w:szCs w:val="16"/>
      </w:rPr>
      <w:t xml:space="preserve">Semana 2 · Product Discovery · Taller Integrador 1 · Página </w:t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sz w:val="16"/>
        <w:szCs w:val="16"/>
      </w:rPr>
      <w:t xml:space="preserve">Semana 2 · Product Discovery · Taller Integrador 1 · Página </w:t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sz w:val="16"/>
        <w:szCs w:val="16"/>
      </w:rPr>
      <w:t xml:space="preserve">Semana 2 · Product Discovery · Taller Integrador 1 · Página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40" w:hanging="19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F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2026-09-26T12:37:57.448Z</dcterms:created>
  <dcterms:modified xsi:type="dcterms:W3CDTF">2026-09-26T12:37:57.448Z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