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i w:val="0"/>
          <w:sz w:val="28"/>
        </w:rPr>
        <w:t>UNIVERSIDAD PRIVADA ANTENOR ORREGO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Taller Integrador 1 · Semana 5 · Sprint 1</w:t>
      </w:r>
    </w:p>
    <w:p>
      <w:pPr>
        <w:spacing w:before="680"/>
        <w:jc w:val="center"/>
      </w:pPr>
      <w:r>
        <w:rPr>
          <w:rFonts w:ascii="Arial" w:hAnsi="Arial"/>
          <w:b/>
          <w:i w:val="0"/>
          <w:color w:val="1F3864"/>
          <w:sz w:val="44"/>
        </w:rPr>
        <w:t>Sistema de diseño de la interfaz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Plataforma de generación asistida de contenido educativo y evaluaciones</w:t>
      </w:r>
    </w:p>
    <w:p>
      <w:pPr>
        <w:spacing w:before="320"/>
        <w:jc w:val="center"/>
      </w:pPr>
      <w:r>
        <w:rPr>
          <w:rFonts w:ascii="Arial" w:hAnsi="Arial"/>
          <w:b w:val="0"/>
          <w:i/>
          <w:sz w:val="22"/>
        </w:rPr>
        <w:t>Historia HU-001 · Épica EP-001 · Responsable: Silvana Diaz</w:t>
      </w:r>
    </w:p>
    <w:p>
      <w:pPr>
        <w:spacing w:before="800"/>
        <w:jc w:val="center"/>
      </w:pPr>
      <w:r>
        <w:rPr>
          <w:rFonts w:ascii="Arial" w:hAnsi="Arial"/>
          <w:b w:val="0"/>
          <w:i w:val="0"/>
          <w:sz w:val="22"/>
        </w:rPr>
        <w:t>Juan Alegria · Silvana Diaz · Yan Liu Dai · Sergio Celi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Trujillo – Perú, setiembre de 2026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1. Propósito y criterios de decisión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Este documento fija el lenguaje visual de la plataforma antes de programar los módulos, conforme a la indicación del docente asesor de estandarizar la interfaz junto con la arquitectura. Cualquier pantalla desarrollada por los cuatro integrantes debe usar estos valores; si una necesidad no está cubierta, se agrega aquí antes de implementarla.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Los criterios que guiaron las decisiones fueron cuatro:</w:t>
      </w:r>
    </w:p>
    <w:p>
      <w:pPr>
        <w:pStyle w:val="ListBullet"/>
        <w:spacing w:after="100"/>
        <w:jc w:val="both"/>
      </w:pPr>
      <w:r>
        <w:rPr>
          <w:rFonts w:ascii="Arial" w:hAnsi="Arial"/>
          <w:b/>
          <w:i w:val="0"/>
          <w:sz w:val="20"/>
        </w:rPr>
        <w:t>Legibilidad prolongada.</w:t>
      </w:r>
      <w:r>
        <w:rPr>
          <w:rFonts w:ascii="Arial" w:hAnsi="Arial"/>
          <w:b w:val="0"/>
          <w:i w:val="0"/>
          <w:sz w:val="20"/>
        </w:rPr>
        <w:t xml:space="preserve"> El docente revisa recursos generados durante sesiones largas, por lo que el fondo evita el blanco puro y el texto usa un gris muy oscuro en lugar de negro absoluto, que produce más fatiga por contraste excesivo.</w:t>
      </w:r>
    </w:p>
    <w:p>
      <w:pPr>
        <w:pStyle w:val="ListBullet"/>
        <w:spacing w:after="100"/>
        <w:jc w:val="both"/>
      </w:pPr>
      <w:r>
        <w:rPr>
          <w:rFonts w:ascii="Arial" w:hAnsi="Arial"/>
          <w:b/>
          <w:i w:val="0"/>
          <w:sz w:val="20"/>
        </w:rPr>
        <w:t>Jerarquía de la evidencia.</w:t>
      </w:r>
      <w:r>
        <w:rPr>
          <w:rFonts w:ascii="Arial" w:hAnsi="Arial"/>
          <w:b w:val="0"/>
          <w:i w:val="0"/>
          <w:sz w:val="20"/>
        </w:rPr>
        <w:t xml:space="preserve"> La interfaz debe distinguir de un vistazo el contenido generado, su evidencia de origen y las acciones de revisión. Eso exige un acento para lo aprobado y otro para lo que se descarta.</w:t>
      </w:r>
    </w:p>
    <w:p>
      <w:pPr>
        <w:pStyle w:val="ListBullet"/>
        <w:spacing w:after="100"/>
        <w:jc w:val="both"/>
      </w:pPr>
      <w:r>
        <w:rPr>
          <w:rFonts w:ascii="Arial" w:hAnsi="Arial"/>
          <w:b/>
          <w:i w:val="0"/>
          <w:sz w:val="20"/>
        </w:rPr>
        <w:t>Accesibilidad verificable.</w:t>
      </w:r>
      <w:r>
        <w:rPr>
          <w:rFonts w:ascii="Arial" w:hAnsi="Arial"/>
          <w:b w:val="0"/>
          <w:i w:val="0"/>
          <w:sz w:val="20"/>
        </w:rPr>
        <w:t xml:space="preserve"> Todas las combinaciones cumplen el nivel AA de WCAG 2.1: contraste mínimo de 4,5:1 en texto normal y 3:1 en texto grande.</w:t>
      </w:r>
    </w:p>
    <w:p>
      <w:pPr>
        <w:pStyle w:val="ListBullet"/>
        <w:spacing w:after="100"/>
        <w:jc w:val="both"/>
      </w:pPr>
      <w:r>
        <w:rPr>
          <w:rFonts w:ascii="Arial" w:hAnsi="Arial"/>
          <w:b/>
          <w:i w:val="0"/>
          <w:sz w:val="20"/>
        </w:rPr>
        <w:t>Sobriedad académica.</w:t>
      </w:r>
      <w:r>
        <w:rPr>
          <w:rFonts w:ascii="Arial" w:hAnsi="Arial"/>
          <w:b w:val="0"/>
          <w:i w:val="0"/>
          <w:sz w:val="20"/>
        </w:rPr>
        <w:t xml:space="preserve"> Se descartaron degradados, sombras marcadas y colores saturados, habituales en plantillas comerciales, por un registro más cercano al material universitario.</w:t>
      </w:r>
    </w:p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2. Paleta de color</w:t>
      </w:r>
    </w:p>
    <w:p>
      <w:pPr>
        <w:spacing w:before="200" w:after="120"/>
      </w:pPr>
      <w:r>
        <w:rPr>
          <w:rFonts w:ascii="Arial" w:hAnsi="Arial"/>
          <w:b/>
          <w:color w:val="2F5496"/>
          <w:sz w:val="24"/>
        </w:rPr>
        <w:t>2.1 Colores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Muestra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Token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Hex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Uso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Contraste sobre fondo</w:t>
            </w:r>
          </w:p>
        </w:tc>
      </w:tr>
      <w:tr>
        <w:tc>
          <w:tcPr>
            <w:tcW w:type="dxa" w:w="1134"/>
            <w:shd w:val="clear" w:color="auto" w:fill="F6F4EF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color-ground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#F6F4EF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general de la aplicación.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color-surface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Tarjetas, tablas y paneles sobre el fondo.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1A211E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color-ink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#1A211E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Texto principal y títulos.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15,2:1 · AAA</w:t>
            </w:r>
          </w:p>
        </w:tc>
      </w:tr>
      <w:tr>
        <w:tc>
          <w:tcPr>
            <w:tcW w:type="dxa" w:w="1134"/>
            <w:shd w:val="clear" w:color="auto" w:fill="4A544F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color-muted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#4A544F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Texto secundario, etiquetas y ayudas.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7,4:1 · AAA</w:t>
            </w:r>
          </w:p>
        </w:tc>
      </w:tr>
      <w:tr>
        <w:tc>
          <w:tcPr>
            <w:tcW w:type="dxa" w:w="1134"/>
            <w:shd w:val="clear" w:color="auto" w:fill="DCD7CC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color-line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#DCD7CC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Bordes de tarjetas, separadores y campos.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EDE9E0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color-soft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#EDE9E0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Fondos sutiles: barras de progreso, etiquetas neutras.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2F5496"/>
          <w:sz w:val="24"/>
        </w:rPr>
        <w:t>2.2 Colores de marca y estado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Muestra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Token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Hex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Uso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Contraste</w:t>
            </w:r>
          </w:p>
        </w:tc>
      </w:tr>
      <w:tr>
        <w:tc>
          <w:tcPr>
            <w:tcW w:type="dxa" w:w="1134"/>
            <w:shd w:val="clear" w:color="auto" w:fill="16352C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color-brand-dark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#16352C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Barra lateral de navegación.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Texto blanco: 13,1:1</w:t>
            </w:r>
          </w:p>
        </w:tc>
      </w:tr>
      <w:tr>
        <w:tc>
          <w:tcPr>
            <w:tcW w:type="dxa" w:w="1134"/>
            <w:shd w:val="clear" w:color="auto" w:fill="1F5C4A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color-accent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#1F5C4A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Acciones primarias, enlaces, respuesta correcta, indicadores en meta.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6,8:1 · AA</w:t>
            </w:r>
          </w:p>
        </w:tc>
      </w:tr>
      <w:tr>
        <w:tc>
          <w:tcPr>
            <w:tcW w:type="dxa" w:w="1134"/>
            <w:shd w:val="clear" w:color="auto" w:fill="123B30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color-accent-dark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#123B30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Estado hover de las acciones primarias.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10,6:1</w:t>
            </w:r>
          </w:p>
        </w:tc>
      </w:tr>
      <w:tr>
        <w:tc>
          <w:tcPr>
            <w:tcW w:type="dxa" w:w="1134"/>
            <w:shd w:val="clear" w:color="auto" w:fill="DCEBE3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color-accent-soft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#DCEBE3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de la alternativa correcta y de etiquetas aprobadas.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A84A26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color-warn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#A84A26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Descartar, alertas e indicadores por debajo de la meta.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5,3:1 · AA</w:t>
            </w:r>
          </w:p>
        </w:tc>
      </w:tr>
      <w:tr>
        <w:tc>
          <w:tcPr>
            <w:tcW w:type="dxa" w:w="1134"/>
            <w:shd w:val="clear" w:color="auto" w:fill="F6E8D8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color-warn-soft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#F6E8D8</w:t>
            </w:r>
          </w:p>
        </w:tc>
        <w:tc>
          <w:tcPr>
            <w:tcW w:type="dxa" w:w="36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de etiquetas en revisión o pendientes.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100"/>
        <w:jc w:val="both"/>
      </w:pPr>
      <w:r>
        <w:rPr>
          <w:rFonts w:ascii="Arial" w:hAnsi="Arial"/>
          <w:b w:val="0"/>
          <w:i/>
          <w:sz w:val="20"/>
        </w:rPr>
        <w:t>El verde profundo se eligió como acento porque el azul institucional ya se usa en el aula virtual de la universidad y se buscaba que la herramienta no se confundiera con ella. El terracota acompaña al verde en saturación y luminosidad, de modo que ninguno de los dos domina visualmente.</w:t>
      </w:r>
    </w:p>
    <w:p>
      <w:pPr>
        <w:spacing w:before="200" w:after="120"/>
      </w:pPr>
      <w:r>
        <w:rPr>
          <w:rFonts w:ascii="Arial" w:hAnsi="Arial"/>
          <w:b/>
          <w:color w:val="2F5496"/>
          <w:sz w:val="24"/>
        </w:rPr>
        <w:t>2.3 Regla de uso del color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El color nunca comunica por sí solo: todo estado lleva además texto o icono. Un distractor descartado dice «Descartado», no solo cambia de color.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El acento verde se reserva para la acción primaria de cada pantalla; si hay dos botones verdes juntos, uno de los dos está mal jerarquizado.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El terracota solo aparece en acciones destructivas o en indicadores fuera de meta, nunca como decoración.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Los fondos suaves (soft) no llevan texto pequeño en color claro encima.</w:t>
      </w: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3. Tipografía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Se emplean dos familias de código abierto disponibles en Google Fonts, lo que evita costos de licencia y garantiza que todos los integrantes trabajen con las mismas fuentes.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87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Familia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Rol</w:t>
            </w:r>
          </w:p>
        </w:tc>
        <w:tc>
          <w:tcPr>
            <w:tcW w:type="dxa" w:w="4082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Por qué se eligió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Alternativa de respaldo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Fraunces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Display: títulos de pantalla y cifras destacadas de los indicadores.</w:t>
            </w:r>
          </w:p>
        </w:tc>
        <w:tc>
          <w:tcPr>
            <w:tcW w:type="dxa" w:w="408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Serif contemporánea de eje variable; aporta carácter editorial coherente con material académico y distingue las cifras de los indicadores del resto de la interfaz.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Georgia, serif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Public Sans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Texto: cuerpo, formularios, tablas, botones y etiquetas.</w:t>
            </w:r>
          </w:p>
        </w:tc>
        <w:tc>
          <w:tcPr>
            <w:tcW w:type="dxa" w:w="408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Sans neutra de alta legibilidad en pantalla, con buen dibujo de números y signos; diseñada para interfaces de uso prolongado.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Segoe UI, system-ui, sans-serif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color w:val="2F5496"/>
          <w:sz w:val="24"/>
        </w:rPr>
        <w:t>3.1 Escala tipográfica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87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Token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Tamaño / interlineado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Peso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Familia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Uso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text-display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30 px / 1,2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Fraunces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Cifra principal de un indicador en el tablero.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text-h1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28 px / 1,25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Fraunces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Título de pantalla.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text-h2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19 px / 1,4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Fraunces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Enunciado de la pregunta en la pantalla de revisión.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text-title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16 px / 1,4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Public Sans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Título de tarjeta o sección.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text-body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15 px / 1,5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Public Sans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Texto de lectura y descripciones.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text-ui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14 px / 1,45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400–600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Public Sans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Botones, campos de formulario y celdas de tabla.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text-caption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12–13 px / 1,45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Public Sans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Ayudas, metadatos y notas de fuente.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text-overline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11–12 px / 1,3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Public Sans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Etiquetas en versalitas sobre las tarjetas (con letter-spacing de 0,06 em).</w:t>
            </w:r>
          </w:p>
        </w:tc>
      </w:tr>
    </w:tbl>
    <w:p>
      <w:pPr>
        <w:spacing w:after="100"/>
        <w:jc w:val="both"/>
      </w:pPr>
      <w:r>
        <w:rPr>
          <w:rFonts w:ascii="Arial" w:hAnsi="Arial"/>
          <w:b w:val="0"/>
          <w:i/>
          <w:sz w:val="20"/>
        </w:rPr>
        <w:t>El tamaño mínimo de texto legible es 12 px. No se emplean pesos inferiores a 400 ni cursivas para texto largo.</w:t>
      </w:r>
    </w:p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4. Espaciado, radios y elevación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Aspecto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Valores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Regla de uso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Escala de espaciado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4, 8, 12, 16, 20, 24, 30, 40 px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Múltiplos de 4. El espacio interior de una tarjeta es 18 a 20 px; la separación entre tarjetas, 16 px.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Radio de borde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8 px (controles), 10 px (tarjetas internas), 12 px (tarjetas y paneles), 999 px (etiquetas)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Un mismo componente mantiene siempre el mismo radio.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Bordes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1 px sólido con color-line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 prefiere el borde a la sombra para delimitar superficies.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Elevación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Sin sombras salvo en menús desplegables y diálogos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La jerarquía se construye con color de fondo y borde, no con profundidad.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Rejilla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Barra lateral fija de 244 px; contenido fluido con padding de 30 a 34 px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Ancho de referencia de las pantallas de escritorio: 1280 px.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5. Componentes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Componente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Especificación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Botón primario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color-accent, texto blanco, altura mínima 44 px, radio 8 px, padding horizontal 20 px. Hover: color-accent-dark.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Botón secundario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blanco, borde color-line, texto color-ink, mismas medidas que el primario.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Botón destructivo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blanco, borde color-line, texto color-warn. Se usa solo para descartar.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Campo de texto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Altura 44 px, borde color-line, radio 8 px, etiqueta visible arriba (nunca solo placeholder).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Tarjeta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blanco, borde color-line, radio 12 px, padding 18 a 20 px.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Etiqueta de estado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Radio 999 px, texto de 12 px en peso 600. Aprobado: color-accent sobre accent-soft. En revisión: marrón sobre warn-soft. Neutro: color-muted sobre color-soft.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Barra de progreso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Altura 8 px, fondo color-soft, relleno color-accent, radio 999 px.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Tabla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Cabecera en text-overline y color-muted; filas separadas por borde superior de 1 px; padding vertical de 13 a 16 px.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Navegación lateral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Fondo color-brand-dark; ítem activo con fondo #22493E y texto blanco; inactivo en #C9D6CF.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Iconografía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Trazo de 1,5 px sobre rejilla de 20 px, esquinas redondeadas. Nunca se usan emojis como iconos.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6. Accesibilidad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Todas las combinaciones de texto y fondo cumplen WCAG 2.1 nivel AA; los valores de contraste están declarados en las tablas de la sección 2.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El área táctil mínima de cualquier control es de 44 × 44 px.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Los botones que solo tienen icono llevan atributo aria-label descriptivo.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Los formularios usan elementos label asociados al campo; no se sustituye la etiqueta por el texto de marcador de posición.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El foco del teclado es siempre visible y el orden de tabulación sigue el orden visual.</w:t>
      </w:r>
    </w:p>
    <w:p>
      <w:pPr>
        <w:pStyle w:val="ListBullet"/>
        <w:spacing w:after="100"/>
        <w:jc w:val="both"/>
      </w:pPr>
      <w:r>
        <w:rPr>
          <w:rFonts w:ascii="Arial" w:hAnsi="Arial"/>
          <w:b w:val="0"/>
          <w:i w:val="0"/>
          <w:sz w:val="20"/>
        </w:rPr>
        <w:t>Ningún estado se comunica únicamente por color.</w:t>
      </w:r>
    </w:p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7. Implementación y gobernanza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Aspecto</w:t>
            </w:r>
          </w:p>
        </w:tc>
        <w:tc>
          <w:tcPr>
            <w:tcW w:type="dxa" w:w="7143"/>
          </w:tcPr>
          <w:p>
            <w:r/>
            <w:r>
              <w:rPr>
                <w:rFonts w:ascii="Arial" w:hAnsi="Arial"/>
                <w:b/>
                <w:i w:val="0"/>
                <w:sz w:val="18"/>
              </w:rPr>
              <w:t>Decisión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Definición técnica</w:t>
            </w:r>
          </w:p>
        </w:tc>
        <w:tc>
          <w:tcPr>
            <w:tcW w:type="dxa" w:w="7143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Los tokens se declaran como variables CSS en un único archivo de estilos compartido por el frontend.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Fuentes</w:t>
            </w:r>
          </w:p>
        </w:tc>
        <w:tc>
          <w:tcPr>
            <w:tcW w:type="dxa" w:w="7143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Se cargan desde Google Fonts con pila de respaldo declarada; si la carga falla, la interfaz sigue siendo legible.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Biblioteca de componentes</w:t>
            </w:r>
          </w:p>
        </w:tc>
        <w:tc>
          <w:tcPr>
            <w:tcW w:type="dxa" w:w="7143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Los componentes de la sección 5 se implementan una sola vez y se reutilizan; ningún integrante crea variantes propias.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Control de cambios</w:t>
            </w:r>
          </w:p>
        </w:tc>
        <w:tc>
          <w:tcPr>
            <w:tcW w:type="dxa" w:w="7143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Toda modificación se propone en la reunión de refinamiento, se registra en este documento y se incrementa su versión.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Verificación</w:t>
            </w:r>
          </w:p>
        </w:tc>
        <w:tc>
          <w:tcPr>
            <w:tcW w:type="dxa" w:w="7143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Antes de cerrar una historia se revisa contraste, área táctil y uso de tokens; forma parte de la Definición de Hecho.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F3864"/>
          <w:sz w:val="30"/>
        </w:rPr>
        <w:t>8. Aplicación en el prototipo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El prototipo navegable de la semana 4 ya implementa este sistema en seis pantallas: inicio del docente, carga de material, configuración de la generación, revisión human-in-the-loop, exportación al estándar y tablero de indicadores. Sirve como referencia visual y como prueba de que los tokens funcionan en composiciones reales.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Versión 1.0 · Documento asociado a la historia HU-001 de la épica EP-001 · Fecha: 26/09/2026.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