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464C" w14:textId="77777777" w:rsidR="00DC2615" w:rsidRPr="00026BC6" w:rsidRDefault="00000000">
      <w:pPr>
        <w:pStyle w:val="TitleMain"/>
        <w:jc w:val="center"/>
        <w:rPr>
          <w:lang w:val="fr-BE"/>
        </w:rPr>
      </w:pPr>
      <w:r w:rsidRPr="00026BC6">
        <w:rPr>
          <w:lang w:val="fr-BE"/>
        </w:rPr>
        <w:t>Rapport de Projet</w:t>
      </w:r>
    </w:p>
    <w:p w14:paraId="30799CEA" w14:textId="77777777" w:rsidR="00DC2615" w:rsidRPr="00026BC6" w:rsidRDefault="00000000">
      <w:pPr>
        <w:pStyle w:val="Sous-titre"/>
        <w:jc w:val="center"/>
        <w:rPr>
          <w:lang w:val="fr-BE"/>
        </w:rPr>
      </w:pPr>
      <w:r w:rsidRPr="00026BC6">
        <w:rPr>
          <w:lang w:val="fr-BE"/>
        </w:rPr>
        <w:t>Technologies de la Santé (TS6)</w:t>
      </w:r>
    </w:p>
    <w:p w14:paraId="4485858A" w14:textId="77777777" w:rsidR="00DC2615" w:rsidRPr="00026BC6" w:rsidRDefault="00DC2615">
      <w:pPr>
        <w:rPr>
          <w:lang w:val="fr-BE"/>
        </w:rPr>
      </w:pPr>
    </w:p>
    <w:p w14:paraId="5160D261" w14:textId="77777777" w:rsidR="00DC2615" w:rsidRPr="00026BC6" w:rsidRDefault="00000000">
      <w:pPr>
        <w:pStyle w:val="MetaLine"/>
        <w:jc w:val="center"/>
        <w:rPr>
          <w:lang w:val="fr-BE"/>
        </w:rPr>
      </w:pPr>
      <w:r w:rsidRPr="00026BC6">
        <w:rPr>
          <w:lang w:val="fr-BE"/>
        </w:rPr>
        <w:t>Sujet : Passerelle d’Interopérabilité Edge (IoT Bridge) pour l'intégration de dispositifs médicaux en exploitation (Legacy) au BIHR.</w:t>
      </w:r>
    </w:p>
    <w:p w14:paraId="0A73A583" w14:textId="77777777" w:rsidR="00DC2615" w:rsidRPr="00026BC6" w:rsidRDefault="00DC2615">
      <w:pPr>
        <w:rPr>
          <w:lang w:val="fr-BE"/>
        </w:rPr>
      </w:pPr>
    </w:p>
    <w:p w14:paraId="11A15701" w14:textId="1E16C91F" w:rsidR="00DC2615" w:rsidRPr="00026BC6" w:rsidRDefault="00000000">
      <w:pPr>
        <w:pStyle w:val="MetaLine"/>
        <w:jc w:val="center"/>
        <w:rPr>
          <w:lang w:val="fr-BE"/>
        </w:rPr>
      </w:pPr>
      <w:r w:rsidRPr="00026BC6">
        <w:rPr>
          <w:lang w:val="fr-BE"/>
        </w:rPr>
        <w:t xml:space="preserve">Nom de l’élève : </w:t>
      </w:r>
      <w:r w:rsidR="00026BC6" w:rsidRPr="00026BC6">
        <w:rPr>
          <w:lang w:val="fr-BE"/>
        </w:rPr>
        <w:t>N</w:t>
      </w:r>
      <w:r w:rsidR="00026BC6">
        <w:rPr>
          <w:lang w:val="fr-BE"/>
        </w:rPr>
        <w:t xml:space="preserve">oël Junior </w:t>
      </w:r>
      <w:proofErr w:type="spellStart"/>
      <w:r w:rsidR="00026BC6">
        <w:rPr>
          <w:lang w:val="fr-BE"/>
        </w:rPr>
        <w:t>Yando</w:t>
      </w:r>
      <w:proofErr w:type="spellEnd"/>
      <w:r w:rsidR="00026BC6">
        <w:rPr>
          <w:lang w:val="fr-BE"/>
        </w:rPr>
        <w:t xml:space="preserve"> </w:t>
      </w:r>
      <w:proofErr w:type="spellStart"/>
      <w:r w:rsidR="00026BC6">
        <w:rPr>
          <w:lang w:val="fr-BE"/>
        </w:rPr>
        <w:t>Fotso</w:t>
      </w:r>
      <w:proofErr w:type="spellEnd"/>
    </w:p>
    <w:p w14:paraId="75936E9E" w14:textId="77777777" w:rsidR="00DC2615" w:rsidRPr="00026BC6" w:rsidRDefault="00000000">
      <w:pPr>
        <w:pStyle w:val="MetaLine"/>
        <w:jc w:val="center"/>
        <w:rPr>
          <w:lang w:val="fr-BE"/>
        </w:rPr>
      </w:pPr>
      <w:r w:rsidRPr="00026BC6">
        <w:rPr>
          <w:lang w:val="fr-BE"/>
        </w:rPr>
        <w:t>Enseignant : Matthieu OLIVIERS</w:t>
      </w:r>
    </w:p>
    <w:p w14:paraId="34079883" w14:textId="77777777" w:rsidR="00DC2615" w:rsidRDefault="00000000">
      <w:pPr>
        <w:pStyle w:val="MetaLine"/>
        <w:jc w:val="center"/>
        <w:rPr>
          <w:lang w:val="fr-BE"/>
        </w:rPr>
      </w:pPr>
      <w:r w:rsidRPr="00026BC6">
        <w:rPr>
          <w:lang w:val="fr-BE"/>
        </w:rPr>
        <w:t>Date : 2 mars 2026</w:t>
      </w:r>
    </w:p>
    <w:p w14:paraId="2D98BE57" w14:textId="77777777" w:rsidR="00026BC6" w:rsidRDefault="00026BC6">
      <w:pPr>
        <w:pStyle w:val="MetaLine"/>
        <w:jc w:val="center"/>
        <w:rPr>
          <w:lang w:val="fr-BE"/>
        </w:rPr>
      </w:pPr>
    </w:p>
    <w:p w14:paraId="1CB2BFE0" w14:textId="77777777" w:rsidR="00026BC6" w:rsidRDefault="00026BC6">
      <w:pPr>
        <w:pStyle w:val="MetaLine"/>
        <w:jc w:val="center"/>
        <w:rPr>
          <w:lang w:val="fr-BE"/>
        </w:rPr>
      </w:pPr>
    </w:p>
    <w:p w14:paraId="5BDEEBCD" w14:textId="77777777" w:rsidR="00026BC6" w:rsidRDefault="00026BC6">
      <w:pPr>
        <w:pStyle w:val="MetaLine"/>
        <w:jc w:val="center"/>
        <w:rPr>
          <w:lang w:val="fr-BE"/>
        </w:rPr>
      </w:pPr>
    </w:p>
    <w:p w14:paraId="0003CEDD" w14:textId="77777777" w:rsidR="00026BC6" w:rsidRPr="00026BC6" w:rsidRDefault="00026BC6">
      <w:pPr>
        <w:pStyle w:val="MetaLine"/>
        <w:jc w:val="center"/>
        <w:rPr>
          <w:lang w:val="fr-BE"/>
        </w:rPr>
      </w:pPr>
    </w:p>
    <w:p w14:paraId="24D05AD8" w14:textId="77777777" w:rsidR="00DC2615" w:rsidRPr="00026BC6" w:rsidRDefault="00000000">
      <w:pPr>
        <w:pStyle w:val="Titre1"/>
        <w:rPr>
          <w:lang w:val="fr-BE"/>
        </w:rPr>
      </w:pPr>
      <w:r w:rsidRPr="00026BC6">
        <w:rPr>
          <w:lang w:val="fr-BE"/>
        </w:rPr>
        <w:t>Table des matières</w:t>
      </w:r>
    </w:p>
    <w:p w14:paraId="0BF3A305" w14:textId="6B2E65E7" w:rsidR="00DC2615" w:rsidRPr="00026BC6" w:rsidRDefault="00000000" w:rsidP="00026BC6">
      <w:pPr>
        <w:rPr>
          <w:lang w:val="fr-BE"/>
        </w:rPr>
      </w:pPr>
      <w:r>
        <w:fldChar w:fldCharType="begin"/>
      </w:r>
      <w:r w:rsidRPr="00026BC6">
        <w:rPr>
          <w:lang w:val="fr-BE"/>
        </w:rPr>
        <w:instrText>TOC \o "1-3" \h \z \u</w:instrText>
      </w:r>
      <w:r>
        <w:fldChar w:fldCharType="separate"/>
      </w:r>
      <w:r>
        <w:fldChar w:fldCharType="end"/>
      </w:r>
    </w:p>
    <w:p w14:paraId="0711E694" w14:textId="77777777" w:rsidR="00DC2615" w:rsidRDefault="00000000" w:rsidP="00026BC6">
      <w:pPr>
        <w:pStyle w:val="Listenumros"/>
        <w:numPr>
          <w:ilvl w:val="0"/>
          <w:numId w:val="0"/>
        </w:numPr>
      </w:pPr>
      <w:r>
        <w:t>Introduction</w:t>
      </w:r>
    </w:p>
    <w:p w14:paraId="54C76B1F" w14:textId="77777777" w:rsidR="00DC2615" w:rsidRPr="00026BC6" w:rsidRDefault="00000000" w:rsidP="00026BC6">
      <w:pPr>
        <w:pStyle w:val="Listenumros"/>
        <w:numPr>
          <w:ilvl w:val="0"/>
          <w:numId w:val="0"/>
        </w:numPr>
        <w:rPr>
          <w:lang w:val="fr-BE"/>
        </w:rPr>
      </w:pPr>
      <w:r w:rsidRPr="00026BC6">
        <w:rPr>
          <w:lang w:val="fr-BE"/>
        </w:rPr>
        <w:t>Chapitre 1 : Introduction à l'e-</w:t>
      </w:r>
      <w:proofErr w:type="spellStart"/>
      <w:r w:rsidRPr="00026BC6">
        <w:rPr>
          <w:lang w:val="fr-BE"/>
        </w:rPr>
        <w:t>health</w:t>
      </w:r>
      <w:proofErr w:type="spellEnd"/>
      <w:r w:rsidRPr="00026BC6">
        <w:rPr>
          <w:lang w:val="fr-BE"/>
        </w:rPr>
        <w:t xml:space="preserve"> et à la santé connectée</w:t>
      </w:r>
    </w:p>
    <w:p w14:paraId="01655650" w14:textId="77777777" w:rsidR="00DC2615" w:rsidRPr="00026BC6" w:rsidRDefault="00000000" w:rsidP="00026BC6">
      <w:pPr>
        <w:pStyle w:val="Listenumros"/>
        <w:numPr>
          <w:ilvl w:val="0"/>
          <w:numId w:val="0"/>
        </w:numPr>
        <w:rPr>
          <w:lang w:val="fr-BE"/>
        </w:rPr>
      </w:pPr>
      <w:r w:rsidRPr="00026BC6">
        <w:rPr>
          <w:lang w:val="fr-BE"/>
        </w:rPr>
        <w:t>Chapitre 2 : Applications mobiles et plateformes de santé connectée</w:t>
      </w:r>
    </w:p>
    <w:p w14:paraId="27ACEA92" w14:textId="77777777" w:rsidR="00DC2615" w:rsidRPr="00026BC6" w:rsidRDefault="00000000" w:rsidP="00026BC6">
      <w:pPr>
        <w:pStyle w:val="Listenumros"/>
        <w:numPr>
          <w:ilvl w:val="0"/>
          <w:numId w:val="0"/>
        </w:numPr>
        <w:rPr>
          <w:lang w:val="fr-BE"/>
        </w:rPr>
      </w:pPr>
      <w:r w:rsidRPr="00026BC6">
        <w:rPr>
          <w:lang w:val="fr-BE"/>
        </w:rPr>
        <w:t>Chapitre 3 : Intégration des dispositifs connectés dans les systèmes de santé</w:t>
      </w:r>
    </w:p>
    <w:p w14:paraId="2FAF9CA9" w14:textId="77777777" w:rsidR="00DC2615" w:rsidRPr="00026BC6" w:rsidRDefault="00000000" w:rsidP="00026BC6">
      <w:pPr>
        <w:pStyle w:val="Listenumros"/>
        <w:numPr>
          <w:ilvl w:val="0"/>
          <w:numId w:val="0"/>
        </w:numPr>
        <w:rPr>
          <w:lang w:val="fr-BE"/>
        </w:rPr>
      </w:pPr>
      <w:r w:rsidRPr="00026BC6">
        <w:rPr>
          <w:lang w:val="fr-BE"/>
        </w:rPr>
        <w:t>Chapitre 4 : Architecture technologique de l'e-</w:t>
      </w:r>
      <w:proofErr w:type="spellStart"/>
      <w:r w:rsidRPr="00026BC6">
        <w:rPr>
          <w:lang w:val="fr-BE"/>
        </w:rPr>
        <w:t>health</w:t>
      </w:r>
      <w:proofErr w:type="spellEnd"/>
    </w:p>
    <w:p w14:paraId="7F19D885" w14:textId="77777777" w:rsidR="00DC2615" w:rsidRPr="00026BC6" w:rsidRDefault="00000000" w:rsidP="00026BC6">
      <w:pPr>
        <w:pStyle w:val="Listenumros"/>
        <w:numPr>
          <w:ilvl w:val="0"/>
          <w:numId w:val="0"/>
        </w:numPr>
        <w:rPr>
          <w:lang w:val="fr-BE"/>
        </w:rPr>
      </w:pPr>
      <w:r w:rsidRPr="00026BC6">
        <w:rPr>
          <w:lang w:val="fr-BE"/>
        </w:rPr>
        <w:t>Chapitre 5 : Capteurs et dispositifs de mesure en e-</w:t>
      </w:r>
      <w:proofErr w:type="spellStart"/>
      <w:r w:rsidRPr="00026BC6">
        <w:rPr>
          <w:lang w:val="fr-BE"/>
        </w:rPr>
        <w:t>health</w:t>
      </w:r>
      <w:proofErr w:type="spellEnd"/>
    </w:p>
    <w:p w14:paraId="1D9455B3" w14:textId="77777777" w:rsidR="00DC2615" w:rsidRPr="00026BC6" w:rsidRDefault="00000000" w:rsidP="00026BC6">
      <w:pPr>
        <w:pStyle w:val="Listenumros"/>
        <w:numPr>
          <w:ilvl w:val="0"/>
          <w:numId w:val="0"/>
        </w:numPr>
        <w:rPr>
          <w:lang w:val="fr-BE"/>
        </w:rPr>
      </w:pPr>
      <w:r w:rsidRPr="00026BC6">
        <w:rPr>
          <w:lang w:val="fr-BE"/>
        </w:rPr>
        <w:t>Chapitre 6 : Implémentation, adoption, évaluation et perspectives</w:t>
      </w:r>
    </w:p>
    <w:p w14:paraId="5EA87B22" w14:textId="77777777" w:rsidR="00DC2615" w:rsidRDefault="00000000" w:rsidP="00026BC6">
      <w:pPr>
        <w:pStyle w:val="Listenumros"/>
        <w:numPr>
          <w:ilvl w:val="0"/>
          <w:numId w:val="0"/>
        </w:numPr>
      </w:pPr>
      <w:proofErr w:type="spellStart"/>
      <w:r>
        <w:t>Chapitre</w:t>
      </w:r>
      <w:proofErr w:type="spellEnd"/>
      <w:r>
        <w:t xml:space="preserve"> 7 : </w:t>
      </w:r>
      <w:proofErr w:type="spellStart"/>
      <w:r>
        <w:t>Éthique</w:t>
      </w:r>
      <w:proofErr w:type="spellEnd"/>
      <w:r>
        <w:t>, sécurité et confidentialité</w:t>
      </w:r>
    </w:p>
    <w:p w14:paraId="0088AFA8" w14:textId="77777777" w:rsidR="00DC2615" w:rsidRDefault="00000000" w:rsidP="00026BC6">
      <w:pPr>
        <w:pStyle w:val="Listenumros"/>
        <w:numPr>
          <w:ilvl w:val="0"/>
          <w:numId w:val="0"/>
        </w:numPr>
      </w:pPr>
      <w:r>
        <w:t>Conclusion &amp; Bibliographie</w:t>
      </w:r>
    </w:p>
    <w:p w14:paraId="16C76D84" w14:textId="77777777" w:rsidR="00DC2615" w:rsidRDefault="00000000" w:rsidP="00026BC6">
      <w:pPr>
        <w:pStyle w:val="Listenumros"/>
        <w:numPr>
          <w:ilvl w:val="0"/>
          <w:numId w:val="0"/>
        </w:numPr>
      </w:pPr>
      <w:r>
        <w:t>Annexes</w:t>
      </w:r>
    </w:p>
    <w:p w14:paraId="7BC11E3E" w14:textId="77777777" w:rsidR="00DC2615" w:rsidRDefault="00DC2615">
      <w:pPr>
        <w:sectPr w:rsidR="00DC2615">
          <w:footerReference w:type="default" r:id="rId8"/>
          <w:pgSz w:w="12240" w:h="15840"/>
          <w:pgMar w:top="1417" w:right="1417" w:bottom="1417" w:left="1417" w:header="720" w:footer="720" w:gutter="0"/>
          <w:pgNumType w:fmt="lowerRoman" w:start="1"/>
          <w:cols w:space="720"/>
          <w:titlePg/>
          <w:docGrid w:linePitch="360"/>
        </w:sectPr>
      </w:pPr>
    </w:p>
    <w:p w14:paraId="3AB22C31" w14:textId="77777777" w:rsidR="00DC2615" w:rsidRDefault="00000000">
      <w:pPr>
        <w:pStyle w:val="Titre1"/>
      </w:pPr>
      <w:r>
        <w:lastRenderedPageBreak/>
        <w:t>Introduction</w:t>
      </w:r>
    </w:p>
    <w:p w14:paraId="6056392D" w14:textId="77777777" w:rsidR="00DC2615" w:rsidRPr="00026BC6" w:rsidRDefault="00000000">
      <w:pPr>
        <w:spacing w:after="120" w:line="240" w:lineRule="auto"/>
        <w:rPr>
          <w:lang w:val="fr-BE"/>
        </w:rPr>
      </w:pPr>
      <w:r w:rsidRPr="00026BC6">
        <w:rPr>
          <w:lang w:val="fr-BE"/>
        </w:rPr>
        <w:t>Le système de santé belge entame une mutation profonde avec le déploiement du BIHR (</w:t>
      </w:r>
      <w:proofErr w:type="spellStart"/>
      <w:r w:rsidRPr="00026BC6">
        <w:rPr>
          <w:lang w:val="fr-BE"/>
        </w:rPr>
        <w:t>Belgian</w:t>
      </w:r>
      <w:proofErr w:type="spellEnd"/>
      <w:r w:rsidRPr="00026BC6">
        <w:rPr>
          <w:lang w:val="fr-BE"/>
        </w:rPr>
        <w:t xml:space="preserve"> Integrated Health Record), visant une vue unique et partagée des données de santé pour chaque citoyen. Cependant, un fossé technologique subsiste : alors que la stratégie nationale appelle à une automatisation accrue, 0 % des hôpitaux belges échantillonnés sont actuellement capables d'intégrer automatiquement les données des dispositifs médicaux dans le parcours de soins (stade 4 de maturité numérique).</w:t>
      </w:r>
    </w:p>
    <w:p w14:paraId="66DC6A55" w14:textId="77777777" w:rsidR="00DC2615" w:rsidRPr="00026BC6" w:rsidRDefault="00000000">
      <w:pPr>
        <w:spacing w:after="120" w:line="240" w:lineRule="auto"/>
        <w:rPr>
          <w:lang w:val="fr-BE"/>
        </w:rPr>
      </w:pPr>
      <w:r w:rsidRPr="00026BC6">
        <w:rPr>
          <w:lang w:val="fr-BE"/>
        </w:rPr>
        <w:t>L'enjeu de ce travail est de proposer une solution technique permettant de briser les silos de données générés par les équipements médicaux en exploitation. En créant un « IoT Bridge » capable de traduire les flux propriétaires en standards d'échange modernes, nous permettons au parc matériel existant d'alimenter le BIHR sans exiger de modifications logicielles critiques sur les appareils eux-mêmes.</w:t>
      </w:r>
    </w:p>
    <w:p w14:paraId="30E829CE" w14:textId="77777777" w:rsidR="00DC2615" w:rsidRPr="00026BC6" w:rsidRDefault="00000000">
      <w:pPr>
        <w:pStyle w:val="Titre1"/>
        <w:rPr>
          <w:lang w:val="fr-BE"/>
        </w:rPr>
      </w:pPr>
      <w:r w:rsidRPr="00026BC6">
        <w:rPr>
          <w:lang w:val="fr-BE"/>
        </w:rPr>
        <w:t>Chapitre 1 : Introduction à l'e-</w:t>
      </w:r>
      <w:proofErr w:type="spellStart"/>
      <w:r w:rsidRPr="00026BC6">
        <w:rPr>
          <w:lang w:val="fr-BE"/>
        </w:rPr>
        <w:t>health</w:t>
      </w:r>
      <w:proofErr w:type="spellEnd"/>
      <w:r w:rsidRPr="00026BC6">
        <w:rPr>
          <w:lang w:val="fr-BE"/>
        </w:rPr>
        <w:t xml:space="preserve"> et à la santé connectée</w:t>
      </w:r>
    </w:p>
    <w:p w14:paraId="55987F07" w14:textId="77777777" w:rsidR="00DC2615" w:rsidRPr="00026BC6" w:rsidRDefault="00000000">
      <w:pPr>
        <w:pStyle w:val="Titre2"/>
        <w:rPr>
          <w:lang w:val="fr-BE"/>
        </w:rPr>
      </w:pPr>
      <w:r w:rsidRPr="00026BC6">
        <w:rPr>
          <w:lang w:val="fr-BE"/>
        </w:rPr>
        <w:t>1.1 Définition et domaines d'application</w:t>
      </w:r>
    </w:p>
    <w:p w14:paraId="564E1C6A" w14:textId="77777777" w:rsidR="00DC2615" w:rsidRPr="00026BC6" w:rsidRDefault="00000000">
      <w:pPr>
        <w:spacing w:after="120" w:line="240" w:lineRule="auto"/>
        <w:rPr>
          <w:lang w:val="fr-BE"/>
        </w:rPr>
      </w:pPr>
      <w:r w:rsidRPr="00026BC6">
        <w:rPr>
          <w:lang w:val="fr-BE"/>
        </w:rPr>
        <w:t>L'e-</w:t>
      </w:r>
      <w:proofErr w:type="spellStart"/>
      <w:r w:rsidRPr="00026BC6">
        <w:rPr>
          <w:lang w:val="fr-BE"/>
        </w:rPr>
        <w:t>health</w:t>
      </w:r>
      <w:proofErr w:type="spellEnd"/>
      <w:r w:rsidRPr="00026BC6">
        <w:rPr>
          <w:lang w:val="fr-BE"/>
        </w:rPr>
        <w:t>, ou santé numérique, englobe les technologies numériques médicales (applications, logiciels, capteurs) utilisées pour soutenir le diagnostic, le monitoring, le traitement ou la prévention. Ces outils visent à améliorer la traçabilité des soins et à augmenter l'implication du patient dans sa propre santé (</w:t>
      </w:r>
      <w:proofErr w:type="spellStart"/>
      <w:r w:rsidRPr="00026BC6">
        <w:rPr>
          <w:lang w:val="fr-BE"/>
        </w:rPr>
        <w:t>empowerment</w:t>
      </w:r>
      <w:proofErr w:type="spellEnd"/>
      <w:r w:rsidRPr="00026BC6">
        <w:rPr>
          <w:lang w:val="fr-BE"/>
        </w:rPr>
        <w:t>).</w:t>
      </w:r>
    </w:p>
    <w:p w14:paraId="0DA4E56E" w14:textId="77777777" w:rsidR="00DC2615" w:rsidRPr="00026BC6" w:rsidRDefault="00000000">
      <w:pPr>
        <w:spacing w:after="120" w:line="240" w:lineRule="auto"/>
        <w:rPr>
          <w:lang w:val="fr-BE"/>
        </w:rPr>
      </w:pPr>
      <w:r w:rsidRPr="00026BC6">
        <w:rPr>
          <w:lang w:val="fr-BE"/>
        </w:rPr>
        <w:t>Dans le cadre de ce projet, nous nous concentrons sur les Interventions de Santé Numérique pour les prestataires (catégorie 2.0 de l'OMS), et plus particulièrement sur la transmission de données diagnostiques et le suivi à distance.</w:t>
      </w:r>
    </w:p>
    <w:p w14:paraId="0A02550D" w14:textId="77777777" w:rsidR="00DC2615" w:rsidRPr="00026BC6" w:rsidRDefault="00000000">
      <w:pPr>
        <w:pStyle w:val="Titre2"/>
        <w:rPr>
          <w:lang w:val="fr-BE"/>
        </w:rPr>
      </w:pPr>
      <w:r w:rsidRPr="00026BC6">
        <w:rPr>
          <w:lang w:val="fr-BE"/>
        </w:rPr>
        <w:t>1.2 La problématique du matériel en exploitation (Legacy)</w:t>
      </w:r>
    </w:p>
    <w:p w14:paraId="16858E05" w14:textId="77777777" w:rsidR="00DC2615" w:rsidRPr="00026BC6" w:rsidRDefault="00000000">
      <w:pPr>
        <w:spacing w:after="120" w:line="240" w:lineRule="auto"/>
        <w:rPr>
          <w:lang w:val="fr-BE"/>
        </w:rPr>
      </w:pPr>
      <w:r w:rsidRPr="00026BC6">
        <w:rPr>
          <w:lang w:val="fr-BE"/>
        </w:rPr>
        <w:t>L'intégration des données de santé se heurte à deux obstacles majeurs liés au cycle de vie des équipements :</w:t>
      </w:r>
    </w:p>
    <w:p w14:paraId="1CA6156F" w14:textId="77777777" w:rsidR="00DC2615" w:rsidRPr="00026BC6" w:rsidRDefault="00000000">
      <w:pPr>
        <w:pStyle w:val="Listepuces"/>
        <w:spacing w:after="120"/>
        <w:rPr>
          <w:lang w:val="fr-BE"/>
        </w:rPr>
      </w:pPr>
      <w:r w:rsidRPr="00256F86">
        <w:rPr>
          <w:b/>
          <w:bCs/>
          <w:lang w:val="fr-BE"/>
        </w:rPr>
        <w:t>Contrainte réglementaire</w:t>
      </w:r>
      <w:r w:rsidRPr="00026BC6">
        <w:rPr>
          <w:lang w:val="fr-BE"/>
        </w:rPr>
        <w:t xml:space="preserve"> : selon le Règlement Européen MDR 2017/745, toute modification significative de la conception ou de la destination d'un dispositif médical entraîne la perte de son marquage CE. Ajouter une connectivité native à un ancien moniteur de signes vitaux est donc administrativement et financièrement prohibitif.</w:t>
      </w:r>
    </w:p>
    <w:p w14:paraId="29E3C9B2" w14:textId="66277F45" w:rsidR="00256F86" w:rsidRPr="00256F86" w:rsidRDefault="00256F86" w:rsidP="00256F86">
      <w:pPr>
        <w:pStyle w:val="Listepuces"/>
        <w:rPr>
          <w:rFonts w:ascii="Times New Roman" w:hAnsi="Times New Roman"/>
          <w:lang w:val="fr-BE"/>
        </w:rPr>
      </w:pPr>
      <w:r>
        <w:rPr>
          <w:rFonts w:hAnsi="Symbol"/>
        </w:rPr>
        <w:t></w:t>
      </w:r>
      <w:r w:rsidRPr="00256F86">
        <w:rPr>
          <w:lang w:val="fr-BE"/>
        </w:rPr>
        <w:t xml:space="preserve"> Cycle</w:t>
      </w:r>
      <w:r w:rsidRPr="00256F86">
        <w:rPr>
          <w:b/>
          <w:bCs/>
          <w:lang w:val="fr-BE"/>
        </w:rPr>
        <w:t xml:space="preserve"> de vie </w:t>
      </w:r>
      <w:r w:rsidRPr="00256F86">
        <w:rPr>
          <w:b/>
          <w:bCs/>
          <w:lang w:val="fr-BE"/>
        </w:rPr>
        <w:t>asynchrone:</w:t>
      </w:r>
      <w:r w:rsidRPr="00256F86">
        <w:rPr>
          <w:lang w:val="fr-BE"/>
        </w:rPr>
        <w:t xml:space="preserve"> Un dispositif médical critique (imagerie, moniteur, pompe à perfusion) a une durée de vie de </w:t>
      </w:r>
      <w:r w:rsidRPr="00256F86">
        <w:rPr>
          <w:b/>
          <w:bCs/>
          <w:lang w:val="fr-BE"/>
        </w:rPr>
        <w:t>15 à 20 ans</w:t>
      </w:r>
      <w:r w:rsidRPr="00256F86">
        <w:rPr>
          <w:lang w:val="fr-BE"/>
        </w:rPr>
        <w:t>. À l'inverse, les standards de connectivité changent tous les 3 à 5 ans.</w:t>
      </w:r>
    </w:p>
    <w:p w14:paraId="22BD7913" w14:textId="048FC54A" w:rsidR="00256F86" w:rsidRPr="00256F86" w:rsidRDefault="00256F86" w:rsidP="00256F86">
      <w:pPr>
        <w:pStyle w:val="Listepuces"/>
        <w:rPr>
          <w:lang w:val="fr-BE"/>
        </w:rPr>
      </w:pPr>
      <w:r>
        <w:rPr>
          <w:rFonts w:hAnsi="Symbol"/>
        </w:rPr>
        <w:t></w:t>
      </w:r>
      <w:r w:rsidRPr="00256F86">
        <w:rPr>
          <w:lang w:val="fr-BE"/>
        </w:rPr>
        <w:t xml:space="preserve"> Preuves</w:t>
      </w:r>
      <w:r w:rsidRPr="00256F86">
        <w:rPr>
          <w:b/>
          <w:bCs/>
          <w:lang w:val="fr-BE"/>
        </w:rPr>
        <w:t xml:space="preserve"> </w:t>
      </w:r>
      <w:r w:rsidRPr="00256F86">
        <w:rPr>
          <w:b/>
          <w:bCs/>
          <w:lang w:val="fr-BE"/>
        </w:rPr>
        <w:t>techniques:</w:t>
      </w:r>
      <w:r w:rsidRPr="00256F86">
        <w:rPr>
          <w:lang w:val="fr-BE"/>
        </w:rPr>
        <w:t xml:space="preserve"> Des livres blancs récents (comme ceux de </w:t>
      </w:r>
      <w:proofErr w:type="spellStart"/>
      <w:r w:rsidRPr="00256F86">
        <w:rPr>
          <w:i/>
          <w:iCs/>
          <w:lang w:val="fr-BE"/>
        </w:rPr>
        <w:t>seca</w:t>
      </w:r>
      <w:proofErr w:type="spellEnd"/>
      <w:r w:rsidRPr="00256F86">
        <w:rPr>
          <w:lang w:val="fr-BE"/>
        </w:rPr>
        <w:t xml:space="preserve"> ou </w:t>
      </w:r>
      <w:r w:rsidRPr="00256F86">
        <w:rPr>
          <w:i/>
          <w:iCs/>
          <w:lang w:val="fr-BE"/>
        </w:rPr>
        <w:t>MITRE</w:t>
      </w:r>
      <w:r w:rsidRPr="00256F86">
        <w:rPr>
          <w:lang w:val="fr-BE"/>
        </w:rPr>
        <w:t xml:space="preserve">) confirment que de nombreux dispositifs actifs s'appuient encore sur le </w:t>
      </w:r>
      <w:r w:rsidRPr="00256F86">
        <w:rPr>
          <w:b/>
          <w:bCs/>
          <w:lang w:val="fr-BE"/>
        </w:rPr>
        <w:t>RS-232</w:t>
      </w:r>
      <w:r w:rsidRPr="00256F86">
        <w:rPr>
          <w:lang w:val="fr-BE"/>
        </w:rPr>
        <w:t xml:space="preserve"> pour la communication série simple ou des versions de Bluetooth non-BLE, car ces protocoles étaient les standards lors de leur conception (années 2005-2015).</w:t>
      </w:r>
    </w:p>
    <w:p w14:paraId="2A90FEF8" w14:textId="30F3743D" w:rsidR="00DC2615" w:rsidRPr="00256F86" w:rsidRDefault="00256F86" w:rsidP="00256F86">
      <w:pPr>
        <w:pStyle w:val="Listepuces"/>
        <w:rPr>
          <w:lang w:val="fr-BE"/>
        </w:rPr>
      </w:pPr>
      <w:r>
        <w:rPr>
          <w:rFonts w:hAnsi="Symbol"/>
        </w:rPr>
        <w:t></w:t>
      </w:r>
      <w:r w:rsidRPr="00256F86">
        <w:rPr>
          <w:lang w:val="fr-BE"/>
        </w:rPr>
        <w:t xml:space="preserve"> Le</w:t>
      </w:r>
      <w:r w:rsidRPr="00256F86">
        <w:rPr>
          <w:b/>
          <w:bCs/>
          <w:lang w:val="fr-BE"/>
        </w:rPr>
        <w:t xml:space="preserve"> paradoxe du "</w:t>
      </w:r>
      <w:proofErr w:type="spellStart"/>
      <w:r w:rsidRPr="00256F86">
        <w:rPr>
          <w:b/>
          <w:bCs/>
          <w:lang w:val="fr-BE"/>
        </w:rPr>
        <w:t>Locked</w:t>
      </w:r>
      <w:proofErr w:type="spellEnd"/>
      <w:r w:rsidRPr="00256F86">
        <w:rPr>
          <w:b/>
          <w:bCs/>
          <w:lang w:val="fr-BE"/>
        </w:rPr>
        <w:t xml:space="preserve"> Config</w:t>
      </w:r>
      <w:r w:rsidRPr="00256F86">
        <w:rPr>
          <w:b/>
          <w:bCs/>
          <w:lang w:val="fr-BE"/>
        </w:rPr>
        <w:t>»:</w:t>
      </w:r>
      <w:r w:rsidRPr="00256F86">
        <w:rPr>
          <w:lang w:val="fr-BE"/>
        </w:rPr>
        <w:t xml:space="preserve"> Ces appareils tournent souvent sur des OS obsolètes (Windows XP ou 7 embarqués) qui sont "gelés" pour garantir la sécurité du patient. Ils exportent leurs données de la manière la plus basique possible : fichiers </w:t>
      </w:r>
      <w:r w:rsidRPr="00256F86">
        <w:rPr>
          <w:b/>
          <w:bCs/>
          <w:lang w:val="fr-BE"/>
        </w:rPr>
        <w:t>CSV</w:t>
      </w:r>
      <w:r w:rsidRPr="00256F86">
        <w:rPr>
          <w:lang w:val="fr-BE"/>
        </w:rPr>
        <w:t>, XML propriétaires ou flux série bruts</w:t>
      </w:r>
      <w:r w:rsidR="00000000" w:rsidRPr="00256F86">
        <w:rPr>
          <w:lang w:val="fr-BE"/>
        </w:rPr>
        <w:t>.</w:t>
      </w:r>
    </w:p>
    <w:p w14:paraId="17923A0D" w14:textId="77777777" w:rsidR="00DC2615" w:rsidRPr="00026BC6" w:rsidRDefault="00000000">
      <w:pPr>
        <w:pStyle w:val="Titre2"/>
        <w:rPr>
          <w:lang w:val="fr-BE"/>
        </w:rPr>
      </w:pPr>
      <w:r w:rsidRPr="00026BC6">
        <w:rPr>
          <w:lang w:val="fr-BE"/>
        </w:rPr>
        <w:lastRenderedPageBreak/>
        <w:t>1.3 Choix du standard HL7 FHIR</w:t>
      </w:r>
    </w:p>
    <w:p w14:paraId="5FC9C2E9" w14:textId="7E9F162A" w:rsidR="00DC2615" w:rsidRPr="00026BC6" w:rsidRDefault="00000000">
      <w:pPr>
        <w:spacing w:after="120" w:line="240" w:lineRule="auto"/>
        <w:rPr>
          <w:lang w:val="fr-BE"/>
        </w:rPr>
      </w:pPr>
      <w:r w:rsidRPr="00026BC6">
        <w:rPr>
          <w:lang w:val="fr-BE"/>
        </w:rPr>
        <w:t>Pour répondre aux exigences de la Roadmap e-</w:t>
      </w:r>
      <w:proofErr w:type="spellStart"/>
      <w:r w:rsidRPr="00026BC6">
        <w:rPr>
          <w:lang w:val="fr-BE"/>
        </w:rPr>
        <w:t>health</w:t>
      </w:r>
      <w:proofErr w:type="spellEnd"/>
      <w:r w:rsidRPr="00026BC6">
        <w:rPr>
          <w:lang w:val="fr-BE"/>
        </w:rPr>
        <w:t xml:space="preserve"> 2022-2024, l'interopérabilité et la standardisation sont prioritaires. Le choix du standard HL7 FHIR s'impose car il est le socle du futur espace européen des données de santé. Contrairement aux formats de messages monolithiques, FHIR permet une granularité </w:t>
      </w:r>
      <w:r w:rsidR="00256F86" w:rsidRPr="00026BC6">
        <w:rPr>
          <w:lang w:val="fr-BE"/>
        </w:rPr>
        <w:t>par ressources</w:t>
      </w:r>
      <w:r w:rsidRPr="00026BC6">
        <w:rPr>
          <w:lang w:val="fr-BE"/>
        </w:rPr>
        <w:t xml:space="preserve">  (Patient, Observation, </w:t>
      </w:r>
      <w:proofErr w:type="spellStart"/>
      <w:r w:rsidRPr="00026BC6">
        <w:rPr>
          <w:lang w:val="fr-BE"/>
        </w:rPr>
        <w:t>Device</w:t>
      </w:r>
      <w:proofErr w:type="spellEnd"/>
      <w:r w:rsidRPr="00026BC6">
        <w:rPr>
          <w:lang w:val="fr-BE"/>
        </w:rPr>
        <w:t>), facilitant l'agrégation de données précises et complètes dans le BIHR.</w:t>
      </w:r>
    </w:p>
    <w:p w14:paraId="5A475BB4" w14:textId="77777777" w:rsidR="00DC2615" w:rsidRPr="00026BC6" w:rsidRDefault="00000000">
      <w:pPr>
        <w:pStyle w:val="Titre1"/>
        <w:rPr>
          <w:lang w:val="fr-BE"/>
        </w:rPr>
      </w:pPr>
      <w:r w:rsidRPr="00026BC6">
        <w:rPr>
          <w:lang w:val="fr-BE"/>
        </w:rPr>
        <w:t>Chapitre 2 : Applications mobiles et plateformes de santé connectée</w:t>
      </w:r>
    </w:p>
    <w:p w14:paraId="7E95FA47" w14:textId="77777777" w:rsidR="00DC2615" w:rsidRPr="00026BC6" w:rsidRDefault="00000000">
      <w:pPr>
        <w:rPr>
          <w:lang w:val="fr-BE"/>
        </w:rPr>
      </w:pPr>
      <w:r w:rsidRPr="00026BC6">
        <w:rPr>
          <w:i/>
          <w:lang w:val="fr-BE"/>
        </w:rPr>
        <w:t>À compléter : focus sur l'interface de monitoring de la passerelle et le tableau de bord pour les techniciens biomédicaux.</w:t>
      </w:r>
    </w:p>
    <w:p w14:paraId="5AAF7997" w14:textId="77777777" w:rsidR="00DC2615" w:rsidRPr="00026BC6" w:rsidRDefault="00000000">
      <w:pPr>
        <w:pStyle w:val="Titre1"/>
        <w:rPr>
          <w:lang w:val="fr-BE"/>
        </w:rPr>
      </w:pPr>
      <w:r w:rsidRPr="00026BC6">
        <w:rPr>
          <w:lang w:val="fr-BE"/>
        </w:rPr>
        <w:t>Chapitre 3 : Intégration des dispositifs connectés dans les systèmes de santé</w:t>
      </w:r>
    </w:p>
    <w:p w14:paraId="18D8832E" w14:textId="77777777" w:rsidR="00DC2615" w:rsidRPr="00026BC6" w:rsidRDefault="00000000">
      <w:pPr>
        <w:rPr>
          <w:lang w:val="fr-BE"/>
        </w:rPr>
      </w:pPr>
      <w:r w:rsidRPr="00026BC6">
        <w:rPr>
          <w:i/>
          <w:lang w:val="fr-BE"/>
        </w:rPr>
        <w:t xml:space="preserve">À compléter : détail sur l'utilisation des API du portail </w:t>
      </w:r>
      <w:proofErr w:type="spellStart"/>
      <w:r w:rsidRPr="00026BC6">
        <w:rPr>
          <w:i/>
          <w:lang w:val="fr-BE"/>
        </w:rPr>
        <w:t>eHealth</w:t>
      </w:r>
      <w:proofErr w:type="spellEnd"/>
      <w:r w:rsidRPr="00026BC6">
        <w:rPr>
          <w:i/>
          <w:lang w:val="fr-BE"/>
        </w:rPr>
        <w:t xml:space="preserve"> et la synchronisation avec le </w:t>
      </w:r>
      <w:proofErr w:type="spellStart"/>
      <w:r w:rsidRPr="00026BC6">
        <w:rPr>
          <w:i/>
          <w:lang w:val="fr-BE"/>
        </w:rPr>
        <w:t>MetaHub</w:t>
      </w:r>
      <w:proofErr w:type="spellEnd"/>
      <w:r w:rsidRPr="00026BC6">
        <w:rPr>
          <w:i/>
          <w:lang w:val="fr-BE"/>
        </w:rPr>
        <w:t>.</w:t>
      </w:r>
    </w:p>
    <w:p w14:paraId="452D2FB6" w14:textId="77777777" w:rsidR="00DC2615" w:rsidRPr="00026BC6" w:rsidRDefault="00000000">
      <w:pPr>
        <w:pStyle w:val="Titre1"/>
        <w:rPr>
          <w:lang w:val="fr-BE"/>
        </w:rPr>
      </w:pPr>
      <w:r w:rsidRPr="00026BC6">
        <w:rPr>
          <w:lang w:val="fr-BE"/>
        </w:rPr>
        <w:t>Chapitre 4 : Architecture technologique de l'e-</w:t>
      </w:r>
      <w:proofErr w:type="spellStart"/>
      <w:r w:rsidRPr="00026BC6">
        <w:rPr>
          <w:lang w:val="fr-BE"/>
        </w:rPr>
        <w:t>health</w:t>
      </w:r>
      <w:proofErr w:type="spellEnd"/>
    </w:p>
    <w:p w14:paraId="718C3534" w14:textId="77777777" w:rsidR="00DC2615" w:rsidRPr="00026BC6" w:rsidRDefault="00000000">
      <w:pPr>
        <w:rPr>
          <w:lang w:val="fr-BE"/>
        </w:rPr>
      </w:pPr>
      <w:r w:rsidRPr="00026BC6">
        <w:rPr>
          <w:i/>
          <w:lang w:val="fr-BE"/>
        </w:rPr>
        <w:t>À compléter : schéma détaillé du flux de données : ingestion -&gt; mapping FHIR -&gt; transport sécurisé.</w:t>
      </w:r>
    </w:p>
    <w:p w14:paraId="2AE1EECC" w14:textId="77777777" w:rsidR="00DC2615" w:rsidRPr="00026BC6" w:rsidRDefault="00000000">
      <w:pPr>
        <w:pStyle w:val="Titre1"/>
        <w:rPr>
          <w:lang w:val="fr-BE"/>
        </w:rPr>
      </w:pPr>
      <w:r w:rsidRPr="00026BC6">
        <w:rPr>
          <w:lang w:val="fr-BE"/>
        </w:rPr>
        <w:t>Chapitre 5 : Capteurs et dispositifs de mesure en e-</w:t>
      </w:r>
      <w:proofErr w:type="spellStart"/>
      <w:r w:rsidRPr="00026BC6">
        <w:rPr>
          <w:lang w:val="fr-BE"/>
        </w:rPr>
        <w:t>health</w:t>
      </w:r>
      <w:proofErr w:type="spellEnd"/>
    </w:p>
    <w:p w14:paraId="3892D8F5" w14:textId="77777777" w:rsidR="00DC2615" w:rsidRPr="00026BC6" w:rsidRDefault="00000000">
      <w:pPr>
        <w:rPr>
          <w:lang w:val="fr-BE"/>
        </w:rPr>
      </w:pPr>
      <w:r w:rsidRPr="00026BC6">
        <w:rPr>
          <w:i/>
          <w:lang w:val="fr-BE"/>
        </w:rPr>
        <w:t>À compléter : analyse des protocoles de sortie des équipements médicaux et méthodes de capture sans intrusion matérielle.</w:t>
      </w:r>
    </w:p>
    <w:p w14:paraId="749A0877" w14:textId="77777777" w:rsidR="00DC2615" w:rsidRPr="00026BC6" w:rsidRDefault="00000000">
      <w:pPr>
        <w:pStyle w:val="Titre1"/>
        <w:rPr>
          <w:lang w:val="fr-BE"/>
        </w:rPr>
      </w:pPr>
      <w:r w:rsidRPr="00026BC6">
        <w:rPr>
          <w:lang w:val="fr-BE"/>
        </w:rPr>
        <w:t>Chapitre 6 : Implémentation, adoption, évaluation et perspectives</w:t>
      </w:r>
    </w:p>
    <w:p w14:paraId="5443B8C9" w14:textId="77777777" w:rsidR="00DC2615" w:rsidRPr="00026BC6" w:rsidRDefault="00000000">
      <w:pPr>
        <w:rPr>
          <w:lang w:val="fr-BE"/>
        </w:rPr>
      </w:pPr>
      <w:r w:rsidRPr="00026BC6">
        <w:rPr>
          <w:i/>
          <w:lang w:val="fr-BE"/>
        </w:rPr>
        <w:t>À compléter : analyse coût-bénéfice par rapport à un remplacement complet du parc machine.</w:t>
      </w:r>
    </w:p>
    <w:p w14:paraId="4514E517" w14:textId="77777777" w:rsidR="00DC2615" w:rsidRPr="00026BC6" w:rsidRDefault="00000000">
      <w:pPr>
        <w:pStyle w:val="Titre1"/>
        <w:rPr>
          <w:lang w:val="fr-BE"/>
        </w:rPr>
      </w:pPr>
      <w:r w:rsidRPr="00026BC6">
        <w:rPr>
          <w:lang w:val="fr-BE"/>
        </w:rPr>
        <w:t>Chapitre 7 : Éthique, sécurité et confidentialité</w:t>
      </w:r>
    </w:p>
    <w:p w14:paraId="4DA576AD" w14:textId="77777777" w:rsidR="00DC2615" w:rsidRPr="00026BC6" w:rsidRDefault="00000000">
      <w:pPr>
        <w:rPr>
          <w:lang w:val="fr-BE"/>
        </w:rPr>
      </w:pPr>
      <w:r w:rsidRPr="00026BC6">
        <w:rPr>
          <w:i/>
          <w:lang w:val="fr-BE"/>
        </w:rPr>
        <w:t xml:space="preserve">À compléter : gestion du chiffrement end-to-end et respect du RGPD via les services de base de la plateforme </w:t>
      </w:r>
      <w:proofErr w:type="spellStart"/>
      <w:r w:rsidRPr="00026BC6">
        <w:rPr>
          <w:i/>
          <w:lang w:val="fr-BE"/>
        </w:rPr>
        <w:t>eHealth</w:t>
      </w:r>
      <w:proofErr w:type="spellEnd"/>
      <w:r w:rsidRPr="00026BC6">
        <w:rPr>
          <w:i/>
          <w:lang w:val="fr-BE"/>
        </w:rPr>
        <w:t>.</w:t>
      </w:r>
    </w:p>
    <w:p w14:paraId="5FC6A416" w14:textId="77777777" w:rsidR="00DC2615" w:rsidRDefault="00000000">
      <w:pPr>
        <w:pStyle w:val="Titre1"/>
      </w:pPr>
      <w:r>
        <w:t xml:space="preserve">Conclusion &amp; </w:t>
      </w:r>
      <w:proofErr w:type="spellStart"/>
      <w:r>
        <w:t>Bibliographie</w:t>
      </w:r>
      <w:proofErr w:type="spellEnd"/>
    </w:p>
    <w:p w14:paraId="6291C6A4" w14:textId="77777777" w:rsidR="00DC2615" w:rsidRDefault="00000000">
      <w:r>
        <w:rPr>
          <w:i/>
        </w:rPr>
        <w:t>À compléter.</w:t>
      </w:r>
    </w:p>
    <w:p w14:paraId="0D7E7BF0" w14:textId="77777777" w:rsidR="00DC2615" w:rsidRDefault="00000000">
      <w:pPr>
        <w:pStyle w:val="Titre1"/>
      </w:pPr>
      <w:r>
        <w:t>Annexes</w:t>
      </w:r>
    </w:p>
    <w:p w14:paraId="4865716A" w14:textId="77777777" w:rsidR="00DC2615" w:rsidRPr="00026BC6" w:rsidRDefault="00000000">
      <w:pPr>
        <w:pStyle w:val="Listepuces"/>
        <w:rPr>
          <w:lang w:val="fr-BE"/>
        </w:rPr>
      </w:pPr>
      <w:r w:rsidRPr="00026BC6">
        <w:rPr>
          <w:lang w:val="fr-BE"/>
        </w:rPr>
        <w:t>Figure A : Schéma du processus métier (de l'équipement au BIHR).</w:t>
      </w:r>
    </w:p>
    <w:p w14:paraId="76BCD76E" w14:textId="77777777" w:rsidR="00DC2615" w:rsidRPr="00026BC6" w:rsidRDefault="00000000">
      <w:pPr>
        <w:pStyle w:val="Listepuces"/>
        <w:rPr>
          <w:lang w:val="fr-BE"/>
        </w:rPr>
      </w:pPr>
      <w:r w:rsidRPr="00026BC6">
        <w:rPr>
          <w:lang w:val="fr-BE"/>
        </w:rPr>
        <w:t>Figure B : Schéma de l'architecture technique de la Gateway.</w:t>
      </w:r>
    </w:p>
    <w:p w14:paraId="62D21C58" w14:textId="6E083F3C" w:rsidR="00DC2615" w:rsidRPr="00026BC6" w:rsidRDefault="00DC2615" w:rsidP="00026BC6">
      <w:pPr>
        <w:pStyle w:val="Listepuces"/>
        <w:numPr>
          <w:ilvl w:val="0"/>
          <w:numId w:val="0"/>
        </w:numPr>
        <w:ind w:left="360"/>
        <w:rPr>
          <w:lang w:val="fr-BE"/>
        </w:rPr>
      </w:pPr>
    </w:p>
    <w:sectPr w:rsidR="00DC2615" w:rsidRPr="00026BC6" w:rsidSect="00034616">
      <w:pgSz w:w="12240" w:h="15840"/>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FFF74" w14:textId="77777777" w:rsidR="0006147B" w:rsidRDefault="0006147B">
      <w:pPr>
        <w:spacing w:after="0" w:line="240" w:lineRule="auto"/>
      </w:pPr>
      <w:r>
        <w:separator/>
      </w:r>
    </w:p>
  </w:endnote>
  <w:endnote w:type="continuationSeparator" w:id="0">
    <w:p w14:paraId="2ACACF6D" w14:textId="77777777" w:rsidR="0006147B" w:rsidRDefault="00061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712B" w14:textId="77777777" w:rsidR="00DC2615" w:rsidRDefault="00000000">
    <w:pPr>
      <w:pStyle w:val="Pieddepage"/>
      <w:jc w:val="center"/>
    </w:pPr>
    <w:r>
      <w:rPr>
        <w:sz w:val="18"/>
      </w:rPr>
      <w:t xml:space="preserve">Page </w:t>
    </w:r>
    <w:r>
      <w:fldChar w:fldCharType="begin"/>
    </w:r>
    <w:r>
      <w:instrText>PAGE</w:instrText>
    </w:r>
    <w:r>
      <w:fldChar w:fldCharType="separate"/>
    </w:r>
    <w:r w:rsidR="00026BC6">
      <w:rPr>
        <w:noProof/>
      </w:rPr>
      <w:t>2</w:t>
    </w:r>
    <w:r>
      <w:fldChar w:fldCharType="end"/>
    </w:r>
    <w:r>
      <w:rPr>
        <w:sz w:val="18"/>
      </w:rPr>
      <w:t xml:space="preserve"> / </w:t>
    </w:r>
    <w:r>
      <w:fldChar w:fldCharType="begin"/>
    </w:r>
    <w:r>
      <w:instrText>NUMPAGES</w:instrText>
    </w:r>
    <w:r>
      <w:fldChar w:fldCharType="separate"/>
    </w:r>
    <w:r w:rsidR="00026BC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DE6F" w14:textId="77777777" w:rsidR="0006147B" w:rsidRDefault="0006147B">
      <w:pPr>
        <w:spacing w:after="0" w:line="240" w:lineRule="auto"/>
      </w:pPr>
      <w:r>
        <w:separator/>
      </w:r>
    </w:p>
  </w:footnote>
  <w:footnote w:type="continuationSeparator" w:id="0">
    <w:p w14:paraId="0DED73F1" w14:textId="77777777" w:rsidR="0006147B" w:rsidRDefault="00061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97352950">
    <w:abstractNumId w:val="8"/>
  </w:num>
  <w:num w:numId="2" w16cid:durableId="1406145690">
    <w:abstractNumId w:val="6"/>
  </w:num>
  <w:num w:numId="3" w16cid:durableId="788665998">
    <w:abstractNumId w:val="5"/>
  </w:num>
  <w:num w:numId="4" w16cid:durableId="922958831">
    <w:abstractNumId w:val="4"/>
  </w:num>
  <w:num w:numId="5" w16cid:durableId="2048599089">
    <w:abstractNumId w:val="7"/>
  </w:num>
  <w:num w:numId="6" w16cid:durableId="1707366850">
    <w:abstractNumId w:val="3"/>
  </w:num>
  <w:num w:numId="7" w16cid:durableId="769738117">
    <w:abstractNumId w:val="2"/>
  </w:num>
  <w:num w:numId="8" w16cid:durableId="2015644021">
    <w:abstractNumId w:val="1"/>
  </w:num>
  <w:num w:numId="9" w16cid:durableId="41668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C6"/>
    <w:rsid w:val="00034616"/>
    <w:rsid w:val="0006063C"/>
    <w:rsid w:val="0006147B"/>
    <w:rsid w:val="0015074B"/>
    <w:rsid w:val="00256F86"/>
    <w:rsid w:val="00260FF1"/>
    <w:rsid w:val="0029639D"/>
    <w:rsid w:val="00326F90"/>
    <w:rsid w:val="00AA1D8D"/>
    <w:rsid w:val="00B47730"/>
    <w:rsid w:val="00CB0664"/>
    <w:rsid w:val="00DC2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7D674"/>
  <w14:defaultImageDpi w14:val="300"/>
  <w15:docId w15:val="{A32B446D-A405-4455-A99B-A25D03D9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160" w:after="12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160" w:after="12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360"/>
    </w:pPr>
    <w:rPr>
      <w:rFonts w:asciiTheme="majorHAnsi" w:eastAsiaTheme="majorEastAsia" w:hAnsiTheme="majorHAnsi" w:cstheme="majorBidi"/>
      <w:i/>
      <w:iCs/>
      <w:color w:val="2E74B5"/>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basedOn w:val="Normal"/>
    <w:pPr>
      <w:spacing w:after="240"/>
    </w:pPr>
    <w:rPr>
      <w:b/>
      <w:sz w:val="48"/>
    </w:rPr>
  </w:style>
  <w:style w:type="paragraph" w:customStyle="1" w:styleId="MetaLine">
    <w:name w:val="MetaLine"/>
    <w:basedOn w:val="Normal"/>
    <w:pPr>
      <w:spacing w:after="120"/>
    </w:pPr>
  </w:style>
  <w:style w:type="paragraph" w:styleId="NormalWeb">
    <w:name w:val="Normal (Web)"/>
    <w:basedOn w:val="Normal"/>
    <w:uiPriority w:val="99"/>
    <w:semiHidden/>
    <w:unhideWhenUsed/>
    <w:rsid w:val="00256F86"/>
    <w:pPr>
      <w:spacing w:before="100" w:beforeAutospacing="1" w:after="100" w:afterAutospacing="1" w:line="240" w:lineRule="auto"/>
    </w:pPr>
    <w:rPr>
      <w:rFonts w:ascii="Times New Roman" w:eastAsia="Times New Roman" w:hAnsi="Times New Roman" w:cs="Times New Roman"/>
      <w:sz w:val="24"/>
      <w:szCs w:val="24"/>
      <w:lang w:val="fr-BE" w:eastAsia="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825</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JUNIOR YANDO FOTSO</cp:lastModifiedBy>
  <cp:revision>3</cp:revision>
  <dcterms:created xsi:type="dcterms:W3CDTF">2013-12-23T23:15:00Z</dcterms:created>
  <dcterms:modified xsi:type="dcterms:W3CDTF">2026-03-02T14:30:00Z</dcterms:modified>
  <cp:category/>
</cp:coreProperties>
</file>