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3F" w:rsidRPr="008F47D8" w:rsidRDefault="008F47D8" w:rsidP="008F47D8">
      <w:pPr>
        <w:pStyle w:val="a3"/>
        <w:numPr>
          <w:ilvl w:val="1"/>
          <w:numId w:val="2"/>
        </w:numPr>
        <w:spacing w:beforeLines="30" w:before="72"/>
        <w:ind w:firstLineChars="0"/>
        <w:rPr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2"/>
          <w:szCs w:val="22"/>
        </w:rPr>
        <w:t>Selection of the area calculation methods based on the algebraic integration</w:t>
      </w:r>
    </w:p>
    <w:p w:rsidR="008F47D8" w:rsidRDefault="009E09B1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regions formed by different types of curves, </w:t>
      </w:r>
      <w:r w:rsidR="00055BEB">
        <w:rPr>
          <w:rFonts w:ascii="Times New Roman" w:hAnsi="Times New Roman" w:cs="Times New Roman"/>
          <w:sz w:val="20"/>
          <w:szCs w:val="20"/>
          <w:lang w:val="en-US"/>
        </w:rPr>
        <w:t xml:space="preserve">a suitable selection of area calculation methods is crucial. Generally, in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055BEB">
        <w:rPr>
          <w:rFonts w:ascii="Times New Roman" w:hAnsi="Times New Roman" w:cs="Times New Roman"/>
          <w:sz w:val="20"/>
          <w:szCs w:val="20"/>
          <w:lang w:val="en-US"/>
        </w:rPr>
        <w:t xml:space="preserve">, area of Region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</m:oMath>
      <w:r w:rsidR="00055BEB">
        <w:rPr>
          <w:rFonts w:ascii="Times New Roman" w:hAnsi="Times New Roman" w:cs="Times New Roman"/>
          <w:sz w:val="20"/>
          <w:szCs w:val="20"/>
          <w:lang w:val="en-US"/>
        </w:rPr>
        <w:t xml:space="preserve"> is evaluated by a double integral</w:t>
      </w:r>
    </w:p>
    <w:p w:rsidR="00055BEB" w:rsidRPr="00055BEB" w:rsidRDefault="00C4374B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  <w:lang w:val="en-US"/>
                </w:rPr>
                <m:t>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 dS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:rsidR="007F5754" w:rsidRDefault="007F5754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Regions bounded by 2 functions and bounded by an enclosed parametric curve have different </w:t>
      </w:r>
      <w:r w:rsidR="00EE4D7E">
        <w:rPr>
          <w:rFonts w:ascii="Times New Roman" w:hAnsi="Times New Roman" w:cs="Times New Roman"/>
          <w:sz w:val="20"/>
          <w:szCs w:val="20"/>
          <w:lang w:val="en-US"/>
        </w:rPr>
        <w:t>applic</w:t>
      </w:r>
      <w:r>
        <w:rPr>
          <w:rFonts w:ascii="Times New Roman" w:hAnsi="Times New Roman" w:cs="Times New Roman"/>
          <w:sz w:val="20"/>
          <w:szCs w:val="20"/>
          <w:lang w:val="en-US"/>
        </w:rPr>
        <w:t>ation</w:t>
      </w:r>
      <w:r w:rsidR="00EE4D7E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of this equation. For regions like</w:t>
      </w:r>
      <w:r w:rsidR="00EE4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D={(x,y)|a≤x≤b, g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≤y≤f(x)}</m:t>
        </m:r>
      </m:oMath>
      <w:r w:rsidR="00EE4D7E">
        <w:rPr>
          <w:rFonts w:ascii="Times New Roman" w:hAnsi="Times New Roman" w:cs="Times New Roman"/>
          <w:sz w:val="20"/>
          <w:szCs w:val="20"/>
          <w:lang w:val="en-US"/>
        </w:rPr>
        <w:t>, its area is</w:t>
      </w:r>
    </w:p>
    <w:p w:rsidR="00020783" w:rsidRPr="00020783" w:rsidRDefault="00020783" w:rsidP="008F47D8">
      <w:pPr>
        <w:spacing w:beforeLines="30" w:before="72"/>
        <w:rPr>
          <w:rFonts w:ascii="Times New Roman" w:hAnsi="Times New Roman" w:cs="Times New Roman" w:hint="eastAsia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  <w:lang w:val="en-US"/>
                </w:rPr>
                <m:t>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 dS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 dy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w:bookmarkStart w:id="1" w:name="areafunc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1"/>
                </m:e>
              </m:d>
            </m:e>
          </m:eqArr>
        </m:oMath>
      </m:oMathPara>
    </w:p>
    <w:p w:rsidR="00C01335" w:rsidRDefault="00C01335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which is exactly the Eq. 1 used in Part A when evaluating the area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en-US"/>
        </w:rPr>
        <w:t>. For parametric curves, Green’s theorem is introduced:</w:t>
      </w:r>
    </w:p>
    <w:p w:rsidR="00C01335" w:rsidRPr="00C01335" w:rsidRDefault="00C4374B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hr m:val="∮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∂D</m:t>
              </m:r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 dx+Q dy</m:t>
              </m:r>
            </m:e>
          </m:nary>
        </m:oMath>
      </m:oMathPara>
    </w:p>
    <w:p w:rsidR="00C01335" w:rsidRDefault="00D462C4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∮</m:t>
        </m:r>
      </m:oMath>
      <w:r w:rsidR="0055338B">
        <w:rPr>
          <w:rFonts w:ascii="Times New Roman" w:hAnsi="Times New Roman" w:cs="Times New Roman"/>
          <w:sz w:val="20"/>
          <w:szCs w:val="20"/>
          <w:lang w:val="en-US"/>
        </w:rPr>
        <w:t xml:space="preserve"> means integrate on an enclosed curve, and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∂D</m:t>
        </m:r>
      </m:oMath>
      <w:r w:rsidR="0055338B">
        <w:rPr>
          <w:rFonts w:ascii="Times New Roman" w:hAnsi="Times New Roman" w:cs="Times New Roman"/>
          <w:sz w:val="20"/>
          <w:szCs w:val="20"/>
          <w:lang w:val="en-US"/>
        </w:rPr>
        <w:t xml:space="preserve"> means the boundary of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</m:oMath>
      <w:r w:rsidR="0055338B">
        <w:rPr>
          <w:rFonts w:ascii="Times New Roman" w:hAnsi="Times New Roman" w:cs="Times New Roman"/>
          <w:sz w:val="20"/>
          <w:szCs w:val="20"/>
          <w:lang w:val="en-US"/>
        </w:rPr>
        <w:t xml:space="preserve">. By letting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Q=x, P=0</m:t>
        </m:r>
      </m:oMath>
      <w:r w:rsidR="0055338B">
        <w:rPr>
          <w:rFonts w:ascii="Times New Roman" w:hAnsi="Times New Roman" w:cs="Times New Roman"/>
          <w:sz w:val="20"/>
          <w:szCs w:val="20"/>
          <w:lang w:val="en-US"/>
        </w:rPr>
        <w:t>, there is</w:t>
      </w:r>
    </w:p>
    <w:p w:rsidR="00020783" w:rsidRPr="00020783" w:rsidRDefault="00020783" w:rsidP="0055338B">
      <w:pPr>
        <w:spacing w:beforeLines="30" w:before="72"/>
        <w:rPr>
          <w:rFonts w:ascii="Times New Roman" w:hAnsi="Times New Roman" w:cs="Times New Roman" w:hint="eastAsia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  <w:lang w:val="en-US"/>
                </w:rPr>
                <m:t>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 dS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∮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∂D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 dy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dt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w:bookmarkStart w:id="2" w:name="areaparametric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2"/>
                </m:e>
              </m:d>
            </m:e>
          </m:eqArr>
        </m:oMath>
      </m:oMathPara>
    </w:p>
    <w:p w:rsidR="00F35BA3" w:rsidRDefault="002E4437" w:rsidP="008F47D8">
      <w:pPr>
        <w:spacing w:beforeLines="30" w:before="72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2E4437">
        <w:rPr>
          <w:rFonts w:ascii="Times New Roman" w:hAnsi="Times New Roman" w:cs="Times New Roman" w:hint="eastAsia"/>
          <w:iCs/>
          <w:sz w:val="20"/>
          <w:szCs w:val="20"/>
          <w:lang w:val="en-US"/>
        </w:rPr>
        <w:t>Note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that this area has direction. If integrate along the curve clockw</w:t>
      </w:r>
      <w:r w:rsidR="00F35BA3">
        <w:rPr>
          <w:rFonts w:ascii="Times New Roman" w:hAnsi="Times New Roman" w:cs="Times New Roman"/>
          <w:iCs/>
          <w:sz w:val="20"/>
          <w:szCs w:val="20"/>
          <w:lang w:val="en-US"/>
        </w:rPr>
        <w:t>ise, it gives a negative value.</w:t>
      </w:r>
    </w:p>
    <w:p w:rsidR="0055338B" w:rsidRDefault="000B57AD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Additionally, for an affine transformation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=A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>b</m:t>
        </m:r>
      </m:oMath>
      <w:r>
        <w:rPr>
          <w:rFonts w:ascii="Times New Roman" w:hAnsi="Times New Roman" w:cs="Times New Roman"/>
          <w:sz w:val="20"/>
          <w:szCs w:val="20"/>
          <w:lang w:val="en-US"/>
        </w:rPr>
        <w:t>, there is</w:t>
      </w:r>
    </w:p>
    <w:p w:rsidR="00020783" w:rsidRPr="00020783" w:rsidRDefault="00020783" w:rsidP="008F47D8">
      <w:pPr>
        <w:spacing w:beforeLines="30" w:before="72"/>
        <w:rPr>
          <w:rFonts w:ascii="Times New Roman" w:hAnsi="Times New Roman" w:cs="Times New Roman" w:hint="eastAsia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</m:func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⋅Area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w:bookmarkStart w:id="3" w:name="areaaffine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3"/>
                </m:e>
              </m:d>
            </m:e>
          </m:eqArr>
        </m:oMath>
      </m:oMathPara>
    </w:p>
    <w:p w:rsidR="00E91D1A" w:rsidRDefault="00E91D1A" w:rsidP="00F7295E">
      <w:pPr>
        <w:spacing w:beforeLines="30" w:before="72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where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det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</m:func>
      </m:oMath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is the determinant of a matrix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hAnsi="Times New Roman" w:cs="Times New Roman"/>
          <w:iCs/>
          <w:sz w:val="20"/>
          <w:szCs w:val="20"/>
          <w:lang w:val="en-US"/>
        </w:rPr>
        <w:t>, indicating the area scaling factor.</w:t>
      </w:r>
      <w:r w:rsidR="00F35BA3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For a non-linear transformation</w:t>
      </w:r>
      <w:r w:rsidR="00020783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T(x,y)</m:t>
        </m:r>
      </m:oMath>
      <w:r w:rsidR="00F35BA3">
        <w:rPr>
          <w:rFonts w:ascii="Times New Roman" w:hAnsi="Times New Roman" w:cs="Times New Roman"/>
          <w:iCs/>
          <w:sz w:val="20"/>
          <w:szCs w:val="20"/>
          <w:lang w:val="en-US"/>
        </w:rPr>
        <w:t>, the Jacobian</w:t>
      </w:r>
      <w:r w:rsidR="00020783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J</m:t>
        </m:r>
      </m:oMath>
      <w:r w:rsidR="00F35BA3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reflects the linear transformation behaviour in each infinitesimal element in the region.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</m:t>
        </m:r>
      </m:oMath>
      <w:r w:rsidR="00F35BA3">
        <w:rPr>
          <w:rFonts w:ascii="Times New Roman" w:hAnsi="Times New Roman" w:cs="Times New Roman"/>
          <w:iCs/>
          <w:sz w:val="20"/>
          <w:szCs w:val="20"/>
          <w:lang w:val="en-US"/>
        </w:rPr>
        <w:t>Summing these behaviours yields the scaling of the area:</w:t>
      </w:r>
    </w:p>
    <w:p w:rsidR="00020783" w:rsidRPr="00020783" w:rsidRDefault="00020783" w:rsidP="00343A9C">
      <w:pPr>
        <w:spacing w:beforeLines="30" w:before="72"/>
        <w:rPr>
          <w:rFonts w:ascii="Times New Roman" w:hAnsi="Times New Roman" w:cs="Times New Roman" w:hint="eastAsia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 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e>
                      </m:func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dS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w:bookmarkStart w:id="4" w:name="areanonlinear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4"/>
                </m:e>
              </m:d>
            </m:e>
          </m:eqAr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693"/>
        <w:gridCol w:w="2658"/>
      </w:tblGrid>
      <w:tr w:rsidR="0080136C" w:rsidTr="004A3CA5">
        <w:tc>
          <w:tcPr>
            <w:tcW w:w="11442" w:type="dxa"/>
            <w:gridSpan w:val="4"/>
          </w:tcPr>
          <w:p w:rsidR="0080136C" w:rsidRPr="0080136C" w:rsidRDefault="0080136C" w:rsidP="0080136C">
            <w:pPr>
              <w:jc w:val="center"/>
              <w:rPr>
                <w:rFonts w:ascii="Times New Roman" w:hAnsi="Times New Roman" w:cs="Times New Roman" w:hint="eastAsia"/>
                <w:b/>
                <w:iCs/>
                <w:sz w:val="20"/>
                <w:szCs w:val="20"/>
                <w:lang w:val="en-US"/>
              </w:rPr>
            </w:pPr>
            <w:r w:rsidRPr="0080136C">
              <w:rPr>
                <w:rFonts w:ascii="Times New Roman" w:hAnsi="Times New Roman" w:cs="Times New Roman" w:hint="eastAsia"/>
                <w:b/>
                <w:iCs/>
                <w:sz w:val="20"/>
                <w:szCs w:val="20"/>
                <w:lang w:val="en-US"/>
              </w:rPr>
              <w:t>S</w:t>
            </w:r>
            <w:r w:rsidRPr="0080136C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ummary: Select the area calculation method in different situations</w:t>
            </w:r>
          </w:p>
        </w:tc>
      </w:tr>
      <w:tr w:rsidR="0080136C" w:rsidTr="0080136C">
        <w:tc>
          <w:tcPr>
            <w:tcW w:w="2689" w:type="dxa"/>
            <w:vAlign w:val="center"/>
          </w:tcPr>
          <w:p w:rsidR="0080136C" w:rsidRDefault="0080136C" w:rsidP="0080136C">
            <w:pPr>
              <w:jc w:val="center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egion bounded by functions</w:t>
            </w:r>
          </w:p>
        </w:tc>
        <w:tc>
          <w:tcPr>
            <w:tcW w:w="3402" w:type="dxa"/>
            <w:vAlign w:val="center"/>
          </w:tcPr>
          <w:p w:rsidR="0080136C" w:rsidRDefault="0080136C" w:rsidP="0080136C">
            <w:pPr>
              <w:jc w:val="center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egion enclosed by parametric curve</w:t>
            </w:r>
          </w:p>
        </w:tc>
        <w:tc>
          <w:tcPr>
            <w:tcW w:w="2693" w:type="dxa"/>
            <w:vAlign w:val="center"/>
          </w:tcPr>
          <w:p w:rsidR="0080136C" w:rsidRDefault="0080136C" w:rsidP="0080136C">
            <w:pPr>
              <w:jc w:val="center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ffine transformation</w:t>
            </w:r>
          </w:p>
        </w:tc>
        <w:tc>
          <w:tcPr>
            <w:tcW w:w="2658" w:type="dxa"/>
            <w:vAlign w:val="center"/>
          </w:tcPr>
          <w:p w:rsidR="0080136C" w:rsidRDefault="0080136C" w:rsidP="0080136C">
            <w:pPr>
              <w:jc w:val="center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Non-linear transformation</w:t>
            </w:r>
          </w:p>
        </w:tc>
      </w:tr>
      <w:tr w:rsidR="0080136C" w:rsidTr="0080136C">
        <w:tc>
          <w:tcPr>
            <w:tcW w:w="2689" w:type="dxa"/>
            <w:vAlign w:val="center"/>
          </w:tcPr>
          <w:p w:rsidR="0080136C" w:rsidRPr="0080136C" w:rsidRDefault="0080136C" w:rsidP="0080136C">
            <w:pPr>
              <w:jc w:val="center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 w:rsidRPr="0080136C"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E</w: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q. </w: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begin"/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REF areafunc \h 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\* MERGEFORMAT 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separate"/>
            </w:r>
            <w:r w:rsidRPr="008013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80136C" w:rsidRPr="0080136C" w:rsidRDefault="0080136C" w:rsidP="0080136C">
            <w:pPr>
              <w:jc w:val="center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Eq. </w: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begin"/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</w:instrText>
            </w:r>
            <w:r w:rsidRPr="0080136C"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instrText>REF areaparametric \h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\* MERGEFORMAT 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separate"/>
            </w:r>
            <w:r w:rsidRPr="008013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:rsidR="0080136C" w:rsidRPr="0080136C" w:rsidRDefault="0080136C" w:rsidP="0080136C">
            <w:pPr>
              <w:jc w:val="center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Eq. </w: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begin"/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</w:instrText>
            </w:r>
            <w:r w:rsidRPr="0080136C"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instrText>REF areaaffine \h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\* MERGEFORMAT 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separate"/>
            </w:r>
            <w:r w:rsidRPr="008013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658" w:type="dxa"/>
            <w:vAlign w:val="center"/>
          </w:tcPr>
          <w:p w:rsidR="0080136C" w:rsidRPr="0080136C" w:rsidRDefault="0080136C" w:rsidP="0080136C">
            <w:pPr>
              <w:jc w:val="center"/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</w:pP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Eq. </w: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begin"/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</w:instrText>
            </w:r>
            <w:r w:rsidRPr="0080136C"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instrText>REF areanonlinear \h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\* MERGEFORMAT </w:instrTex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separate"/>
            </w:r>
            <w:r w:rsidRPr="0080136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0136C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end"/>
            </w:r>
          </w:p>
        </w:tc>
      </w:tr>
      <w:bookmarkEnd w:id="0"/>
    </w:tbl>
    <w:p w:rsidR="00F35BA3" w:rsidRPr="000B57AD" w:rsidRDefault="00F35BA3" w:rsidP="008F47D8">
      <w:pPr>
        <w:spacing w:beforeLines="30" w:before="72"/>
        <w:rPr>
          <w:rFonts w:ascii="Times New Roman" w:hAnsi="Times New Roman" w:cs="Times New Roman" w:hint="eastAsia"/>
          <w:iCs/>
          <w:sz w:val="20"/>
          <w:szCs w:val="20"/>
          <w:lang w:val="en-US"/>
        </w:rPr>
      </w:pPr>
    </w:p>
    <w:sectPr w:rsidR="00F35BA3" w:rsidRPr="000B57AD" w:rsidSect="008F47D8">
      <w:pgSz w:w="11906" w:h="16838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E1141"/>
    <w:multiLevelType w:val="multilevel"/>
    <w:tmpl w:val="0A00E89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D8"/>
    <w:rsid w:val="00020783"/>
    <w:rsid w:val="00055BEB"/>
    <w:rsid w:val="000B57AD"/>
    <w:rsid w:val="002E4437"/>
    <w:rsid w:val="00343A9C"/>
    <w:rsid w:val="00345E39"/>
    <w:rsid w:val="0055338B"/>
    <w:rsid w:val="007F5754"/>
    <w:rsid w:val="0080136C"/>
    <w:rsid w:val="0083232D"/>
    <w:rsid w:val="008835E9"/>
    <w:rsid w:val="008F47D8"/>
    <w:rsid w:val="009D4C3F"/>
    <w:rsid w:val="009E09B1"/>
    <w:rsid w:val="00C01335"/>
    <w:rsid w:val="00C4374B"/>
    <w:rsid w:val="00D462C4"/>
    <w:rsid w:val="00E91D1A"/>
    <w:rsid w:val="00EE4D7E"/>
    <w:rsid w:val="00F12B53"/>
    <w:rsid w:val="00F35BA3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6E3F4"/>
  <w15:chartTrackingRefBased/>
  <w15:docId w15:val="{7508BA56-B609-D543-91CB-BEB5EF8C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8F47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55BEB"/>
    <w:rPr>
      <w:color w:val="666666"/>
    </w:rPr>
  </w:style>
  <w:style w:type="table" w:styleId="a5">
    <w:name w:val="Table Grid"/>
    <w:basedOn w:val="a1"/>
    <w:uiPriority w:val="39"/>
    <w:rsid w:val="00801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1B72AAC-4BE3-4B62-A4BB-092CF6D2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224</Words>
  <Characters>1274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Administrator</cp:lastModifiedBy>
  <cp:revision>2</cp:revision>
  <dcterms:created xsi:type="dcterms:W3CDTF">2025-09-09T02:43:00Z</dcterms:created>
  <dcterms:modified xsi:type="dcterms:W3CDTF">2025-09-09T06:55:00Z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ac8225bd-4664-40a1-8e52-bd2512ef493e</vt:lpwstr>
  </property>
</Properties>
</file>