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C3F" w:rsidRPr="008F47D8" w:rsidRDefault="008F47D8" w:rsidP="008F47D8">
      <w:pPr>
        <w:pStyle w:val="ListParagraph"/>
        <w:numPr>
          <w:ilvl w:val="1"/>
          <w:numId w:val="2"/>
        </w:numPr>
        <w:spacing w:beforeLines="30" w:before="72"/>
        <w:ind w:firstLineChars="0"/>
        <w:rPr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Selection of the area calculation methods based on the algebraic integration</w:t>
      </w:r>
    </w:p>
    <w:p w:rsidR="008F47D8" w:rsidRDefault="009E09B1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regions formed by different types of curves, </w:t>
      </w:r>
      <w:r w:rsidR="00055BEB">
        <w:rPr>
          <w:rFonts w:ascii="Times New Roman" w:hAnsi="Times New Roman" w:cs="Times New Roman"/>
          <w:sz w:val="20"/>
          <w:szCs w:val="20"/>
          <w:lang w:val="en-US"/>
        </w:rPr>
        <w:t xml:space="preserve">a suitable selection of area calculation methods is crucial. Generally, in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</m:sup>
        </m:sSup>
      </m:oMath>
      <w:r w:rsidR="00055BEB">
        <w:rPr>
          <w:rFonts w:ascii="Times New Roman" w:hAnsi="Times New Roman" w:cs="Times New Roman"/>
          <w:sz w:val="20"/>
          <w:szCs w:val="20"/>
          <w:lang w:val="en-US"/>
        </w:rPr>
        <w:t xml:space="preserve">, area of </w:t>
      </w:r>
      <w:proofErr w:type="gramStart"/>
      <w:r w:rsidR="00055BEB">
        <w:rPr>
          <w:rFonts w:ascii="Times New Roman" w:hAnsi="Times New Roman" w:cs="Times New Roman"/>
          <w:sz w:val="20"/>
          <w:szCs w:val="20"/>
          <w:lang w:val="en-US"/>
        </w:rPr>
        <w:t>Region</w:t>
      </w:r>
      <w:proofErr w:type="gramEnd"/>
      <w:r w:rsidR="00055B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D</m:t>
        </m:r>
      </m:oMath>
      <w:r w:rsidR="00055BEB">
        <w:rPr>
          <w:rFonts w:ascii="Times New Roman" w:hAnsi="Times New Roman" w:cs="Times New Roman"/>
          <w:sz w:val="20"/>
          <w:szCs w:val="20"/>
          <w:lang w:val="en-US"/>
        </w:rPr>
        <w:t xml:space="preserve"> is evaluated by a double integral</w:t>
      </w:r>
    </w:p>
    <w:p w:rsidR="00055BEB" w:rsidRPr="00055BEB" w:rsidRDefault="00055BEB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  <w:lang w:val="en-US"/>
                </w:rPr>
                <m:t>Area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∬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w:bookmarkStart w:id="0" w:name="Eq16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  <w:bookmarkEnd w:id="0"/>
                </m:e>
              </m:d>
            </m:e>
          </m:eqArr>
        </m:oMath>
      </m:oMathPara>
    </w:p>
    <w:p w:rsidR="007F5754" w:rsidRDefault="007F5754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Regions bounded by 2 functions and bounded by an enclosed parametric curve have different </w:t>
      </w:r>
      <w:r w:rsidR="00EE4D7E">
        <w:rPr>
          <w:rFonts w:ascii="Times New Roman" w:hAnsi="Times New Roman" w:cs="Times New Roman"/>
          <w:sz w:val="20"/>
          <w:szCs w:val="20"/>
          <w:lang w:val="en-US"/>
        </w:rPr>
        <w:t>applic</w:t>
      </w:r>
      <w:r>
        <w:rPr>
          <w:rFonts w:ascii="Times New Roman" w:hAnsi="Times New Roman" w:cs="Times New Roman"/>
          <w:sz w:val="20"/>
          <w:szCs w:val="20"/>
          <w:lang w:val="en-US"/>
        </w:rPr>
        <w:t>ation</w:t>
      </w:r>
      <w:r w:rsidR="00EE4D7E">
        <w:rPr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of this equation. For regions like</w:t>
      </w:r>
      <w:r w:rsidR="00EE4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D={(x,y)|a≤x≤b, g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≤y≤f(x)}</m:t>
        </m:r>
      </m:oMath>
      <w:r w:rsidR="00EE4D7E">
        <w:rPr>
          <w:rFonts w:ascii="Times New Roman" w:hAnsi="Times New Roman" w:cs="Times New Roman"/>
          <w:sz w:val="20"/>
          <w:szCs w:val="20"/>
          <w:lang w:val="en-US"/>
        </w:rPr>
        <w:t>, its area is</w:t>
      </w:r>
    </w:p>
    <w:p w:rsidR="00EE4D7E" w:rsidRPr="00C01335" w:rsidRDefault="00EE4D7E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20"/>
              <w:szCs w:val="20"/>
              <w:lang w:val="en-US"/>
            </w:rPr>
            <m:t>Area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sub>
            <m:sup/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 dS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sup>
            <m:e>
              <m:nary>
                <m:nary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dy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</m:nary>
        </m:oMath>
      </m:oMathPara>
    </w:p>
    <w:p w:rsidR="00C01335" w:rsidRDefault="00C01335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which is exactly the Eq. 1 used in Part A when evaluating the area of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0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en-US"/>
        </w:rPr>
        <w:t>. For parametric curves, Green’s theorem is introduced:</w:t>
      </w:r>
    </w:p>
    <w:p w:rsidR="00C01335" w:rsidRPr="00C01335" w:rsidRDefault="00C01335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nary>
            <m:naryPr>
              <m:chr m:val="∮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∂D</m:t>
              </m:r>
            </m:sub>
            <m:sup/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P dx+Q dy</m:t>
              </m:r>
            </m:e>
          </m:nary>
        </m:oMath>
      </m:oMathPara>
    </w:p>
    <w:p w:rsidR="00C01335" w:rsidRDefault="00D462C4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∮</m:t>
        </m:r>
      </m:oMath>
      <w:r w:rsidR="0055338B">
        <w:rPr>
          <w:rFonts w:ascii="Times New Roman" w:hAnsi="Times New Roman" w:cs="Times New Roman"/>
          <w:sz w:val="20"/>
          <w:szCs w:val="20"/>
          <w:lang w:val="en-US"/>
        </w:rPr>
        <w:t xml:space="preserve"> me</w:t>
      </w:r>
      <w:proofErr w:type="spellStart"/>
      <w:r w:rsidR="0055338B">
        <w:rPr>
          <w:rFonts w:ascii="Times New Roman" w:hAnsi="Times New Roman" w:cs="Times New Roman"/>
          <w:sz w:val="20"/>
          <w:szCs w:val="20"/>
          <w:lang w:val="en-US"/>
        </w:rPr>
        <w:t>ans</w:t>
      </w:r>
      <w:proofErr w:type="spellEnd"/>
      <w:r w:rsidR="0055338B">
        <w:rPr>
          <w:rFonts w:ascii="Times New Roman" w:hAnsi="Times New Roman" w:cs="Times New Roman"/>
          <w:sz w:val="20"/>
          <w:szCs w:val="20"/>
          <w:lang w:val="en-US"/>
        </w:rPr>
        <w:t xml:space="preserve"> integrate on an enclosed curve, and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∂D</m:t>
        </m:r>
      </m:oMath>
      <w:r w:rsidR="0055338B">
        <w:rPr>
          <w:rFonts w:ascii="Times New Roman" w:hAnsi="Times New Roman" w:cs="Times New Roman"/>
          <w:sz w:val="20"/>
          <w:szCs w:val="20"/>
          <w:lang w:val="en-US"/>
        </w:rPr>
        <w:t xml:space="preserve"> means the boundary of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D</m:t>
        </m:r>
      </m:oMath>
      <w:r w:rsidR="0055338B">
        <w:rPr>
          <w:rFonts w:ascii="Times New Roman" w:hAnsi="Times New Roman" w:cs="Times New Roman"/>
          <w:sz w:val="20"/>
          <w:szCs w:val="20"/>
          <w:lang w:val="en-US"/>
        </w:rPr>
        <w:t xml:space="preserve">. By letting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Q=x, P=0</m:t>
        </m:r>
      </m:oMath>
      <w:r w:rsidR="0055338B">
        <w:rPr>
          <w:rFonts w:ascii="Times New Roman" w:hAnsi="Times New Roman" w:cs="Times New Roman"/>
          <w:sz w:val="20"/>
          <w:szCs w:val="20"/>
          <w:lang w:val="en-US"/>
        </w:rPr>
        <w:t>, there is</w:t>
      </w:r>
    </w:p>
    <w:p w:rsidR="0055338B" w:rsidRPr="00C01335" w:rsidRDefault="0055338B" w:rsidP="0055338B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20"/>
              <w:szCs w:val="20"/>
              <w:lang w:val="en-US"/>
            </w:rPr>
            <m:t>Area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sub>
            <m:sup/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1 dS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nary>
            <m:naryPr>
              <m:chr m:val="∮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∂D</m:t>
              </m:r>
            </m:sub>
            <m:sup/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dy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dt</m:t>
              </m:r>
            </m:e>
          </m:nary>
        </m:oMath>
      </m:oMathPara>
    </w:p>
    <w:p w:rsidR="0055338B" w:rsidRDefault="002E4437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w:r w:rsidRPr="002E4437">
        <w:rPr>
          <w:rFonts w:ascii="Times New Roman" w:hAnsi="Times New Roman" w:cs="Times New Roman" w:hint="eastAsia"/>
          <w:iCs/>
          <w:sz w:val="20"/>
          <w:szCs w:val="20"/>
          <w:lang w:val="en-US"/>
        </w:rPr>
        <w:t>Note</w:t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that this area has direction. If integrate along the curve clockwise, it gives a negative value. Hence, it is either integrated counterclockwise or uses absolute value. </w:t>
      </w:r>
      <w:r w:rsidR="000B57AD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Additionally, for an affine transformation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=A</m:t>
        </m:r>
        <m:r>
          <m:rPr>
            <m:sty m:val="b"/>
          </m:rPr>
          <w:rPr>
            <w:rFonts w:ascii="Cambria Math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+</m:t>
        </m:r>
        <m:r>
          <m:rPr>
            <m:sty m:val="b"/>
          </m:rPr>
          <w:rPr>
            <w:rFonts w:ascii="Cambria Math" w:hAnsi="Cambria Math" w:cs="Times New Roman"/>
            <w:sz w:val="20"/>
            <w:szCs w:val="20"/>
            <w:lang w:val="en-US"/>
          </w:rPr>
          <m:t>b</m:t>
        </m:r>
      </m:oMath>
      <w:r w:rsidR="000B57AD">
        <w:rPr>
          <w:rFonts w:ascii="Times New Roman" w:hAnsi="Times New Roman" w:cs="Times New Roman"/>
          <w:sz w:val="20"/>
          <w:szCs w:val="20"/>
          <w:lang w:val="en-US"/>
        </w:rPr>
        <w:t>, there is</w:t>
      </w:r>
    </w:p>
    <w:p w:rsidR="000B57AD" w:rsidRPr="00E91D1A" w:rsidRDefault="000B57AD" w:rsidP="008F47D8">
      <w:pPr>
        <w:spacing w:beforeLines="30" w:before="72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Area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T(D)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det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A</m:t>
                  </m:r>
                </m:e>
              </m:func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Area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</m:e>
          </m:d>
        </m:oMath>
      </m:oMathPara>
    </w:p>
    <w:p w:rsidR="00E91D1A" w:rsidRPr="000B57AD" w:rsidRDefault="00E91D1A" w:rsidP="008F47D8">
      <w:pPr>
        <w:spacing w:beforeLines="30" w:before="72"/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where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det</m:t>
            </m:r>
          </m:fName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</m:func>
      </m:oMath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is the determinant of a matrix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A</m:t>
        </m:r>
      </m:oMath>
      <w:r>
        <w:rPr>
          <w:rFonts w:ascii="Times New Roman" w:hAnsi="Times New Roman" w:cs="Times New Roman"/>
          <w:iCs/>
          <w:sz w:val="20"/>
          <w:szCs w:val="20"/>
          <w:lang w:val="en-US"/>
        </w:rPr>
        <w:t>, indicating the area scaling factor.</w:t>
      </w:r>
    </w:p>
    <w:sectPr w:rsidR="00E91D1A" w:rsidRPr="000B57AD" w:rsidSect="008F47D8">
      <w:pgSz w:w="11906" w:h="16838"/>
      <w:pgMar w:top="227" w:right="227" w:bottom="227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141"/>
    <w:multiLevelType w:val="multilevel"/>
    <w:tmpl w:val="0A00E89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  <w:b/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50641740">
    <w:abstractNumId w:val="1"/>
  </w:num>
  <w:num w:numId="2" w16cid:durableId="111405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D8"/>
    <w:rsid w:val="00055BEB"/>
    <w:rsid w:val="000B57AD"/>
    <w:rsid w:val="002E4437"/>
    <w:rsid w:val="00345E39"/>
    <w:rsid w:val="0055338B"/>
    <w:rsid w:val="007F5754"/>
    <w:rsid w:val="0083232D"/>
    <w:rsid w:val="008835E9"/>
    <w:rsid w:val="008F47D8"/>
    <w:rsid w:val="009D4C3F"/>
    <w:rsid w:val="009E09B1"/>
    <w:rsid w:val="00C01335"/>
    <w:rsid w:val="00D462C4"/>
    <w:rsid w:val="00E91D1A"/>
    <w:rsid w:val="00EE4D7E"/>
    <w:rsid w:val="00F1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C849"/>
  <w15:chartTrackingRefBased/>
  <w15:docId w15:val="{7508BA56-B609-D543-91CB-BEB5EF8C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F47D8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055B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Yan, Connor (School SA)</cp:lastModifiedBy>
  <cp:revision>1</cp:revision>
  <dcterms:created xsi:type="dcterms:W3CDTF">2025-09-09T02:43:00Z</dcterms:created>
  <dcterms:modified xsi:type="dcterms:W3CDTF">2025-09-09T03:49:00Z</dcterms:modified>
</cp:coreProperties>
</file>