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26F9C" w14:textId="71B5002A" w:rsidR="00D23EE1" w:rsidRDefault="00D23EE1" w:rsidP="00D23EE1">
      <w:pPr>
        <w:widowControl/>
        <w:spacing w:before="100" w:beforeAutospacing="1" w:after="100" w:afterAutospacing="1"/>
        <w:jc w:val="left"/>
        <w:rPr>
          <w:rFonts w:ascii="宋体" w:eastAsia="宋体" w:hAnsi="宋体" w:cs="宋体"/>
          <w:b/>
          <w:bCs/>
          <w:kern w:val="0"/>
          <w:sz w:val="24"/>
        </w:rPr>
      </w:pPr>
      <w:r w:rsidRPr="00D23EE1">
        <w:rPr>
          <w:rFonts w:ascii="宋体" w:eastAsia="宋体" w:hAnsi="宋体" w:cs="宋体"/>
          <w:b/>
          <w:bCs/>
          <w:kern w:val="0"/>
          <w:sz w:val="24"/>
        </w:rPr>
        <w:t>Template for Intellectual Property Analysis in IRAC Form</w:t>
      </w:r>
      <w:r>
        <w:rPr>
          <w:rFonts w:ascii="宋体" w:eastAsia="宋体" w:hAnsi="宋体" w:cs="宋体" w:hint="eastAsia"/>
          <w:b/>
          <w:bCs/>
          <w:kern w:val="0"/>
          <w:sz w:val="24"/>
        </w:rPr>
        <w:t>a</w:t>
      </w:r>
      <w:r w:rsidRPr="00D23EE1">
        <w:rPr>
          <w:rFonts w:ascii="宋体" w:eastAsia="宋体" w:hAnsi="宋体" w:cs="宋体"/>
          <w:b/>
          <w:bCs/>
          <w:kern w:val="0"/>
          <w:sz w:val="24"/>
        </w:rPr>
        <w:t>t</w:t>
      </w:r>
    </w:p>
    <w:p w14:paraId="09F73BF0" w14:textId="77777777" w:rsidR="00D23EE1" w:rsidRDefault="00D23EE1" w:rsidP="00D23EE1">
      <w:pPr>
        <w:pStyle w:val="ae"/>
      </w:pPr>
      <w:r>
        <w:t>[Company Name] has developed a large commercial database containing significant amounts of consumer personal information, with substantial investments in its structure, efficient data access, and data storage. This memo evaluates whether [Company Name] can exploit this data from an intellectual property perspective.</w:t>
      </w:r>
    </w:p>
    <w:p w14:paraId="366B3F19" w14:textId="77777777" w:rsidR="00D23EE1" w:rsidRPr="00D23EE1" w:rsidRDefault="00D23EE1" w:rsidP="00D23EE1">
      <w:pPr>
        <w:widowControl/>
        <w:spacing w:before="100" w:beforeAutospacing="1" w:after="100" w:afterAutospacing="1"/>
        <w:jc w:val="left"/>
        <w:rPr>
          <w:rFonts w:ascii="宋体" w:eastAsia="宋体" w:hAnsi="宋体" w:cs="宋体" w:hint="eastAsia"/>
          <w:b/>
          <w:bCs/>
          <w:kern w:val="0"/>
          <w:sz w:val="24"/>
        </w:rPr>
      </w:pPr>
    </w:p>
    <w:p w14:paraId="7CC09D3E" w14:textId="77777777" w:rsidR="00D23EE1" w:rsidRPr="00D23EE1" w:rsidRDefault="00885FC5" w:rsidP="00D23EE1">
      <w:pPr>
        <w:widowControl/>
        <w:jc w:val="left"/>
        <w:rPr>
          <w:rFonts w:ascii="宋体" w:eastAsia="宋体" w:hAnsi="宋体" w:cs="宋体"/>
          <w:kern w:val="0"/>
          <w:sz w:val="24"/>
        </w:rPr>
      </w:pPr>
      <w:r w:rsidRPr="00D23EE1">
        <w:rPr>
          <w:rFonts w:ascii="宋体" w:eastAsia="宋体" w:hAnsi="宋体" w:cs="宋体"/>
          <w:noProof/>
          <w:kern w:val="0"/>
          <w:sz w:val="24"/>
        </w:rPr>
        <w:pict w14:anchorId="5A46FAA0">
          <v:rect id="_x0000_i1029" alt="" style="width:415.3pt;height:.05pt;mso-width-percent:0;mso-height-percent:0;mso-width-percent:0;mso-height-percent:0" o:hralign="center" o:hrstd="t" o:hr="t" fillcolor="#a0a0a0" stroked="f"/>
        </w:pict>
      </w:r>
    </w:p>
    <w:p w14:paraId="045D511B" w14:textId="77777777" w:rsidR="00D23EE1" w:rsidRPr="00D23EE1" w:rsidRDefault="00D23EE1" w:rsidP="00D23EE1">
      <w:pPr>
        <w:widowControl/>
        <w:spacing w:before="100" w:beforeAutospacing="1" w:after="100" w:afterAutospacing="1"/>
        <w:jc w:val="left"/>
        <w:outlineLvl w:val="2"/>
        <w:rPr>
          <w:rFonts w:ascii="宋体" w:eastAsia="宋体" w:hAnsi="宋体" w:cs="宋体"/>
          <w:b/>
          <w:bCs/>
          <w:kern w:val="0"/>
          <w:sz w:val="27"/>
          <w:szCs w:val="27"/>
        </w:rPr>
      </w:pPr>
      <w:r w:rsidRPr="00D23EE1">
        <w:rPr>
          <w:rFonts w:ascii="宋体" w:eastAsia="宋体" w:hAnsi="宋体" w:cs="宋体"/>
          <w:b/>
          <w:bCs/>
          <w:kern w:val="0"/>
          <w:sz w:val="27"/>
          <w:szCs w:val="27"/>
        </w:rPr>
        <w:t>Issue</w:t>
      </w:r>
    </w:p>
    <w:p w14:paraId="0AFD3CC6" w14:textId="77777777" w:rsidR="00D23EE1" w:rsidRPr="00D23EE1" w:rsidRDefault="00D23EE1" w:rsidP="00D23EE1">
      <w:pPr>
        <w:widowControl/>
        <w:spacing w:before="100" w:beforeAutospacing="1" w:after="100" w:afterAutospacing="1"/>
        <w:jc w:val="left"/>
        <w:rPr>
          <w:rFonts w:ascii="宋体" w:eastAsia="宋体" w:hAnsi="宋体" w:cs="宋体"/>
          <w:kern w:val="0"/>
          <w:sz w:val="24"/>
        </w:rPr>
      </w:pPr>
      <w:r w:rsidRPr="00D23EE1">
        <w:rPr>
          <w:rFonts w:ascii="宋体" w:eastAsia="宋体" w:hAnsi="宋体" w:cs="宋体"/>
          <w:kern w:val="0"/>
          <w:sz w:val="24"/>
        </w:rPr>
        <w:t>Does [Company Name] have the legal ability to exploit its database under intellectual property laws, considering its structure, arrangement, and content?</w:t>
      </w:r>
    </w:p>
    <w:p w14:paraId="301121BE" w14:textId="77777777" w:rsidR="00D23EE1" w:rsidRPr="00D23EE1" w:rsidRDefault="00885FC5" w:rsidP="00D23EE1">
      <w:pPr>
        <w:widowControl/>
        <w:jc w:val="left"/>
        <w:rPr>
          <w:rFonts w:ascii="宋体" w:eastAsia="宋体" w:hAnsi="宋体" w:cs="宋体"/>
          <w:kern w:val="0"/>
          <w:sz w:val="24"/>
        </w:rPr>
      </w:pPr>
      <w:r w:rsidRPr="00D23EE1">
        <w:rPr>
          <w:rFonts w:ascii="宋体" w:eastAsia="宋体" w:hAnsi="宋体" w:cs="宋体"/>
          <w:noProof/>
          <w:kern w:val="0"/>
          <w:sz w:val="24"/>
        </w:rPr>
        <w:pict w14:anchorId="7009A609">
          <v:rect id="_x0000_i1028" alt="" style="width:415.3pt;height:.05pt;mso-width-percent:0;mso-height-percent:0;mso-width-percent:0;mso-height-percent:0" o:hralign="center" o:hrstd="t" o:hr="t" fillcolor="#a0a0a0" stroked="f"/>
        </w:pict>
      </w:r>
    </w:p>
    <w:p w14:paraId="1C483723" w14:textId="77777777" w:rsidR="00D23EE1" w:rsidRPr="00D23EE1" w:rsidRDefault="00D23EE1" w:rsidP="00D23EE1">
      <w:pPr>
        <w:widowControl/>
        <w:spacing w:before="100" w:beforeAutospacing="1" w:after="100" w:afterAutospacing="1"/>
        <w:jc w:val="left"/>
        <w:outlineLvl w:val="2"/>
        <w:rPr>
          <w:rFonts w:ascii="宋体" w:eastAsia="宋体" w:hAnsi="宋体" w:cs="宋体"/>
          <w:b/>
          <w:bCs/>
          <w:kern w:val="0"/>
          <w:sz w:val="27"/>
          <w:szCs w:val="27"/>
        </w:rPr>
      </w:pPr>
      <w:r w:rsidRPr="00D23EE1">
        <w:rPr>
          <w:rFonts w:ascii="宋体" w:eastAsia="宋体" w:hAnsi="宋体" w:cs="宋体"/>
          <w:b/>
          <w:bCs/>
          <w:kern w:val="0"/>
          <w:sz w:val="27"/>
          <w:szCs w:val="27"/>
        </w:rPr>
        <w:t>Rule</w:t>
      </w:r>
    </w:p>
    <w:p w14:paraId="19780DA3" w14:textId="77777777" w:rsidR="00D23EE1" w:rsidRPr="00D23EE1" w:rsidRDefault="00D23EE1" w:rsidP="00D23EE1">
      <w:pPr>
        <w:widowControl/>
        <w:numPr>
          <w:ilvl w:val="0"/>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Copyright Protection</w:t>
      </w:r>
      <w:r w:rsidRPr="00D23EE1">
        <w:rPr>
          <w:rFonts w:ascii="宋体" w:eastAsia="宋体" w:hAnsi="宋体" w:cs="宋体"/>
          <w:kern w:val="0"/>
          <w:sz w:val="24"/>
        </w:rPr>
        <w:t>:</w:t>
      </w:r>
    </w:p>
    <w:p w14:paraId="2DAFEA7A" w14:textId="77777777" w:rsidR="00D23EE1" w:rsidRPr="00D23EE1" w:rsidRDefault="00D23EE1" w:rsidP="00D23EE1">
      <w:pPr>
        <w:widowControl/>
        <w:numPr>
          <w:ilvl w:val="1"/>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Berne Convention, Article 2(5)</w:t>
      </w:r>
      <w:r w:rsidRPr="00D23EE1">
        <w:rPr>
          <w:rFonts w:ascii="宋体" w:eastAsia="宋体" w:hAnsi="宋体" w:cs="宋体"/>
          <w:kern w:val="0"/>
          <w:sz w:val="24"/>
        </w:rPr>
        <w:t>: Protects databases as collections if the selection and arrangement of their contents constitute intellectual creations.</w:t>
      </w:r>
    </w:p>
    <w:p w14:paraId="50C31001" w14:textId="77777777" w:rsidR="00D23EE1" w:rsidRPr="00D23EE1" w:rsidRDefault="00D23EE1" w:rsidP="00D23EE1">
      <w:pPr>
        <w:widowControl/>
        <w:numPr>
          <w:ilvl w:val="2"/>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i/>
          <w:iCs/>
          <w:kern w:val="0"/>
          <w:sz w:val="24"/>
        </w:rPr>
        <w:t>English</w:t>
      </w:r>
      <w:r w:rsidRPr="00D23EE1">
        <w:rPr>
          <w:rFonts w:ascii="宋体" w:eastAsia="宋体" w:hAnsi="宋体" w:cs="宋体"/>
          <w:kern w:val="0"/>
          <w:sz w:val="24"/>
        </w:rPr>
        <w:t>: "Collections of literary or artistic works which, by reason of the selection and arrangement of their contents, constitute intellectual creations shall be protected."</w:t>
      </w:r>
    </w:p>
    <w:p w14:paraId="6649CD5A" w14:textId="77777777" w:rsidR="00D23EE1" w:rsidRPr="00D23EE1" w:rsidRDefault="00D23EE1" w:rsidP="00D23EE1">
      <w:pPr>
        <w:widowControl/>
        <w:numPr>
          <w:ilvl w:val="2"/>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i/>
          <w:iCs/>
          <w:kern w:val="0"/>
          <w:sz w:val="24"/>
        </w:rPr>
        <w:t>中文</w:t>
      </w:r>
      <w:r w:rsidRPr="00D23EE1">
        <w:rPr>
          <w:rFonts w:ascii="宋体" w:eastAsia="宋体" w:hAnsi="宋体" w:cs="宋体"/>
          <w:kern w:val="0"/>
          <w:sz w:val="24"/>
        </w:rPr>
        <w:t>：“由于其内容的选择和编排而构成智力创作的合集应受到保护。”</w:t>
      </w:r>
    </w:p>
    <w:p w14:paraId="3857F17A" w14:textId="77777777" w:rsidR="00D23EE1" w:rsidRPr="00D23EE1" w:rsidRDefault="00D23EE1" w:rsidP="00D23EE1">
      <w:pPr>
        <w:widowControl/>
        <w:numPr>
          <w:ilvl w:val="1"/>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TRIPS, Article 10(2)</w:t>
      </w:r>
      <w:r w:rsidRPr="00D23EE1">
        <w:rPr>
          <w:rFonts w:ascii="宋体" w:eastAsia="宋体" w:hAnsi="宋体" w:cs="宋体"/>
          <w:kern w:val="0"/>
          <w:sz w:val="24"/>
        </w:rPr>
        <w:t xml:space="preserve"> and </w:t>
      </w:r>
      <w:r w:rsidRPr="00D23EE1">
        <w:rPr>
          <w:rFonts w:ascii="宋体" w:eastAsia="宋体" w:hAnsi="宋体" w:cs="宋体"/>
          <w:b/>
          <w:bCs/>
          <w:kern w:val="0"/>
          <w:sz w:val="24"/>
        </w:rPr>
        <w:t>WCT, Article 5</w:t>
      </w:r>
      <w:r w:rsidRPr="00D23EE1">
        <w:rPr>
          <w:rFonts w:ascii="宋体" w:eastAsia="宋体" w:hAnsi="宋体" w:cs="宋体"/>
          <w:kern w:val="0"/>
          <w:sz w:val="24"/>
        </w:rPr>
        <w:t xml:space="preserve"> provide similar protections.</w:t>
      </w:r>
    </w:p>
    <w:p w14:paraId="20D7B1DC" w14:textId="77777777" w:rsidR="00D23EE1" w:rsidRPr="00D23EE1" w:rsidRDefault="00D23EE1" w:rsidP="00D23EE1">
      <w:pPr>
        <w:widowControl/>
        <w:numPr>
          <w:ilvl w:val="1"/>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Directive 96/9/EC, Article 3(1)</w:t>
      </w:r>
      <w:r w:rsidRPr="00D23EE1">
        <w:rPr>
          <w:rFonts w:ascii="宋体" w:eastAsia="宋体" w:hAnsi="宋体" w:cs="宋体"/>
          <w:kern w:val="0"/>
          <w:sz w:val="24"/>
        </w:rPr>
        <w:t>: Protects databases with original selection or arrangement.</w:t>
      </w:r>
    </w:p>
    <w:p w14:paraId="0DCF04EA" w14:textId="77777777" w:rsidR="00D23EE1" w:rsidRPr="00D23EE1" w:rsidRDefault="00D23EE1" w:rsidP="00D23EE1">
      <w:pPr>
        <w:widowControl/>
        <w:numPr>
          <w:ilvl w:val="0"/>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Sui Generis Database Rights</w:t>
      </w:r>
      <w:r w:rsidRPr="00D23EE1">
        <w:rPr>
          <w:rFonts w:ascii="宋体" w:eastAsia="宋体" w:hAnsi="宋体" w:cs="宋体"/>
          <w:kern w:val="0"/>
          <w:sz w:val="24"/>
        </w:rPr>
        <w:t>:</w:t>
      </w:r>
    </w:p>
    <w:p w14:paraId="59FC3D21" w14:textId="77777777" w:rsidR="00D23EE1" w:rsidRPr="00D23EE1" w:rsidRDefault="00D23EE1" w:rsidP="00D23EE1">
      <w:pPr>
        <w:widowControl/>
        <w:numPr>
          <w:ilvl w:val="1"/>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Directive 96/9/EC, Article 7(1)</w:t>
      </w:r>
      <w:r w:rsidRPr="00D23EE1">
        <w:rPr>
          <w:rFonts w:ascii="宋体" w:eastAsia="宋体" w:hAnsi="宋体" w:cs="宋体"/>
          <w:kern w:val="0"/>
          <w:sz w:val="24"/>
        </w:rPr>
        <w:t>: Grants rights to prevent unauthorized extraction or re-utilization if substantial investment has been made in obtaining, verifying, or presenting the contents.</w:t>
      </w:r>
    </w:p>
    <w:p w14:paraId="3CC1F6B3" w14:textId="77777777" w:rsidR="00D23EE1" w:rsidRPr="00D23EE1" w:rsidRDefault="00D23EE1" w:rsidP="00D23EE1">
      <w:pPr>
        <w:widowControl/>
        <w:numPr>
          <w:ilvl w:val="2"/>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i/>
          <w:iCs/>
          <w:kern w:val="0"/>
          <w:sz w:val="24"/>
        </w:rPr>
        <w:t>English</w:t>
      </w:r>
      <w:r w:rsidRPr="00D23EE1">
        <w:rPr>
          <w:rFonts w:ascii="宋体" w:eastAsia="宋体" w:hAnsi="宋体" w:cs="宋体"/>
          <w:kern w:val="0"/>
          <w:sz w:val="24"/>
        </w:rPr>
        <w:t xml:space="preserve">: "The maker of a database which shows substantial investment shall have the right to </w:t>
      </w:r>
      <w:r w:rsidRPr="00D23EE1">
        <w:rPr>
          <w:rFonts w:ascii="宋体" w:eastAsia="宋体" w:hAnsi="宋体" w:cs="宋体"/>
          <w:kern w:val="0"/>
          <w:sz w:val="24"/>
        </w:rPr>
        <w:lastRenderedPageBreak/>
        <w:t>prevent extraction or re-utilization of substantial parts."</w:t>
      </w:r>
    </w:p>
    <w:p w14:paraId="78221774" w14:textId="77777777" w:rsidR="00D23EE1" w:rsidRPr="00D23EE1" w:rsidRDefault="00D23EE1" w:rsidP="00D23EE1">
      <w:pPr>
        <w:widowControl/>
        <w:numPr>
          <w:ilvl w:val="2"/>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i/>
          <w:iCs/>
          <w:kern w:val="0"/>
          <w:sz w:val="24"/>
        </w:rPr>
        <w:t>中文</w:t>
      </w:r>
      <w:r w:rsidRPr="00D23EE1">
        <w:rPr>
          <w:rFonts w:ascii="宋体" w:eastAsia="宋体" w:hAnsi="宋体" w:cs="宋体"/>
          <w:kern w:val="0"/>
          <w:sz w:val="24"/>
        </w:rPr>
        <w:t>：“数据库制作者在内容获取、验证或呈现方面进行大量投资，有权阻止内容的提取或再利用。”</w:t>
      </w:r>
    </w:p>
    <w:p w14:paraId="4EEAA298" w14:textId="77777777" w:rsidR="00D23EE1" w:rsidRPr="00D23EE1" w:rsidRDefault="00D23EE1" w:rsidP="00D23EE1">
      <w:pPr>
        <w:widowControl/>
        <w:numPr>
          <w:ilvl w:val="0"/>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Data Protection</w:t>
      </w:r>
      <w:r w:rsidRPr="00D23EE1">
        <w:rPr>
          <w:rFonts w:ascii="宋体" w:eastAsia="宋体" w:hAnsi="宋体" w:cs="宋体"/>
          <w:kern w:val="0"/>
          <w:sz w:val="24"/>
        </w:rPr>
        <w:t>:</w:t>
      </w:r>
    </w:p>
    <w:p w14:paraId="1A6C78D0" w14:textId="77777777" w:rsidR="00D23EE1" w:rsidRPr="00D23EE1" w:rsidRDefault="00D23EE1" w:rsidP="00D23EE1">
      <w:pPr>
        <w:widowControl/>
        <w:numPr>
          <w:ilvl w:val="1"/>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GDPR, Article 4(1)</w:t>
      </w:r>
      <w:r w:rsidRPr="00D23EE1">
        <w:rPr>
          <w:rFonts w:ascii="宋体" w:eastAsia="宋体" w:hAnsi="宋体" w:cs="宋体"/>
          <w:kern w:val="0"/>
          <w:sz w:val="24"/>
        </w:rPr>
        <w:t>: Defines personal data as any information relating to an identifiable natural person.</w:t>
      </w:r>
    </w:p>
    <w:p w14:paraId="4E638400" w14:textId="77777777" w:rsidR="00D23EE1" w:rsidRPr="00D23EE1" w:rsidRDefault="00D23EE1" w:rsidP="00D23EE1">
      <w:pPr>
        <w:widowControl/>
        <w:numPr>
          <w:ilvl w:val="2"/>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i/>
          <w:iCs/>
          <w:kern w:val="0"/>
          <w:sz w:val="24"/>
        </w:rPr>
        <w:t>English</w:t>
      </w:r>
      <w:r w:rsidRPr="00D23EE1">
        <w:rPr>
          <w:rFonts w:ascii="宋体" w:eastAsia="宋体" w:hAnsi="宋体" w:cs="宋体"/>
          <w:kern w:val="0"/>
          <w:sz w:val="24"/>
        </w:rPr>
        <w:t>: "‘Personal data’ means any information relating to an identified or identifiable natural person."</w:t>
      </w:r>
    </w:p>
    <w:p w14:paraId="5ACBD5EE" w14:textId="77777777" w:rsidR="00D23EE1" w:rsidRPr="00D23EE1" w:rsidRDefault="00D23EE1" w:rsidP="00D23EE1">
      <w:pPr>
        <w:widowControl/>
        <w:numPr>
          <w:ilvl w:val="2"/>
          <w:numId w:val="1"/>
        </w:numPr>
        <w:spacing w:before="100" w:beforeAutospacing="1" w:after="100" w:afterAutospacing="1"/>
        <w:jc w:val="left"/>
        <w:rPr>
          <w:rFonts w:ascii="宋体" w:eastAsia="宋体" w:hAnsi="宋体" w:cs="宋体"/>
          <w:kern w:val="0"/>
          <w:sz w:val="24"/>
        </w:rPr>
      </w:pPr>
      <w:r w:rsidRPr="00D23EE1">
        <w:rPr>
          <w:rFonts w:ascii="宋体" w:eastAsia="宋体" w:hAnsi="宋体" w:cs="宋体"/>
          <w:i/>
          <w:iCs/>
          <w:kern w:val="0"/>
          <w:sz w:val="24"/>
        </w:rPr>
        <w:t>中文</w:t>
      </w:r>
      <w:r w:rsidRPr="00D23EE1">
        <w:rPr>
          <w:rFonts w:ascii="宋体" w:eastAsia="宋体" w:hAnsi="宋体" w:cs="宋体"/>
          <w:kern w:val="0"/>
          <w:sz w:val="24"/>
        </w:rPr>
        <w:t>：“‘个人数据’是指与已识别或可识别的自然人有关的任何信息。”</w:t>
      </w:r>
    </w:p>
    <w:p w14:paraId="58DAF4CF" w14:textId="77777777" w:rsidR="00D23EE1" w:rsidRPr="00D23EE1" w:rsidRDefault="00885FC5" w:rsidP="00D23EE1">
      <w:pPr>
        <w:widowControl/>
        <w:jc w:val="left"/>
        <w:rPr>
          <w:rFonts w:ascii="宋体" w:eastAsia="宋体" w:hAnsi="宋体" w:cs="宋体"/>
          <w:kern w:val="0"/>
          <w:sz w:val="24"/>
        </w:rPr>
      </w:pPr>
      <w:r w:rsidRPr="00D23EE1">
        <w:rPr>
          <w:rFonts w:ascii="宋体" w:eastAsia="宋体" w:hAnsi="宋体" w:cs="宋体"/>
          <w:noProof/>
          <w:kern w:val="0"/>
          <w:sz w:val="24"/>
        </w:rPr>
        <w:pict w14:anchorId="3D33A646">
          <v:rect id="_x0000_i1027" alt="" style="width:415.3pt;height:.05pt;mso-width-percent:0;mso-height-percent:0;mso-width-percent:0;mso-height-percent:0" o:hralign="center" o:hrstd="t" o:hr="t" fillcolor="#a0a0a0" stroked="f"/>
        </w:pict>
      </w:r>
    </w:p>
    <w:p w14:paraId="62EE91DF" w14:textId="77777777" w:rsidR="00D23EE1" w:rsidRPr="00D23EE1" w:rsidRDefault="00D23EE1" w:rsidP="00D23EE1">
      <w:pPr>
        <w:widowControl/>
        <w:spacing w:before="100" w:beforeAutospacing="1" w:after="100" w:afterAutospacing="1"/>
        <w:jc w:val="left"/>
        <w:outlineLvl w:val="2"/>
        <w:rPr>
          <w:rFonts w:ascii="宋体" w:eastAsia="宋体" w:hAnsi="宋体" w:cs="宋体"/>
          <w:b/>
          <w:bCs/>
          <w:kern w:val="0"/>
          <w:sz w:val="27"/>
          <w:szCs w:val="27"/>
        </w:rPr>
      </w:pPr>
      <w:r w:rsidRPr="00D23EE1">
        <w:rPr>
          <w:rFonts w:ascii="宋体" w:eastAsia="宋体" w:hAnsi="宋体" w:cs="宋体"/>
          <w:b/>
          <w:bCs/>
          <w:kern w:val="0"/>
          <w:sz w:val="27"/>
          <w:szCs w:val="27"/>
        </w:rPr>
        <w:t>Analysis</w:t>
      </w:r>
    </w:p>
    <w:p w14:paraId="755F0EB2" w14:textId="77777777" w:rsidR="00D23EE1" w:rsidRPr="00D23EE1" w:rsidRDefault="00D23EE1" w:rsidP="00D23EE1">
      <w:pPr>
        <w:widowControl/>
        <w:numPr>
          <w:ilvl w:val="0"/>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Copyright Protection for Database Structure</w:t>
      </w:r>
      <w:r w:rsidRPr="00D23EE1">
        <w:rPr>
          <w:rFonts w:ascii="宋体" w:eastAsia="宋体" w:hAnsi="宋体" w:cs="宋体"/>
          <w:kern w:val="0"/>
          <w:sz w:val="24"/>
        </w:rPr>
        <w:t>:</w:t>
      </w:r>
    </w:p>
    <w:p w14:paraId="5AC3B813" w14:textId="77777777" w:rsidR="00D23EE1" w:rsidRPr="00D23EE1" w:rsidRDefault="00D23EE1" w:rsidP="00D23EE1">
      <w:pPr>
        <w:widowControl/>
        <w:numPr>
          <w:ilvl w:val="1"/>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kern w:val="0"/>
          <w:sz w:val="24"/>
        </w:rPr>
        <w:t xml:space="preserve">The unique structure and arrangement of [Company Name]’s database can qualify for copyright protection under </w:t>
      </w:r>
      <w:r w:rsidRPr="00D23EE1">
        <w:rPr>
          <w:rFonts w:ascii="宋体" w:eastAsia="宋体" w:hAnsi="宋体" w:cs="宋体"/>
          <w:b/>
          <w:bCs/>
          <w:kern w:val="0"/>
          <w:sz w:val="24"/>
        </w:rPr>
        <w:t>Berne Convention, TRIPS, WCT</w:t>
      </w:r>
      <w:r w:rsidRPr="00D23EE1">
        <w:rPr>
          <w:rFonts w:ascii="宋体" w:eastAsia="宋体" w:hAnsi="宋体" w:cs="宋体"/>
          <w:kern w:val="0"/>
          <w:sz w:val="24"/>
        </w:rPr>
        <w:t xml:space="preserve">, and </w:t>
      </w:r>
      <w:r w:rsidRPr="00D23EE1">
        <w:rPr>
          <w:rFonts w:ascii="宋体" w:eastAsia="宋体" w:hAnsi="宋体" w:cs="宋体"/>
          <w:b/>
          <w:bCs/>
          <w:kern w:val="0"/>
          <w:sz w:val="24"/>
        </w:rPr>
        <w:t>Directive 96/9/EC, Article 3(1)</w:t>
      </w:r>
      <w:r w:rsidRPr="00D23EE1">
        <w:rPr>
          <w:rFonts w:ascii="宋体" w:eastAsia="宋体" w:hAnsi="宋体" w:cs="宋体"/>
          <w:kern w:val="0"/>
          <w:sz w:val="24"/>
        </w:rPr>
        <w:t>. This ensures that competitors cannot directly replicate the database’s structure without authorization.</w:t>
      </w:r>
    </w:p>
    <w:p w14:paraId="2179A305" w14:textId="77777777" w:rsidR="00D23EE1" w:rsidRPr="00D23EE1" w:rsidRDefault="00D23EE1" w:rsidP="00D23EE1">
      <w:pPr>
        <w:widowControl/>
        <w:numPr>
          <w:ilvl w:val="0"/>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Sui Generis Protection for Substantial Investment</w:t>
      </w:r>
      <w:r w:rsidRPr="00D23EE1">
        <w:rPr>
          <w:rFonts w:ascii="宋体" w:eastAsia="宋体" w:hAnsi="宋体" w:cs="宋体"/>
          <w:kern w:val="0"/>
          <w:sz w:val="24"/>
        </w:rPr>
        <w:t>:</w:t>
      </w:r>
    </w:p>
    <w:p w14:paraId="526FC2CB" w14:textId="77777777" w:rsidR="00D23EE1" w:rsidRPr="00D23EE1" w:rsidRDefault="00D23EE1" w:rsidP="00D23EE1">
      <w:pPr>
        <w:widowControl/>
        <w:numPr>
          <w:ilvl w:val="1"/>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kern w:val="0"/>
          <w:sz w:val="24"/>
        </w:rPr>
        <w:t xml:space="preserve">[Company Name] has made substantial investments in creating and maintaining the database. Under </w:t>
      </w:r>
      <w:r w:rsidRPr="00D23EE1">
        <w:rPr>
          <w:rFonts w:ascii="宋体" w:eastAsia="宋体" w:hAnsi="宋体" w:cs="宋体"/>
          <w:b/>
          <w:bCs/>
          <w:kern w:val="0"/>
          <w:sz w:val="24"/>
        </w:rPr>
        <w:t>Directive 96/9/EC, Article 7(1)</w:t>
      </w:r>
      <w:r w:rsidRPr="00D23EE1">
        <w:rPr>
          <w:rFonts w:ascii="宋体" w:eastAsia="宋体" w:hAnsi="宋体" w:cs="宋体"/>
          <w:kern w:val="0"/>
          <w:sz w:val="24"/>
        </w:rPr>
        <w:t>, it can prevent unauthorized extraction or reuse of significant portions of the database, safeguarding its commercial value.</w:t>
      </w:r>
    </w:p>
    <w:p w14:paraId="2490C6A1" w14:textId="77777777" w:rsidR="00D23EE1" w:rsidRPr="00D23EE1" w:rsidRDefault="00D23EE1" w:rsidP="00D23EE1">
      <w:pPr>
        <w:widowControl/>
        <w:numPr>
          <w:ilvl w:val="0"/>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Ownership of Content</w:t>
      </w:r>
      <w:r w:rsidRPr="00D23EE1">
        <w:rPr>
          <w:rFonts w:ascii="宋体" w:eastAsia="宋体" w:hAnsi="宋体" w:cs="宋体"/>
          <w:kern w:val="0"/>
          <w:sz w:val="24"/>
        </w:rPr>
        <w:t>:</w:t>
      </w:r>
    </w:p>
    <w:p w14:paraId="6120E301" w14:textId="77777777" w:rsidR="00D23EE1" w:rsidRPr="00D23EE1" w:rsidRDefault="00D23EE1" w:rsidP="00D23EE1">
      <w:pPr>
        <w:widowControl/>
        <w:numPr>
          <w:ilvl w:val="1"/>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kern w:val="0"/>
          <w:sz w:val="24"/>
        </w:rPr>
        <w:t>Individual data entries, such as customer-submitted pictures, may have separate copyright owners (e.g., the customers themselves). [Company Name] cannot exploit such content without obtaining proper permissions from the rightsholders.</w:t>
      </w:r>
    </w:p>
    <w:p w14:paraId="45B1995F" w14:textId="77777777" w:rsidR="00D23EE1" w:rsidRPr="00D23EE1" w:rsidRDefault="00D23EE1" w:rsidP="00D23EE1">
      <w:pPr>
        <w:widowControl/>
        <w:numPr>
          <w:ilvl w:val="0"/>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Data Protection Compliance</w:t>
      </w:r>
      <w:r w:rsidRPr="00D23EE1">
        <w:rPr>
          <w:rFonts w:ascii="宋体" w:eastAsia="宋体" w:hAnsi="宋体" w:cs="宋体"/>
          <w:kern w:val="0"/>
          <w:sz w:val="24"/>
        </w:rPr>
        <w:t>:</w:t>
      </w:r>
    </w:p>
    <w:p w14:paraId="49559C97" w14:textId="77777777" w:rsidR="00D23EE1" w:rsidRPr="00D23EE1" w:rsidRDefault="00D23EE1" w:rsidP="00D23EE1">
      <w:pPr>
        <w:widowControl/>
        <w:numPr>
          <w:ilvl w:val="1"/>
          <w:numId w:val="2"/>
        </w:numPr>
        <w:spacing w:before="100" w:beforeAutospacing="1" w:after="100" w:afterAutospacing="1"/>
        <w:jc w:val="left"/>
        <w:rPr>
          <w:rFonts w:ascii="宋体" w:eastAsia="宋体" w:hAnsi="宋体" w:cs="宋体"/>
          <w:kern w:val="0"/>
          <w:sz w:val="24"/>
        </w:rPr>
      </w:pPr>
      <w:r w:rsidRPr="00D23EE1">
        <w:rPr>
          <w:rFonts w:ascii="宋体" w:eastAsia="宋体" w:hAnsi="宋体" w:cs="宋体"/>
          <w:kern w:val="0"/>
          <w:sz w:val="24"/>
        </w:rPr>
        <w:t>If the database contains personal data, GDPR applies, limiting exploitation. However, if the data is anonymized or replaced with synthetic data, it would fall outside GDPR’s scope, allowing broader use.</w:t>
      </w:r>
    </w:p>
    <w:p w14:paraId="746526D7" w14:textId="77777777" w:rsidR="00D23EE1" w:rsidRPr="00D23EE1" w:rsidRDefault="00885FC5" w:rsidP="00D23EE1">
      <w:pPr>
        <w:widowControl/>
        <w:jc w:val="left"/>
        <w:rPr>
          <w:rFonts w:ascii="宋体" w:eastAsia="宋体" w:hAnsi="宋体" w:cs="宋体"/>
          <w:kern w:val="0"/>
          <w:sz w:val="24"/>
        </w:rPr>
      </w:pPr>
      <w:r w:rsidRPr="00D23EE1">
        <w:rPr>
          <w:rFonts w:ascii="宋体" w:eastAsia="宋体" w:hAnsi="宋体" w:cs="宋体"/>
          <w:noProof/>
          <w:kern w:val="0"/>
          <w:sz w:val="24"/>
        </w:rPr>
        <w:pict w14:anchorId="017EA0C7">
          <v:rect id="_x0000_i1026" alt="" style="width:415.3pt;height:.05pt;mso-width-percent:0;mso-height-percent:0;mso-width-percent:0;mso-height-percent:0" o:hralign="center" o:hrstd="t" o:hr="t" fillcolor="#a0a0a0" stroked="f"/>
        </w:pict>
      </w:r>
    </w:p>
    <w:p w14:paraId="67900C13" w14:textId="77777777" w:rsidR="00D23EE1" w:rsidRPr="00D23EE1" w:rsidRDefault="00D23EE1" w:rsidP="00D23EE1">
      <w:pPr>
        <w:widowControl/>
        <w:spacing w:before="100" w:beforeAutospacing="1" w:after="100" w:afterAutospacing="1"/>
        <w:jc w:val="left"/>
        <w:outlineLvl w:val="2"/>
        <w:rPr>
          <w:rFonts w:ascii="宋体" w:eastAsia="宋体" w:hAnsi="宋体" w:cs="宋体"/>
          <w:b/>
          <w:bCs/>
          <w:kern w:val="0"/>
          <w:sz w:val="27"/>
          <w:szCs w:val="27"/>
        </w:rPr>
      </w:pPr>
      <w:r w:rsidRPr="00D23EE1">
        <w:rPr>
          <w:rFonts w:ascii="宋体" w:eastAsia="宋体" w:hAnsi="宋体" w:cs="宋体"/>
          <w:b/>
          <w:bCs/>
          <w:kern w:val="0"/>
          <w:sz w:val="27"/>
          <w:szCs w:val="27"/>
        </w:rPr>
        <w:lastRenderedPageBreak/>
        <w:t>Conclusion</w:t>
      </w:r>
    </w:p>
    <w:p w14:paraId="1C2C2C6A" w14:textId="77777777" w:rsidR="00D23EE1" w:rsidRPr="00D23EE1" w:rsidRDefault="00D23EE1" w:rsidP="00D23EE1">
      <w:pPr>
        <w:widowControl/>
        <w:spacing w:before="100" w:beforeAutospacing="1" w:after="100" w:afterAutospacing="1"/>
        <w:jc w:val="left"/>
        <w:rPr>
          <w:rFonts w:ascii="宋体" w:eastAsia="宋体" w:hAnsi="宋体" w:cs="宋体"/>
          <w:kern w:val="0"/>
          <w:sz w:val="24"/>
        </w:rPr>
      </w:pPr>
      <w:r w:rsidRPr="00D23EE1">
        <w:rPr>
          <w:rFonts w:ascii="宋体" w:eastAsia="宋体" w:hAnsi="宋体" w:cs="宋体"/>
          <w:kern w:val="0"/>
          <w:sz w:val="24"/>
        </w:rPr>
        <w:t>[Company Name] can exploit its database through copyright and sui generis database rights, protecting its structure and arrangement. However, it must ensure compliance with GDPR when dealing with personal data and cannot use copyrighted content owned by other rightsholders without authorization. Anonymization or synthetic data creation could enable lawful and unrestricted exploitation of the database’s contents.</w:t>
      </w:r>
    </w:p>
    <w:p w14:paraId="65B0AD7B" w14:textId="77777777" w:rsidR="00D23EE1" w:rsidRPr="00D23EE1" w:rsidRDefault="00885FC5" w:rsidP="00D23EE1">
      <w:pPr>
        <w:widowControl/>
        <w:jc w:val="left"/>
        <w:rPr>
          <w:rFonts w:ascii="宋体" w:eastAsia="宋体" w:hAnsi="宋体" w:cs="宋体"/>
          <w:kern w:val="0"/>
          <w:sz w:val="24"/>
        </w:rPr>
      </w:pPr>
      <w:r w:rsidRPr="00D23EE1">
        <w:rPr>
          <w:rFonts w:ascii="宋体" w:eastAsia="宋体" w:hAnsi="宋体" w:cs="宋体"/>
          <w:noProof/>
          <w:kern w:val="0"/>
          <w:sz w:val="24"/>
        </w:rPr>
        <w:pict w14:anchorId="71EAA17F">
          <v:rect id="_x0000_i1025" alt="" style="width:415.3pt;height:.05pt;mso-width-percent:0;mso-height-percent:0;mso-width-percent:0;mso-height-percent:0" o:hralign="center" o:hrstd="t" o:hr="t" fillcolor="#a0a0a0" stroked="f"/>
        </w:pict>
      </w:r>
    </w:p>
    <w:p w14:paraId="45FC32C2" w14:textId="77777777" w:rsidR="00D23EE1" w:rsidRPr="00D23EE1" w:rsidRDefault="00D23EE1" w:rsidP="00D23EE1">
      <w:pPr>
        <w:widowControl/>
        <w:spacing w:before="100" w:beforeAutospacing="1" w:after="100" w:afterAutospacing="1"/>
        <w:jc w:val="left"/>
        <w:rPr>
          <w:rFonts w:ascii="宋体" w:eastAsia="宋体" w:hAnsi="宋体" w:cs="宋体"/>
          <w:kern w:val="0"/>
          <w:sz w:val="24"/>
        </w:rPr>
      </w:pPr>
      <w:r w:rsidRPr="00D23EE1">
        <w:rPr>
          <w:rFonts w:ascii="宋体" w:eastAsia="宋体" w:hAnsi="宋体" w:cs="宋体"/>
          <w:b/>
          <w:bCs/>
          <w:kern w:val="0"/>
          <w:sz w:val="24"/>
        </w:rPr>
        <w:t>Note</w:t>
      </w:r>
      <w:r w:rsidRPr="00D23EE1">
        <w:rPr>
          <w:rFonts w:ascii="宋体" w:eastAsia="宋体" w:hAnsi="宋体" w:cs="宋体"/>
          <w:kern w:val="0"/>
          <w:sz w:val="24"/>
        </w:rPr>
        <w:t>: Replace placeholders (e.g., [Company Name]) with specific details of the case.</w:t>
      </w:r>
    </w:p>
    <w:p w14:paraId="370099E8" w14:textId="77777777" w:rsidR="00C85435" w:rsidRPr="00D23EE1" w:rsidRDefault="00C85435"/>
    <w:sectPr w:rsidR="00C85435" w:rsidRPr="00D23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50528"/>
    <w:multiLevelType w:val="multilevel"/>
    <w:tmpl w:val="DC3C6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B74B7"/>
    <w:multiLevelType w:val="multilevel"/>
    <w:tmpl w:val="AB5EB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484623">
    <w:abstractNumId w:val="0"/>
  </w:num>
  <w:num w:numId="2" w16cid:durableId="965354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E1"/>
    <w:rsid w:val="00137021"/>
    <w:rsid w:val="00455106"/>
    <w:rsid w:val="00683E7F"/>
    <w:rsid w:val="00715F7A"/>
    <w:rsid w:val="00885FC5"/>
    <w:rsid w:val="009F1A40"/>
    <w:rsid w:val="00BC3589"/>
    <w:rsid w:val="00C85435"/>
    <w:rsid w:val="00D2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50F8"/>
  <w15:chartTrackingRefBased/>
  <w15:docId w15:val="{A78FA396-E48B-D64B-879D-CCDD5D96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3E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3E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23E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3E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3E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23E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3E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3E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3EE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E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3E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23E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3EE1"/>
    <w:rPr>
      <w:rFonts w:cstheme="majorBidi"/>
      <w:color w:val="0F4761" w:themeColor="accent1" w:themeShade="BF"/>
      <w:sz w:val="28"/>
      <w:szCs w:val="28"/>
    </w:rPr>
  </w:style>
  <w:style w:type="character" w:customStyle="1" w:styleId="50">
    <w:name w:val="标题 5 字符"/>
    <w:basedOn w:val="a0"/>
    <w:link w:val="5"/>
    <w:uiPriority w:val="9"/>
    <w:semiHidden/>
    <w:rsid w:val="00D23EE1"/>
    <w:rPr>
      <w:rFonts w:cstheme="majorBidi"/>
      <w:color w:val="0F4761" w:themeColor="accent1" w:themeShade="BF"/>
      <w:sz w:val="24"/>
    </w:rPr>
  </w:style>
  <w:style w:type="character" w:customStyle="1" w:styleId="60">
    <w:name w:val="标题 6 字符"/>
    <w:basedOn w:val="a0"/>
    <w:link w:val="6"/>
    <w:uiPriority w:val="9"/>
    <w:semiHidden/>
    <w:rsid w:val="00D23EE1"/>
    <w:rPr>
      <w:rFonts w:cstheme="majorBidi"/>
      <w:b/>
      <w:bCs/>
      <w:color w:val="0F4761" w:themeColor="accent1" w:themeShade="BF"/>
    </w:rPr>
  </w:style>
  <w:style w:type="character" w:customStyle="1" w:styleId="70">
    <w:name w:val="标题 7 字符"/>
    <w:basedOn w:val="a0"/>
    <w:link w:val="7"/>
    <w:uiPriority w:val="9"/>
    <w:semiHidden/>
    <w:rsid w:val="00D23EE1"/>
    <w:rPr>
      <w:rFonts w:cstheme="majorBidi"/>
      <w:b/>
      <w:bCs/>
      <w:color w:val="595959" w:themeColor="text1" w:themeTint="A6"/>
    </w:rPr>
  </w:style>
  <w:style w:type="character" w:customStyle="1" w:styleId="80">
    <w:name w:val="标题 8 字符"/>
    <w:basedOn w:val="a0"/>
    <w:link w:val="8"/>
    <w:uiPriority w:val="9"/>
    <w:semiHidden/>
    <w:rsid w:val="00D23EE1"/>
    <w:rPr>
      <w:rFonts w:cstheme="majorBidi"/>
      <w:color w:val="595959" w:themeColor="text1" w:themeTint="A6"/>
    </w:rPr>
  </w:style>
  <w:style w:type="character" w:customStyle="1" w:styleId="90">
    <w:name w:val="标题 9 字符"/>
    <w:basedOn w:val="a0"/>
    <w:link w:val="9"/>
    <w:uiPriority w:val="9"/>
    <w:semiHidden/>
    <w:rsid w:val="00D23EE1"/>
    <w:rPr>
      <w:rFonts w:eastAsiaTheme="majorEastAsia" w:cstheme="majorBidi"/>
      <w:color w:val="595959" w:themeColor="text1" w:themeTint="A6"/>
    </w:rPr>
  </w:style>
  <w:style w:type="paragraph" w:styleId="a3">
    <w:name w:val="Title"/>
    <w:basedOn w:val="a"/>
    <w:next w:val="a"/>
    <w:link w:val="a4"/>
    <w:uiPriority w:val="10"/>
    <w:qFormat/>
    <w:rsid w:val="00D23E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3E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3E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3E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3EE1"/>
    <w:pPr>
      <w:spacing w:before="160" w:after="160"/>
      <w:jc w:val="center"/>
    </w:pPr>
    <w:rPr>
      <w:i/>
      <w:iCs/>
      <w:color w:val="404040" w:themeColor="text1" w:themeTint="BF"/>
    </w:rPr>
  </w:style>
  <w:style w:type="character" w:customStyle="1" w:styleId="a8">
    <w:name w:val="引用 字符"/>
    <w:basedOn w:val="a0"/>
    <w:link w:val="a7"/>
    <w:uiPriority w:val="29"/>
    <w:rsid w:val="00D23EE1"/>
    <w:rPr>
      <w:i/>
      <w:iCs/>
      <w:color w:val="404040" w:themeColor="text1" w:themeTint="BF"/>
    </w:rPr>
  </w:style>
  <w:style w:type="paragraph" w:styleId="a9">
    <w:name w:val="List Paragraph"/>
    <w:basedOn w:val="a"/>
    <w:uiPriority w:val="34"/>
    <w:qFormat/>
    <w:rsid w:val="00D23EE1"/>
    <w:pPr>
      <w:ind w:left="720"/>
      <w:contextualSpacing/>
    </w:pPr>
  </w:style>
  <w:style w:type="character" w:styleId="aa">
    <w:name w:val="Intense Emphasis"/>
    <w:basedOn w:val="a0"/>
    <w:uiPriority w:val="21"/>
    <w:qFormat/>
    <w:rsid w:val="00D23EE1"/>
    <w:rPr>
      <w:i/>
      <w:iCs/>
      <w:color w:val="0F4761" w:themeColor="accent1" w:themeShade="BF"/>
    </w:rPr>
  </w:style>
  <w:style w:type="paragraph" w:styleId="ab">
    <w:name w:val="Intense Quote"/>
    <w:basedOn w:val="a"/>
    <w:next w:val="a"/>
    <w:link w:val="ac"/>
    <w:uiPriority w:val="30"/>
    <w:qFormat/>
    <w:rsid w:val="00D2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3EE1"/>
    <w:rPr>
      <w:i/>
      <w:iCs/>
      <w:color w:val="0F4761" w:themeColor="accent1" w:themeShade="BF"/>
    </w:rPr>
  </w:style>
  <w:style w:type="character" w:styleId="ad">
    <w:name w:val="Intense Reference"/>
    <w:basedOn w:val="a0"/>
    <w:uiPriority w:val="32"/>
    <w:qFormat/>
    <w:rsid w:val="00D23EE1"/>
    <w:rPr>
      <w:b/>
      <w:bCs/>
      <w:smallCaps/>
      <w:color w:val="0F4761" w:themeColor="accent1" w:themeShade="BF"/>
      <w:spacing w:val="5"/>
    </w:rPr>
  </w:style>
  <w:style w:type="paragraph" w:styleId="ae">
    <w:name w:val="Normal (Web)"/>
    <w:basedOn w:val="a"/>
    <w:uiPriority w:val="99"/>
    <w:semiHidden/>
    <w:unhideWhenUsed/>
    <w:rsid w:val="00D23EE1"/>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D23EE1"/>
    <w:rPr>
      <w:b/>
      <w:bCs/>
    </w:rPr>
  </w:style>
  <w:style w:type="character" w:styleId="af0">
    <w:name w:val="Emphasis"/>
    <w:basedOn w:val="a0"/>
    <w:uiPriority w:val="20"/>
    <w:qFormat/>
    <w:rsid w:val="00D23E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007">
      <w:bodyDiv w:val="1"/>
      <w:marLeft w:val="0"/>
      <w:marRight w:val="0"/>
      <w:marTop w:val="0"/>
      <w:marBottom w:val="0"/>
      <w:divBdr>
        <w:top w:val="none" w:sz="0" w:space="0" w:color="auto"/>
        <w:left w:val="none" w:sz="0" w:space="0" w:color="auto"/>
        <w:bottom w:val="none" w:sz="0" w:space="0" w:color="auto"/>
        <w:right w:val="none" w:sz="0" w:space="0" w:color="auto"/>
      </w:divBdr>
    </w:div>
    <w:div w:id="1627395995">
      <w:bodyDiv w:val="1"/>
      <w:marLeft w:val="0"/>
      <w:marRight w:val="0"/>
      <w:marTop w:val="0"/>
      <w:marBottom w:val="0"/>
      <w:divBdr>
        <w:top w:val="none" w:sz="0" w:space="0" w:color="auto"/>
        <w:left w:val="none" w:sz="0" w:space="0" w:color="auto"/>
        <w:bottom w:val="none" w:sz="0" w:space="0" w:color="auto"/>
        <w:right w:val="none" w:sz="0" w:space="0" w:color="auto"/>
      </w:divBdr>
      <w:divsChild>
        <w:div w:id="898980007">
          <w:marLeft w:val="0"/>
          <w:marRight w:val="0"/>
          <w:marTop w:val="0"/>
          <w:marBottom w:val="0"/>
          <w:divBdr>
            <w:top w:val="none" w:sz="0" w:space="0" w:color="auto"/>
            <w:left w:val="none" w:sz="0" w:space="0" w:color="auto"/>
            <w:bottom w:val="none" w:sz="0" w:space="0" w:color="auto"/>
            <w:right w:val="none" w:sz="0" w:space="0" w:color="auto"/>
          </w:divBdr>
        </w:div>
        <w:div w:id="780994037">
          <w:marLeft w:val="0"/>
          <w:marRight w:val="0"/>
          <w:marTop w:val="0"/>
          <w:marBottom w:val="0"/>
          <w:divBdr>
            <w:top w:val="none" w:sz="0" w:space="0" w:color="auto"/>
            <w:left w:val="none" w:sz="0" w:space="0" w:color="auto"/>
            <w:bottom w:val="none" w:sz="0" w:space="0" w:color="auto"/>
            <w:right w:val="none" w:sz="0" w:space="0" w:color="auto"/>
          </w:divBdr>
        </w:div>
        <w:div w:id="817503105">
          <w:marLeft w:val="0"/>
          <w:marRight w:val="0"/>
          <w:marTop w:val="0"/>
          <w:marBottom w:val="0"/>
          <w:divBdr>
            <w:top w:val="none" w:sz="0" w:space="0" w:color="auto"/>
            <w:left w:val="none" w:sz="0" w:space="0" w:color="auto"/>
            <w:bottom w:val="none" w:sz="0" w:space="0" w:color="auto"/>
            <w:right w:val="none" w:sz="0" w:space="0" w:color="auto"/>
          </w:divBdr>
        </w:div>
        <w:div w:id="1341666728">
          <w:marLeft w:val="0"/>
          <w:marRight w:val="0"/>
          <w:marTop w:val="0"/>
          <w:marBottom w:val="0"/>
          <w:divBdr>
            <w:top w:val="none" w:sz="0" w:space="0" w:color="auto"/>
            <w:left w:val="none" w:sz="0" w:space="0" w:color="auto"/>
            <w:bottom w:val="none" w:sz="0" w:space="0" w:color="auto"/>
            <w:right w:val="none" w:sz="0" w:space="0" w:color="auto"/>
          </w:divBdr>
        </w:div>
        <w:div w:id="205280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2025-01-14T21:58:00Z</dcterms:created>
  <dcterms:modified xsi:type="dcterms:W3CDTF">2025-01-14T21:59:00Z</dcterms:modified>
</cp:coreProperties>
</file>