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ECD0A" w14:textId="6951301F" w:rsidR="00C85435" w:rsidRDefault="002D45C8">
      <w:pPr>
        <w:rPr>
          <w:b/>
        </w:rPr>
      </w:pPr>
      <w:r w:rsidRPr="00311E9D">
        <w:rPr>
          <w:rFonts w:hint="eastAsia"/>
          <w:b/>
          <w:highlight w:val="yellow"/>
        </w:rPr>
        <w:t>一、</w:t>
      </w:r>
      <w:r w:rsidR="00EC780E" w:rsidRPr="00311E9D">
        <w:rPr>
          <w:rFonts w:hint="eastAsia"/>
          <w:b/>
          <w:highlight w:val="yellow"/>
        </w:rPr>
        <w:t>用户数据泄露</w:t>
      </w:r>
      <w:r w:rsidR="00EC780E" w:rsidRPr="00311E9D">
        <w:rPr>
          <w:rFonts w:hint="eastAsia"/>
          <w:b/>
          <w:highlight w:val="yellow"/>
        </w:rPr>
        <w:t>类型题目：</w:t>
      </w:r>
    </w:p>
    <w:p w14:paraId="5008E3C5" w14:textId="77777777" w:rsidR="00EC780E" w:rsidRDefault="00EC780E">
      <w:pPr>
        <w:rPr>
          <w:b/>
        </w:rPr>
      </w:pPr>
    </w:p>
    <w:p w14:paraId="6D8E3236" w14:textId="77777777" w:rsidR="00311E9D" w:rsidRPr="00311E9D" w:rsidRDefault="00311E9D" w:rsidP="00311E9D">
      <w:pPr>
        <w:spacing w:before="100" w:beforeAutospacing="1" w:after="100" w:afterAutospacing="1"/>
        <w:outlineLvl w:val="2"/>
        <w:rPr>
          <w:b/>
          <w:bCs/>
          <w:sz w:val="27"/>
          <w:szCs w:val="27"/>
        </w:rPr>
      </w:pPr>
      <w:r w:rsidRPr="00311E9D">
        <w:rPr>
          <w:b/>
          <w:bCs/>
          <w:sz w:val="27"/>
          <w:szCs w:val="27"/>
        </w:rPr>
        <w:t>Legal Basis for Imposing Fines and Justification</w:t>
      </w:r>
    </w:p>
    <w:p w14:paraId="03292846" w14:textId="77777777" w:rsidR="00311E9D" w:rsidRPr="00311E9D" w:rsidRDefault="00311E9D" w:rsidP="00311E9D">
      <w:pPr>
        <w:spacing w:before="100" w:beforeAutospacing="1" w:after="100" w:afterAutospacing="1"/>
      </w:pPr>
      <w:r w:rsidRPr="00311E9D">
        <w:t xml:space="preserve">The National Center of Addiction Medicine has committed serious violations under the </w:t>
      </w:r>
      <w:r w:rsidRPr="00311E9D">
        <w:rPr>
          <w:b/>
          <w:bCs/>
        </w:rPr>
        <w:t>General Data Protection Regulation (GDPR)</w:t>
      </w:r>
      <w:r w:rsidRPr="00311E9D">
        <w:t>, specifically regarding the mishandling of sensitive health data. Fines are justified based on the following legal provisions and their relevance to the case:</w:t>
      </w:r>
    </w:p>
    <w:p w14:paraId="5CFAB30F" w14:textId="77777777" w:rsidR="00311E9D" w:rsidRPr="00311E9D" w:rsidRDefault="00F81BAE" w:rsidP="00311E9D">
      <w:r w:rsidRPr="00311E9D">
        <w:rPr>
          <w:noProof/>
        </w:rPr>
        <w:pict w14:anchorId="0C805228">
          <v:rect id="_x0000_i1330" alt="" style="width:415.3pt;height:.05pt;mso-width-percent:0;mso-height-percent:0;mso-width-percent:0;mso-height-percent:0" o:hralign="center" o:hrstd="t" o:hr="t" fillcolor="#a0a0a0" stroked="f"/>
        </w:pict>
      </w:r>
    </w:p>
    <w:p w14:paraId="18B4380C" w14:textId="77777777" w:rsidR="00311E9D" w:rsidRPr="00311E9D" w:rsidRDefault="00311E9D" w:rsidP="00311E9D">
      <w:pPr>
        <w:spacing w:before="100" w:beforeAutospacing="1" w:after="100" w:afterAutospacing="1"/>
        <w:outlineLvl w:val="3"/>
        <w:rPr>
          <w:b/>
          <w:bCs/>
        </w:rPr>
      </w:pPr>
      <w:r w:rsidRPr="00311E9D">
        <w:rPr>
          <w:b/>
          <w:bCs/>
        </w:rPr>
        <w:t>1. GDPR 第5条：数据处理原则 (Article 5: Principles Relating to Processing of Personal Data)</w:t>
      </w:r>
    </w:p>
    <w:p w14:paraId="54D6D68F" w14:textId="77777777" w:rsidR="00311E9D" w:rsidRPr="00311E9D" w:rsidRDefault="00311E9D" w:rsidP="00311E9D">
      <w:pPr>
        <w:spacing w:before="100" w:beforeAutospacing="1" w:after="100" w:afterAutospacing="1"/>
      </w:pPr>
      <w:r w:rsidRPr="00311E9D">
        <w:rPr>
          <w:b/>
          <w:bCs/>
        </w:rPr>
        <w:t>Why Applicable</w:t>
      </w:r>
      <w:r w:rsidRPr="00311E9D">
        <w:t>:</w:t>
      </w:r>
      <w:r w:rsidRPr="00311E9D">
        <w:br/>
        <w:t>Article 5 outlines the core principles for lawful data processing. In this case, sensitive health data of 252 patients and 3,000 rehabilitation attendees were mishandled, violating these principles.</w:t>
      </w:r>
    </w:p>
    <w:p w14:paraId="50F2209D" w14:textId="77777777" w:rsidR="00311E9D" w:rsidRPr="00311E9D" w:rsidRDefault="00311E9D" w:rsidP="00311E9D">
      <w:pPr>
        <w:numPr>
          <w:ilvl w:val="0"/>
          <w:numId w:val="54"/>
        </w:numPr>
        <w:spacing w:before="100" w:beforeAutospacing="1" w:after="100" w:afterAutospacing="1"/>
      </w:pPr>
      <w:r w:rsidRPr="00311E9D">
        <w:rPr>
          <w:b/>
          <w:bCs/>
        </w:rPr>
        <w:t>5(1)(a) 合法性、公平性和透明性 (Lawfulness, Fairness, and Transparency)</w:t>
      </w:r>
    </w:p>
    <w:p w14:paraId="73D9F9C1" w14:textId="77777777" w:rsidR="00311E9D" w:rsidRPr="00311E9D" w:rsidRDefault="00311E9D" w:rsidP="00311E9D">
      <w:pPr>
        <w:numPr>
          <w:ilvl w:val="1"/>
          <w:numId w:val="54"/>
        </w:numPr>
        <w:spacing w:before="100" w:beforeAutospacing="1" w:after="100" w:afterAutospacing="1"/>
      </w:pPr>
      <w:r w:rsidRPr="00311E9D">
        <w:rPr>
          <w:b/>
          <w:bCs/>
        </w:rPr>
        <w:t>Requirement</w:t>
      </w:r>
      <w:r w:rsidRPr="00311E9D">
        <w:t>: Data must be processed lawfully and transparently.</w:t>
      </w:r>
    </w:p>
    <w:p w14:paraId="0C4F4F56" w14:textId="77777777" w:rsidR="00311E9D" w:rsidRPr="00311E9D" w:rsidRDefault="00311E9D" w:rsidP="00311E9D">
      <w:pPr>
        <w:numPr>
          <w:ilvl w:val="1"/>
          <w:numId w:val="54"/>
        </w:numPr>
        <w:spacing w:before="100" w:beforeAutospacing="1" w:after="100" w:afterAutospacing="1"/>
      </w:pPr>
      <w:r w:rsidRPr="00311E9D">
        <w:rPr>
          <w:b/>
          <w:bCs/>
        </w:rPr>
        <w:t>Violation</w:t>
      </w:r>
      <w:r w:rsidRPr="00311E9D">
        <w:t>: The organization failed to inform the affected individuals of the breach, violating transparency.</w:t>
      </w:r>
      <w:r w:rsidRPr="00311E9D">
        <w:br/>
      </w:r>
      <w:r w:rsidRPr="00311E9D">
        <w:rPr>
          <w:i/>
          <w:iCs/>
        </w:rPr>
        <w:t>The organization’s lack of notification undermines transparency.</w:t>
      </w:r>
    </w:p>
    <w:p w14:paraId="59A35136" w14:textId="77777777" w:rsidR="00311E9D" w:rsidRPr="00311E9D" w:rsidRDefault="00311E9D" w:rsidP="00311E9D">
      <w:pPr>
        <w:numPr>
          <w:ilvl w:val="0"/>
          <w:numId w:val="54"/>
        </w:numPr>
        <w:spacing w:before="100" w:beforeAutospacing="1" w:after="100" w:afterAutospacing="1"/>
      </w:pPr>
      <w:r w:rsidRPr="00311E9D">
        <w:rPr>
          <w:b/>
          <w:bCs/>
        </w:rPr>
        <w:t>5(1)(c) 数据最小化 (Data Minimization)</w:t>
      </w:r>
    </w:p>
    <w:p w14:paraId="696F5C95" w14:textId="77777777" w:rsidR="00311E9D" w:rsidRPr="00311E9D" w:rsidRDefault="00311E9D" w:rsidP="00311E9D">
      <w:pPr>
        <w:numPr>
          <w:ilvl w:val="1"/>
          <w:numId w:val="54"/>
        </w:numPr>
        <w:spacing w:before="100" w:beforeAutospacing="1" w:after="100" w:afterAutospacing="1"/>
      </w:pPr>
      <w:r w:rsidRPr="00311E9D">
        <w:rPr>
          <w:b/>
          <w:bCs/>
        </w:rPr>
        <w:t>Requirement</w:t>
      </w:r>
      <w:r w:rsidRPr="00311E9D">
        <w:t>: Only necessary data should be processed for specific purposes.</w:t>
      </w:r>
    </w:p>
    <w:p w14:paraId="703FA368" w14:textId="77777777" w:rsidR="00311E9D" w:rsidRPr="00311E9D" w:rsidRDefault="00311E9D" w:rsidP="00311E9D">
      <w:pPr>
        <w:numPr>
          <w:ilvl w:val="1"/>
          <w:numId w:val="54"/>
        </w:numPr>
        <w:spacing w:before="100" w:beforeAutospacing="1" w:after="100" w:afterAutospacing="1"/>
      </w:pPr>
      <w:r w:rsidRPr="00311E9D">
        <w:rPr>
          <w:b/>
          <w:bCs/>
        </w:rPr>
        <w:t>Violation</w:t>
      </w:r>
      <w:r w:rsidRPr="00311E9D">
        <w:t>: Including sensitive patient records in boxes meant for personal belongings violates this principle.</w:t>
      </w:r>
      <w:r w:rsidRPr="00311E9D">
        <w:br/>
      </w:r>
      <w:r w:rsidRPr="00311E9D">
        <w:rPr>
          <w:i/>
          <w:iCs/>
        </w:rPr>
        <w:t>The organization processed more data than necessary, breaching data minimization.</w:t>
      </w:r>
    </w:p>
    <w:p w14:paraId="546CC078" w14:textId="77777777" w:rsidR="00311E9D" w:rsidRPr="00311E9D" w:rsidRDefault="00311E9D" w:rsidP="00311E9D">
      <w:pPr>
        <w:numPr>
          <w:ilvl w:val="0"/>
          <w:numId w:val="54"/>
        </w:numPr>
        <w:spacing w:before="100" w:beforeAutospacing="1" w:after="100" w:afterAutospacing="1"/>
      </w:pPr>
      <w:r w:rsidRPr="00311E9D">
        <w:rPr>
          <w:b/>
          <w:bCs/>
        </w:rPr>
        <w:t>5(1)(f) 保密性和完整性 (Integrity and Confidentiality)</w:t>
      </w:r>
    </w:p>
    <w:p w14:paraId="6B20A6D0" w14:textId="77777777" w:rsidR="00311E9D" w:rsidRPr="00311E9D" w:rsidRDefault="00311E9D" w:rsidP="00311E9D">
      <w:pPr>
        <w:numPr>
          <w:ilvl w:val="1"/>
          <w:numId w:val="54"/>
        </w:numPr>
        <w:spacing w:before="100" w:beforeAutospacing="1" w:after="100" w:afterAutospacing="1"/>
      </w:pPr>
      <w:r w:rsidRPr="00311E9D">
        <w:rPr>
          <w:b/>
          <w:bCs/>
        </w:rPr>
        <w:t>Requirement</w:t>
      </w:r>
      <w:r w:rsidRPr="00311E9D">
        <w:t>: Data must be secured against unauthorized access or accidental loss.</w:t>
      </w:r>
    </w:p>
    <w:p w14:paraId="5EAC76FE" w14:textId="77777777" w:rsidR="00311E9D" w:rsidRPr="00311E9D" w:rsidRDefault="00311E9D" w:rsidP="00311E9D">
      <w:pPr>
        <w:numPr>
          <w:ilvl w:val="1"/>
          <w:numId w:val="54"/>
        </w:numPr>
        <w:spacing w:before="100" w:beforeAutospacing="1" w:after="100" w:afterAutospacing="1"/>
      </w:pPr>
      <w:r w:rsidRPr="00311E9D">
        <w:rPr>
          <w:b/>
          <w:bCs/>
        </w:rPr>
        <w:t>Violation</w:t>
      </w:r>
      <w:r w:rsidRPr="00311E9D">
        <w:t>: Inadequate safeguards led to unauthorized data access.</w:t>
      </w:r>
      <w:r w:rsidRPr="00311E9D">
        <w:br/>
      </w:r>
      <w:r w:rsidRPr="00311E9D">
        <w:rPr>
          <w:i/>
          <w:iCs/>
        </w:rPr>
        <w:t>The failure to secure data resulted in compromised confidentiality and integrity.</w:t>
      </w:r>
    </w:p>
    <w:p w14:paraId="195DCAAA" w14:textId="77777777" w:rsidR="00311E9D" w:rsidRPr="00311E9D" w:rsidRDefault="00F81BAE" w:rsidP="00311E9D">
      <w:r w:rsidRPr="00311E9D">
        <w:rPr>
          <w:noProof/>
        </w:rPr>
        <w:lastRenderedPageBreak/>
        <w:pict w14:anchorId="5A3D8630">
          <v:rect id="_x0000_i1329" alt="" style="width:415.3pt;height:.05pt;mso-width-percent:0;mso-height-percent:0;mso-width-percent:0;mso-height-percent:0" o:hralign="center" o:hrstd="t" o:hr="t" fillcolor="#a0a0a0" stroked="f"/>
        </w:pict>
      </w:r>
    </w:p>
    <w:p w14:paraId="3E348DCF" w14:textId="77777777" w:rsidR="00311E9D" w:rsidRPr="00311E9D" w:rsidRDefault="00311E9D" w:rsidP="00311E9D">
      <w:pPr>
        <w:spacing w:before="100" w:beforeAutospacing="1" w:after="100" w:afterAutospacing="1"/>
        <w:outlineLvl w:val="3"/>
        <w:rPr>
          <w:b/>
          <w:bCs/>
        </w:rPr>
      </w:pPr>
      <w:r w:rsidRPr="00311E9D">
        <w:rPr>
          <w:b/>
          <w:bCs/>
        </w:rPr>
        <w:t>2. GDPR 第32条：数据安全 (Article 32: Security of Processing)</w:t>
      </w:r>
    </w:p>
    <w:p w14:paraId="013124EE" w14:textId="77777777" w:rsidR="00311E9D" w:rsidRPr="00311E9D" w:rsidRDefault="00311E9D" w:rsidP="00311E9D">
      <w:pPr>
        <w:spacing w:before="100" w:beforeAutospacing="1" w:after="100" w:afterAutospacing="1"/>
      </w:pPr>
      <w:r w:rsidRPr="00311E9D">
        <w:rPr>
          <w:b/>
          <w:bCs/>
        </w:rPr>
        <w:t>Why Applicable</w:t>
      </w:r>
      <w:r w:rsidRPr="00311E9D">
        <w:t>:</w:t>
      </w:r>
      <w:r w:rsidRPr="00311E9D">
        <w:br/>
        <w:t>Article 32 requires organizations to implement technical and organizational measures to ensure data security. In this case, there were no sufficient controls, such as encryption or access restrictions, to protect sensitive health data.</w:t>
      </w:r>
    </w:p>
    <w:p w14:paraId="5562730F" w14:textId="77777777" w:rsidR="00311E9D" w:rsidRPr="00311E9D" w:rsidRDefault="00311E9D" w:rsidP="00311E9D">
      <w:pPr>
        <w:numPr>
          <w:ilvl w:val="0"/>
          <w:numId w:val="55"/>
        </w:numPr>
        <w:spacing w:before="100" w:beforeAutospacing="1" w:after="100" w:afterAutospacing="1"/>
      </w:pPr>
      <w:r w:rsidRPr="00311E9D">
        <w:rPr>
          <w:b/>
          <w:bCs/>
        </w:rPr>
        <w:t>32(1)</w:t>
      </w:r>
      <w:r w:rsidRPr="00311E9D">
        <w:t>: Security measures must match the risk level (e.g., encryption, pseudonymization).</w:t>
      </w:r>
    </w:p>
    <w:p w14:paraId="3CE4F3EC" w14:textId="77777777" w:rsidR="00311E9D" w:rsidRPr="00311E9D" w:rsidRDefault="00311E9D" w:rsidP="00311E9D">
      <w:pPr>
        <w:numPr>
          <w:ilvl w:val="0"/>
          <w:numId w:val="55"/>
        </w:numPr>
        <w:spacing w:before="100" w:beforeAutospacing="1" w:after="100" w:afterAutospacing="1"/>
      </w:pPr>
      <w:r w:rsidRPr="00311E9D">
        <w:rPr>
          <w:b/>
          <w:bCs/>
        </w:rPr>
        <w:t>32(2)</w:t>
      </w:r>
      <w:r w:rsidRPr="00311E9D">
        <w:t>: Measures should be tested and evaluated regularly.</w:t>
      </w:r>
    </w:p>
    <w:p w14:paraId="366E7223" w14:textId="77777777" w:rsidR="00311E9D" w:rsidRPr="00311E9D" w:rsidRDefault="00311E9D" w:rsidP="00311E9D">
      <w:pPr>
        <w:numPr>
          <w:ilvl w:val="1"/>
          <w:numId w:val="55"/>
        </w:numPr>
        <w:spacing w:before="100" w:beforeAutospacing="1" w:after="100" w:afterAutospacing="1"/>
      </w:pPr>
      <w:r w:rsidRPr="00311E9D">
        <w:rPr>
          <w:b/>
          <w:bCs/>
        </w:rPr>
        <w:t>Violation</w:t>
      </w:r>
      <w:r w:rsidRPr="00311E9D">
        <w:t>: The organization failed to implement encryption or access controls, leaving data vulnerable.</w:t>
      </w:r>
      <w:r w:rsidRPr="00311E9D">
        <w:br/>
      </w:r>
      <w:r w:rsidRPr="00311E9D">
        <w:rPr>
          <w:i/>
          <w:iCs/>
        </w:rPr>
        <w:t>This lack of security safeguards constitutes a breach of Article 32.</w:t>
      </w:r>
    </w:p>
    <w:p w14:paraId="461D748B" w14:textId="77777777" w:rsidR="00311E9D" w:rsidRPr="00311E9D" w:rsidRDefault="00F81BAE" w:rsidP="00311E9D">
      <w:r w:rsidRPr="00311E9D">
        <w:rPr>
          <w:noProof/>
        </w:rPr>
        <w:pict w14:anchorId="4E9DA29C">
          <v:rect id="_x0000_i1328" alt="" style="width:415.3pt;height:.05pt;mso-width-percent:0;mso-height-percent:0;mso-width-percent:0;mso-height-percent:0" o:hralign="center" o:hrstd="t" o:hr="t" fillcolor="#a0a0a0" stroked="f"/>
        </w:pict>
      </w:r>
    </w:p>
    <w:p w14:paraId="730CCB70" w14:textId="77777777" w:rsidR="00311E9D" w:rsidRPr="00311E9D" w:rsidRDefault="00311E9D" w:rsidP="00311E9D">
      <w:pPr>
        <w:spacing w:before="100" w:beforeAutospacing="1" w:after="100" w:afterAutospacing="1"/>
        <w:outlineLvl w:val="3"/>
        <w:rPr>
          <w:b/>
          <w:bCs/>
        </w:rPr>
      </w:pPr>
      <w:r w:rsidRPr="00311E9D">
        <w:rPr>
          <w:b/>
          <w:bCs/>
        </w:rPr>
        <w:t>3. GDPR 第33条：数据泄露通知 (Article 33: Notification of a Personal Data Breach)</w:t>
      </w:r>
    </w:p>
    <w:p w14:paraId="4CE58AD0" w14:textId="77777777" w:rsidR="00311E9D" w:rsidRPr="00311E9D" w:rsidRDefault="00311E9D" w:rsidP="00311E9D">
      <w:pPr>
        <w:spacing w:before="100" w:beforeAutospacing="1" w:after="100" w:afterAutospacing="1"/>
      </w:pPr>
      <w:r w:rsidRPr="00311E9D">
        <w:rPr>
          <w:b/>
          <w:bCs/>
        </w:rPr>
        <w:t>Why Applicable</w:t>
      </w:r>
      <w:r w:rsidRPr="00311E9D">
        <w:t>:</w:t>
      </w:r>
      <w:r w:rsidRPr="00311E9D">
        <w:br/>
        <w:t>Article 33 requires breaches to be reported to the supervisory authority (IMY) within 72 hours.</w:t>
      </w:r>
    </w:p>
    <w:p w14:paraId="1D0B2275" w14:textId="77777777" w:rsidR="00311E9D" w:rsidRPr="00311E9D" w:rsidRDefault="00311E9D" w:rsidP="00311E9D">
      <w:pPr>
        <w:numPr>
          <w:ilvl w:val="0"/>
          <w:numId w:val="56"/>
        </w:numPr>
        <w:spacing w:before="100" w:beforeAutospacing="1" w:after="100" w:afterAutospacing="1"/>
      </w:pPr>
      <w:r w:rsidRPr="00311E9D">
        <w:rPr>
          <w:b/>
          <w:bCs/>
        </w:rPr>
        <w:t>33(1)</w:t>
      </w:r>
      <w:r w:rsidRPr="00311E9D">
        <w:t>: Breach notifications must be timely.</w:t>
      </w:r>
    </w:p>
    <w:p w14:paraId="4F35B4A0" w14:textId="77777777" w:rsidR="00311E9D" w:rsidRPr="00311E9D" w:rsidRDefault="00311E9D" w:rsidP="00311E9D">
      <w:pPr>
        <w:numPr>
          <w:ilvl w:val="0"/>
          <w:numId w:val="56"/>
        </w:numPr>
        <w:spacing w:before="100" w:beforeAutospacing="1" w:after="100" w:afterAutospacing="1"/>
      </w:pPr>
      <w:r w:rsidRPr="00311E9D">
        <w:rPr>
          <w:b/>
          <w:bCs/>
        </w:rPr>
        <w:t>33(3)</w:t>
      </w:r>
      <w:r w:rsidRPr="00311E9D">
        <w:t>: Notifications should include the nature of the breach, data categories, and mitigation measures.</w:t>
      </w:r>
    </w:p>
    <w:p w14:paraId="5A5F3AF6" w14:textId="77777777" w:rsidR="00311E9D" w:rsidRPr="00311E9D" w:rsidRDefault="00311E9D" w:rsidP="00311E9D">
      <w:pPr>
        <w:numPr>
          <w:ilvl w:val="1"/>
          <w:numId w:val="56"/>
        </w:numPr>
        <w:spacing w:before="100" w:beforeAutospacing="1" w:after="100" w:afterAutospacing="1"/>
      </w:pPr>
      <w:r w:rsidRPr="00311E9D">
        <w:rPr>
          <w:b/>
          <w:bCs/>
        </w:rPr>
        <w:t>Violation</w:t>
      </w:r>
      <w:r w:rsidRPr="00311E9D">
        <w:t>: The organization failed to notify IMY within the required timeframe, delaying appropriate action.</w:t>
      </w:r>
      <w:r w:rsidRPr="00311E9D">
        <w:br/>
      </w:r>
      <w:r w:rsidRPr="00311E9D">
        <w:rPr>
          <w:i/>
          <w:iCs/>
        </w:rPr>
        <w:t>This delay increased risks to affected individuals.</w:t>
      </w:r>
    </w:p>
    <w:p w14:paraId="1265CB3B" w14:textId="77777777" w:rsidR="00311E9D" w:rsidRPr="00311E9D" w:rsidRDefault="00F81BAE" w:rsidP="00311E9D">
      <w:r w:rsidRPr="00311E9D">
        <w:rPr>
          <w:noProof/>
        </w:rPr>
        <w:pict w14:anchorId="169B7EB5">
          <v:rect id="_x0000_i1327" alt="" style="width:415.3pt;height:.05pt;mso-width-percent:0;mso-height-percent:0;mso-width-percent:0;mso-height-percent:0" o:hralign="center" o:hrstd="t" o:hr="t" fillcolor="#a0a0a0" stroked="f"/>
        </w:pict>
      </w:r>
    </w:p>
    <w:p w14:paraId="6632646F" w14:textId="77777777" w:rsidR="00311E9D" w:rsidRPr="00311E9D" w:rsidRDefault="00311E9D" w:rsidP="00311E9D">
      <w:pPr>
        <w:spacing w:before="100" w:beforeAutospacing="1" w:after="100" w:afterAutospacing="1"/>
        <w:outlineLvl w:val="3"/>
        <w:rPr>
          <w:b/>
          <w:bCs/>
        </w:rPr>
      </w:pPr>
      <w:r w:rsidRPr="00311E9D">
        <w:rPr>
          <w:b/>
          <w:bCs/>
        </w:rPr>
        <w:t>4. GDPR 第9条：特殊类别数据处理 (Article 9: Processing of Special Categories of Personal Data)</w:t>
      </w:r>
    </w:p>
    <w:p w14:paraId="3643D389" w14:textId="77777777" w:rsidR="00311E9D" w:rsidRPr="00311E9D" w:rsidRDefault="00311E9D" w:rsidP="00311E9D">
      <w:pPr>
        <w:spacing w:before="100" w:beforeAutospacing="1" w:after="100" w:afterAutospacing="1"/>
      </w:pPr>
      <w:r w:rsidRPr="00311E9D">
        <w:rPr>
          <w:b/>
          <w:bCs/>
        </w:rPr>
        <w:t>Why Applicable</w:t>
      </w:r>
      <w:r w:rsidRPr="00311E9D">
        <w:t>:</w:t>
      </w:r>
      <w:r w:rsidRPr="00311E9D">
        <w:br/>
        <w:t>Article 9 restricts the processing of sensitive data (e.g., health data) without explicit consent or legal justification.</w:t>
      </w:r>
    </w:p>
    <w:p w14:paraId="6317071C" w14:textId="77777777" w:rsidR="00311E9D" w:rsidRPr="00311E9D" w:rsidRDefault="00311E9D" w:rsidP="00311E9D">
      <w:pPr>
        <w:numPr>
          <w:ilvl w:val="0"/>
          <w:numId w:val="57"/>
        </w:numPr>
        <w:spacing w:before="100" w:beforeAutospacing="1" w:after="100" w:afterAutospacing="1"/>
      </w:pPr>
      <w:r w:rsidRPr="00311E9D">
        <w:rPr>
          <w:b/>
          <w:bCs/>
        </w:rPr>
        <w:lastRenderedPageBreak/>
        <w:t>Violation</w:t>
      </w:r>
      <w:r w:rsidRPr="00311E9D">
        <w:t>: The organization did not adequately safeguard sensitive health data, nor did it secure explicit consent.</w:t>
      </w:r>
      <w:r w:rsidRPr="00311E9D">
        <w:br/>
      </w:r>
      <w:r w:rsidRPr="00311E9D">
        <w:rPr>
          <w:i/>
          <w:iCs/>
        </w:rPr>
        <w:t>This breach exacerbates the severity of the incident.</w:t>
      </w:r>
    </w:p>
    <w:p w14:paraId="05789CEF" w14:textId="77777777" w:rsidR="00311E9D" w:rsidRPr="00311E9D" w:rsidRDefault="00F81BAE" w:rsidP="00311E9D">
      <w:r w:rsidRPr="00311E9D">
        <w:rPr>
          <w:noProof/>
        </w:rPr>
        <w:pict w14:anchorId="6C7F0CB6">
          <v:rect id="_x0000_i1326" alt="" style="width:415.3pt;height:.05pt;mso-width-percent:0;mso-height-percent:0;mso-width-percent:0;mso-height-percent:0" o:hralign="center" o:hrstd="t" o:hr="t" fillcolor="#a0a0a0" stroked="f"/>
        </w:pict>
      </w:r>
    </w:p>
    <w:p w14:paraId="7F29358B" w14:textId="77777777" w:rsidR="00311E9D" w:rsidRPr="00311E9D" w:rsidRDefault="00311E9D" w:rsidP="00311E9D">
      <w:pPr>
        <w:spacing w:before="100" w:beforeAutospacing="1" w:after="100" w:afterAutospacing="1"/>
        <w:outlineLvl w:val="3"/>
        <w:rPr>
          <w:b/>
          <w:bCs/>
        </w:rPr>
      </w:pPr>
      <w:r w:rsidRPr="00311E9D">
        <w:rPr>
          <w:b/>
          <w:bCs/>
        </w:rPr>
        <w:t>5. GDPR 第83条：行政罚款 (Article 83: Administrative Fines)</w:t>
      </w:r>
    </w:p>
    <w:p w14:paraId="6AF80297" w14:textId="77777777" w:rsidR="00311E9D" w:rsidRPr="00311E9D" w:rsidRDefault="00311E9D" w:rsidP="00311E9D">
      <w:pPr>
        <w:spacing w:before="100" w:beforeAutospacing="1" w:after="100" w:afterAutospacing="1"/>
      </w:pPr>
      <w:r w:rsidRPr="00311E9D">
        <w:rPr>
          <w:b/>
          <w:bCs/>
        </w:rPr>
        <w:t>Why Applicable</w:t>
      </w:r>
      <w:r w:rsidRPr="00311E9D">
        <w:t>:</w:t>
      </w:r>
      <w:r w:rsidRPr="00311E9D">
        <w:br/>
        <w:t>Article 83 empowers supervisory authorities to impose fines for GDPR violations, considering factors such as:</w:t>
      </w:r>
    </w:p>
    <w:p w14:paraId="478846AD" w14:textId="77777777" w:rsidR="00311E9D" w:rsidRPr="00311E9D" w:rsidRDefault="00311E9D" w:rsidP="00311E9D">
      <w:pPr>
        <w:numPr>
          <w:ilvl w:val="0"/>
          <w:numId w:val="58"/>
        </w:numPr>
        <w:spacing w:before="100" w:beforeAutospacing="1" w:after="100" w:afterAutospacing="1"/>
      </w:pPr>
      <w:r w:rsidRPr="00311E9D">
        <w:rPr>
          <w:b/>
          <w:bCs/>
        </w:rPr>
        <w:t>Nature, gravity, and duration of the infringement</w:t>
      </w:r>
      <w:r w:rsidRPr="00311E9D">
        <w:t>.</w:t>
      </w:r>
    </w:p>
    <w:p w14:paraId="520C435F" w14:textId="77777777" w:rsidR="00311E9D" w:rsidRPr="00311E9D" w:rsidRDefault="00311E9D" w:rsidP="00311E9D">
      <w:pPr>
        <w:numPr>
          <w:ilvl w:val="0"/>
          <w:numId w:val="58"/>
        </w:numPr>
        <w:spacing w:before="100" w:beforeAutospacing="1" w:after="100" w:afterAutospacing="1"/>
      </w:pPr>
      <w:r w:rsidRPr="00311E9D">
        <w:rPr>
          <w:b/>
          <w:bCs/>
        </w:rPr>
        <w:t>Type and volume of data affected</w:t>
      </w:r>
      <w:r w:rsidRPr="00311E9D">
        <w:t>.</w:t>
      </w:r>
    </w:p>
    <w:p w14:paraId="3B817C43" w14:textId="77777777" w:rsidR="00311E9D" w:rsidRPr="00311E9D" w:rsidRDefault="00311E9D" w:rsidP="00311E9D">
      <w:pPr>
        <w:numPr>
          <w:ilvl w:val="0"/>
          <w:numId w:val="58"/>
        </w:numPr>
        <w:spacing w:before="100" w:beforeAutospacing="1" w:after="100" w:afterAutospacing="1"/>
      </w:pPr>
      <w:r w:rsidRPr="00311E9D">
        <w:rPr>
          <w:b/>
          <w:bCs/>
        </w:rPr>
        <w:t>Mitigation efforts by the organization</w:t>
      </w:r>
      <w:r w:rsidRPr="00311E9D">
        <w:t>.</w:t>
      </w:r>
    </w:p>
    <w:p w14:paraId="7188EDA1" w14:textId="77777777" w:rsidR="00311E9D" w:rsidRPr="00311E9D" w:rsidRDefault="00311E9D" w:rsidP="00311E9D">
      <w:pPr>
        <w:spacing w:before="100" w:beforeAutospacing="1" w:after="100" w:afterAutospacing="1"/>
      </w:pPr>
      <w:r w:rsidRPr="00311E9D">
        <w:t>Given the mishandling of sensitive health data and the organization’s failure to mitigate risks, fines are appropriate.</w:t>
      </w:r>
    </w:p>
    <w:p w14:paraId="2D112AC8" w14:textId="77777777" w:rsidR="00311E9D" w:rsidRPr="00311E9D" w:rsidRDefault="00F81BAE" w:rsidP="00311E9D">
      <w:r w:rsidRPr="00311E9D">
        <w:rPr>
          <w:noProof/>
        </w:rPr>
        <w:pict w14:anchorId="169A50E5">
          <v:rect id="_x0000_i1325" alt="" style="width:415.3pt;height:.05pt;mso-width-percent:0;mso-height-percent:0;mso-width-percent:0;mso-height-percent:0" o:hralign="center" o:hrstd="t" o:hr="t" fillcolor="#a0a0a0" stroked="f"/>
        </w:pict>
      </w:r>
    </w:p>
    <w:p w14:paraId="06A306B6" w14:textId="77777777" w:rsidR="00311E9D" w:rsidRPr="00311E9D" w:rsidRDefault="00311E9D" w:rsidP="00311E9D">
      <w:pPr>
        <w:spacing w:before="100" w:beforeAutospacing="1" w:after="100" w:afterAutospacing="1"/>
        <w:outlineLvl w:val="2"/>
        <w:rPr>
          <w:b/>
          <w:bCs/>
          <w:sz w:val="27"/>
          <w:szCs w:val="27"/>
        </w:rPr>
      </w:pPr>
      <w:r w:rsidRPr="00311E9D">
        <w:rPr>
          <w:b/>
          <w:bCs/>
          <w:sz w:val="27"/>
          <w:szCs w:val="27"/>
        </w:rPr>
        <w:t>Analysis and Discussion</w:t>
      </w:r>
    </w:p>
    <w:p w14:paraId="3745359B" w14:textId="77777777" w:rsidR="00311E9D" w:rsidRPr="00311E9D" w:rsidRDefault="00311E9D" w:rsidP="00311E9D">
      <w:pPr>
        <w:spacing w:before="100" w:beforeAutospacing="1" w:after="100" w:afterAutospacing="1"/>
        <w:outlineLvl w:val="3"/>
        <w:rPr>
          <w:b/>
          <w:bCs/>
        </w:rPr>
      </w:pPr>
      <w:r w:rsidRPr="00311E9D">
        <w:rPr>
          <w:b/>
          <w:bCs/>
        </w:rPr>
        <w:t>4.1 数据泄露的严重性 (Severity of the Breach)</w:t>
      </w:r>
    </w:p>
    <w:p w14:paraId="75264BB4" w14:textId="77777777" w:rsidR="00311E9D" w:rsidRPr="00311E9D" w:rsidRDefault="00311E9D" w:rsidP="00311E9D">
      <w:pPr>
        <w:numPr>
          <w:ilvl w:val="0"/>
          <w:numId w:val="59"/>
        </w:numPr>
        <w:spacing w:before="100" w:beforeAutospacing="1" w:after="100" w:afterAutospacing="1"/>
      </w:pPr>
      <w:r w:rsidRPr="00311E9D">
        <w:rPr>
          <w:b/>
          <w:bCs/>
        </w:rPr>
        <w:t>Scope of the Breach</w:t>
      </w:r>
      <w:r w:rsidRPr="00311E9D">
        <w:t>: Sensitive health data for 252 patients and 3,000 rehabilitation attendees were exposed, posing significant risks.</w:t>
      </w:r>
    </w:p>
    <w:p w14:paraId="593334C5" w14:textId="77777777" w:rsidR="00311E9D" w:rsidRPr="00311E9D" w:rsidRDefault="00311E9D" w:rsidP="00311E9D">
      <w:pPr>
        <w:numPr>
          <w:ilvl w:val="0"/>
          <w:numId w:val="59"/>
        </w:numPr>
        <w:spacing w:before="100" w:beforeAutospacing="1" w:after="100" w:afterAutospacing="1"/>
      </w:pPr>
      <w:r w:rsidRPr="00311E9D">
        <w:rPr>
          <w:b/>
          <w:bCs/>
        </w:rPr>
        <w:t>Consequences</w:t>
      </w:r>
      <w:r w:rsidRPr="00311E9D">
        <w:t>: Potential stigmatization, discrimination, and psychological harm to affected individuals.</w:t>
      </w:r>
    </w:p>
    <w:p w14:paraId="1C7C577D" w14:textId="77777777" w:rsidR="00311E9D" w:rsidRPr="00311E9D" w:rsidRDefault="00311E9D" w:rsidP="00311E9D">
      <w:pPr>
        <w:spacing w:before="100" w:beforeAutospacing="1" w:after="100" w:afterAutospacing="1"/>
        <w:outlineLvl w:val="3"/>
        <w:rPr>
          <w:b/>
          <w:bCs/>
        </w:rPr>
      </w:pPr>
      <w:r w:rsidRPr="00311E9D">
        <w:rPr>
          <w:b/>
          <w:bCs/>
        </w:rPr>
        <w:t>4.2 组织责任 (Organizational Accountability)</w:t>
      </w:r>
    </w:p>
    <w:p w14:paraId="69351BCB" w14:textId="77777777" w:rsidR="00311E9D" w:rsidRPr="00311E9D" w:rsidRDefault="00311E9D" w:rsidP="00311E9D">
      <w:pPr>
        <w:spacing w:before="100" w:beforeAutospacing="1" w:after="100" w:afterAutospacing="1"/>
      </w:pPr>
      <w:r w:rsidRPr="00311E9D">
        <w:t>The organization failed to meet its obligations under GDPR to secure data, ensure transparency, and minimize risks, demonstrating serious negligence.</w:t>
      </w:r>
    </w:p>
    <w:p w14:paraId="35781C3B" w14:textId="77777777" w:rsidR="00311E9D" w:rsidRPr="00311E9D" w:rsidRDefault="00F81BAE" w:rsidP="00311E9D">
      <w:r w:rsidRPr="00311E9D">
        <w:rPr>
          <w:noProof/>
        </w:rPr>
        <w:pict w14:anchorId="0188A4FF">
          <v:rect id="_x0000_i1324" alt="" style="width:415.3pt;height:.05pt;mso-width-percent:0;mso-height-percent:0;mso-width-percent:0;mso-height-percent:0" o:hralign="center" o:hrstd="t" o:hr="t" fillcolor="#a0a0a0" stroked="f"/>
        </w:pict>
      </w:r>
    </w:p>
    <w:p w14:paraId="5BDFC2F9" w14:textId="77777777" w:rsidR="00311E9D" w:rsidRPr="00311E9D" w:rsidRDefault="00311E9D" w:rsidP="00311E9D">
      <w:pPr>
        <w:spacing w:before="100" w:beforeAutospacing="1" w:after="100" w:afterAutospacing="1"/>
        <w:outlineLvl w:val="2"/>
        <w:rPr>
          <w:b/>
          <w:bCs/>
          <w:sz w:val="27"/>
          <w:szCs w:val="27"/>
        </w:rPr>
      </w:pPr>
      <w:r w:rsidRPr="00311E9D">
        <w:rPr>
          <w:b/>
          <w:bCs/>
          <w:sz w:val="27"/>
          <w:szCs w:val="27"/>
        </w:rPr>
        <w:t>Decision and Recommendations</w:t>
      </w:r>
    </w:p>
    <w:p w14:paraId="3247A57F" w14:textId="77777777" w:rsidR="00311E9D" w:rsidRPr="00311E9D" w:rsidRDefault="00311E9D" w:rsidP="00311E9D">
      <w:pPr>
        <w:spacing w:before="100" w:beforeAutospacing="1" w:after="100" w:afterAutospacing="1"/>
        <w:outlineLvl w:val="3"/>
        <w:rPr>
          <w:b/>
          <w:bCs/>
        </w:rPr>
      </w:pPr>
      <w:r w:rsidRPr="00311E9D">
        <w:rPr>
          <w:b/>
          <w:bCs/>
        </w:rPr>
        <w:t>5.1 罚款 (Fines)</w:t>
      </w:r>
    </w:p>
    <w:p w14:paraId="01A4C737" w14:textId="77777777" w:rsidR="00311E9D" w:rsidRPr="00311E9D" w:rsidRDefault="00311E9D" w:rsidP="00311E9D">
      <w:pPr>
        <w:spacing w:before="100" w:beforeAutospacing="1" w:after="100" w:afterAutospacing="1"/>
      </w:pPr>
      <w:r w:rsidRPr="00311E9D">
        <w:lastRenderedPageBreak/>
        <w:t xml:space="preserve">Impose a fine of </w:t>
      </w:r>
      <w:r w:rsidRPr="00311E9D">
        <w:rPr>
          <w:b/>
          <w:bCs/>
        </w:rPr>
        <w:t>€500,000 to €1,000,000</w:t>
      </w:r>
      <w:r w:rsidRPr="00311E9D">
        <w:t xml:space="preserve"> based on the severity of the violations and the potential harm caused, as justified under GDPR Article 83.</w:t>
      </w:r>
    </w:p>
    <w:p w14:paraId="297B46CC" w14:textId="77777777" w:rsidR="00311E9D" w:rsidRPr="00311E9D" w:rsidRDefault="00311E9D" w:rsidP="00311E9D">
      <w:pPr>
        <w:spacing w:before="100" w:beforeAutospacing="1" w:after="100" w:afterAutospacing="1"/>
        <w:outlineLvl w:val="3"/>
        <w:rPr>
          <w:b/>
          <w:bCs/>
        </w:rPr>
      </w:pPr>
      <w:r w:rsidRPr="00311E9D">
        <w:rPr>
          <w:b/>
          <w:bCs/>
        </w:rPr>
        <w:t>5.2 改进措施 (Corrective Measures)</w:t>
      </w:r>
    </w:p>
    <w:p w14:paraId="7957D454" w14:textId="77777777" w:rsidR="00311E9D" w:rsidRPr="00311E9D" w:rsidRDefault="00311E9D" w:rsidP="00311E9D">
      <w:pPr>
        <w:numPr>
          <w:ilvl w:val="0"/>
          <w:numId w:val="60"/>
        </w:numPr>
        <w:spacing w:before="100" w:beforeAutospacing="1" w:after="100" w:afterAutospacing="1"/>
      </w:pPr>
      <w:r w:rsidRPr="00311E9D">
        <w:rPr>
          <w:b/>
          <w:bCs/>
        </w:rPr>
        <w:t>技术改进 (Technical Improvements)</w:t>
      </w:r>
      <w:r w:rsidRPr="00311E9D">
        <w:t>: Implement encryption and access controls.</w:t>
      </w:r>
    </w:p>
    <w:p w14:paraId="39798627" w14:textId="77777777" w:rsidR="00311E9D" w:rsidRPr="00311E9D" w:rsidRDefault="00311E9D" w:rsidP="00311E9D">
      <w:pPr>
        <w:numPr>
          <w:ilvl w:val="0"/>
          <w:numId w:val="60"/>
        </w:numPr>
        <w:spacing w:before="100" w:beforeAutospacing="1" w:after="100" w:afterAutospacing="1"/>
      </w:pPr>
      <w:r w:rsidRPr="00311E9D">
        <w:rPr>
          <w:b/>
          <w:bCs/>
        </w:rPr>
        <w:t>员工培训 (Staff Training)</w:t>
      </w:r>
      <w:r w:rsidRPr="00311E9D">
        <w:t>: Conduct regular training on GDPR compliance and data handling.</w:t>
      </w:r>
    </w:p>
    <w:p w14:paraId="061C49FB" w14:textId="77777777" w:rsidR="00311E9D" w:rsidRPr="00311E9D" w:rsidRDefault="00311E9D" w:rsidP="00311E9D">
      <w:pPr>
        <w:numPr>
          <w:ilvl w:val="0"/>
          <w:numId w:val="60"/>
        </w:numPr>
        <w:spacing w:before="100" w:beforeAutospacing="1" w:after="100" w:afterAutospacing="1"/>
      </w:pPr>
      <w:r w:rsidRPr="00311E9D">
        <w:rPr>
          <w:b/>
          <w:bCs/>
        </w:rPr>
        <w:t>数据最小化政策 (Data Minimization Policy)</w:t>
      </w:r>
      <w:r w:rsidRPr="00311E9D">
        <w:t>: Revise policies to limit unnecessary data processing.</w:t>
      </w:r>
    </w:p>
    <w:p w14:paraId="064EE46D" w14:textId="77777777" w:rsidR="00311E9D" w:rsidRPr="00311E9D" w:rsidRDefault="00311E9D" w:rsidP="00311E9D">
      <w:pPr>
        <w:numPr>
          <w:ilvl w:val="0"/>
          <w:numId w:val="60"/>
        </w:numPr>
        <w:spacing w:before="100" w:beforeAutospacing="1" w:after="100" w:afterAutospacing="1"/>
      </w:pPr>
      <w:r w:rsidRPr="00311E9D">
        <w:rPr>
          <w:b/>
          <w:bCs/>
        </w:rPr>
        <w:t>定期审计 (Regular Audits)</w:t>
      </w:r>
      <w:r w:rsidRPr="00311E9D">
        <w:t>: Conduct privacy and security audits to ensure compliance.</w:t>
      </w:r>
    </w:p>
    <w:p w14:paraId="1B9DCC97" w14:textId="77777777" w:rsidR="00311E9D" w:rsidRPr="00311E9D" w:rsidRDefault="00F81BAE" w:rsidP="00311E9D">
      <w:r w:rsidRPr="00311E9D">
        <w:rPr>
          <w:noProof/>
        </w:rPr>
        <w:pict w14:anchorId="373F8A51">
          <v:rect id="_x0000_i1323" alt="" style="width:415.3pt;height:.05pt;mso-width-percent:0;mso-height-percent:0;mso-width-percent:0;mso-height-percent:0" o:hralign="center" o:hrstd="t" o:hr="t" fillcolor="#a0a0a0" stroked="f"/>
        </w:pict>
      </w:r>
    </w:p>
    <w:p w14:paraId="0FBE9007" w14:textId="77777777" w:rsidR="00311E9D" w:rsidRPr="00311E9D" w:rsidRDefault="00311E9D" w:rsidP="00311E9D">
      <w:pPr>
        <w:spacing w:before="100" w:beforeAutospacing="1" w:after="100" w:afterAutospacing="1"/>
        <w:outlineLvl w:val="2"/>
        <w:rPr>
          <w:b/>
          <w:bCs/>
          <w:sz w:val="27"/>
          <w:szCs w:val="27"/>
        </w:rPr>
      </w:pPr>
      <w:r w:rsidRPr="00311E9D">
        <w:rPr>
          <w:b/>
          <w:bCs/>
          <w:sz w:val="27"/>
          <w:szCs w:val="27"/>
        </w:rPr>
        <w:t>Conclusion</w:t>
      </w:r>
    </w:p>
    <w:p w14:paraId="1CA827D9" w14:textId="77777777" w:rsidR="00311E9D" w:rsidRPr="00311E9D" w:rsidRDefault="00311E9D" w:rsidP="00311E9D">
      <w:pPr>
        <w:spacing w:before="100" w:beforeAutospacing="1" w:after="100" w:afterAutospacing="1"/>
      </w:pPr>
      <w:r w:rsidRPr="00311E9D">
        <w:t>Given the severity of the breach, the organization’s failure to protect sensitive data, and the potential harm to individuals, imposing fines and enforcing corrective measures are necessary. This aligns with GDPR’s goals of protecting personal data and ensuring transparency and security in data processing.</w:t>
      </w:r>
    </w:p>
    <w:p w14:paraId="1D16679F" w14:textId="40671157" w:rsidR="00EC780E" w:rsidRDefault="00EC780E" w:rsidP="00EC780E">
      <w:pPr>
        <w:spacing w:before="100" w:beforeAutospacing="1" w:after="100" w:afterAutospacing="1"/>
        <w:outlineLvl w:val="3"/>
        <w:rPr>
          <w:b/>
          <w:bCs/>
        </w:rPr>
      </w:pPr>
    </w:p>
    <w:p w14:paraId="24518456" w14:textId="2F33174F" w:rsidR="00671A70" w:rsidRDefault="00671A70" w:rsidP="00EC780E">
      <w:pPr>
        <w:spacing w:before="100" w:beforeAutospacing="1" w:after="100" w:afterAutospacing="1"/>
        <w:outlineLvl w:val="3"/>
        <w:rPr>
          <w:b/>
          <w:bCs/>
        </w:rPr>
      </w:pPr>
      <w:r w:rsidRPr="00671A70">
        <w:rPr>
          <w:rFonts w:hint="eastAsia"/>
          <w:b/>
          <w:bCs/>
          <w:highlight w:val="yellow"/>
        </w:rPr>
        <w:t>员工健康信息泄漏：</w:t>
      </w:r>
    </w:p>
    <w:p w14:paraId="0A5B611F" w14:textId="77777777" w:rsidR="00671A70" w:rsidRPr="00311E9D" w:rsidRDefault="00671A70" w:rsidP="00671A70">
      <w:pPr>
        <w:spacing w:before="100" w:beforeAutospacing="1" w:after="100" w:afterAutospacing="1"/>
        <w:outlineLvl w:val="2"/>
        <w:rPr>
          <w:b/>
          <w:bCs/>
          <w:sz w:val="27"/>
          <w:szCs w:val="27"/>
        </w:rPr>
      </w:pPr>
      <w:r w:rsidRPr="00311E9D">
        <w:rPr>
          <w:b/>
          <w:bCs/>
          <w:sz w:val="27"/>
          <w:szCs w:val="27"/>
        </w:rPr>
        <w:t>Legal Basis for Imposing Fines and Justification</w:t>
      </w:r>
    </w:p>
    <w:p w14:paraId="6EA9A279" w14:textId="68F87D99" w:rsidR="00671A70" w:rsidRDefault="00671A70" w:rsidP="00671A70">
      <w:pPr>
        <w:spacing w:before="100" w:beforeAutospacing="1" w:after="100" w:afterAutospacing="1"/>
      </w:pPr>
      <w:r w:rsidRPr="00311E9D">
        <w:t xml:space="preserve">The </w:t>
      </w:r>
      <w:r>
        <w:rPr>
          <w:rFonts w:hint="eastAsia"/>
        </w:rPr>
        <w:t>。。。</w:t>
      </w:r>
      <w:r w:rsidRPr="00311E9D">
        <w:t xml:space="preserve">has committed serious violations under the </w:t>
      </w:r>
      <w:r w:rsidRPr="00311E9D">
        <w:rPr>
          <w:b/>
          <w:bCs/>
        </w:rPr>
        <w:t>General Data Protection Regulation (GDPR)</w:t>
      </w:r>
      <w:r w:rsidRPr="00311E9D">
        <w:t>, specifically regarding the mishandling of sensitive health data. Fines are justified based on the following legal provisions and their relevance to the case:</w:t>
      </w:r>
    </w:p>
    <w:p w14:paraId="03C411BE" w14:textId="77777777" w:rsidR="00671A70" w:rsidRPr="00671A70" w:rsidRDefault="00671A70" w:rsidP="00671A70">
      <w:pPr>
        <w:spacing w:before="100" w:beforeAutospacing="1" w:after="100" w:afterAutospacing="1"/>
        <w:outlineLvl w:val="2"/>
        <w:rPr>
          <w:b/>
          <w:bCs/>
          <w:sz w:val="27"/>
          <w:szCs w:val="27"/>
        </w:rPr>
      </w:pPr>
      <w:r w:rsidRPr="00671A70">
        <w:rPr>
          <w:b/>
          <w:bCs/>
          <w:sz w:val="27"/>
          <w:szCs w:val="27"/>
        </w:rPr>
        <w:t>Analysis under GDPR: Imposing Fines on H&amp;N</w:t>
      </w:r>
    </w:p>
    <w:p w14:paraId="13E9578E" w14:textId="77777777" w:rsidR="00671A70" w:rsidRPr="00671A70" w:rsidRDefault="00671A70" w:rsidP="00671A70">
      <w:pPr>
        <w:spacing w:before="100" w:beforeAutospacing="1" w:after="100" w:afterAutospacing="1"/>
        <w:outlineLvl w:val="2"/>
        <w:rPr>
          <w:b/>
          <w:bCs/>
          <w:sz w:val="27"/>
          <w:szCs w:val="27"/>
        </w:rPr>
      </w:pPr>
      <w:r w:rsidRPr="00671A70">
        <w:rPr>
          <w:b/>
          <w:bCs/>
          <w:sz w:val="27"/>
          <w:szCs w:val="27"/>
        </w:rPr>
        <w:t>根据GDPR的分析：对H&amp;N公司罚款的依据</w:t>
      </w:r>
    </w:p>
    <w:p w14:paraId="79D09888" w14:textId="77777777" w:rsidR="00671A70" w:rsidRPr="00671A70" w:rsidRDefault="00F81BAE" w:rsidP="00671A70">
      <w:r w:rsidRPr="00671A70">
        <w:rPr>
          <w:noProof/>
        </w:rPr>
        <w:pict w14:anchorId="31AE6036">
          <v:rect id="_x0000_i1322" alt="" style="width:415.3pt;height:.05pt;mso-width-percent:0;mso-height-percent:0;mso-width-percent:0;mso-height-percent:0" o:hralign="center" o:hrstd="t" o:hr="t" fillcolor="#a0a0a0" stroked="f"/>
        </w:pict>
      </w:r>
    </w:p>
    <w:p w14:paraId="52789137" w14:textId="77777777" w:rsidR="00671A70" w:rsidRPr="00671A70" w:rsidRDefault="00671A70" w:rsidP="00671A70">
      <w:pPr>
        <w:spacing w:before="100" w:beforeAutospacing="1" w:after="100" w:afterAutospacing="1"/>
        <w:outlineLvl w:val="3"/>
        <w:rPr>
          <w:b/>
          <w:bCs/>
        </w:rPr>
      </w:pPr>
      <w:r w:rsidRPr="00671A70">
        <w:rPr>
          <w:b/>
          <w:bCs/>
        </w:rPr>
        <w:lastRenderedPageBreak/>
        <w:t>1. Violations of GDPR Provisions</w:t>
      </w:r>
    </w:p>
    <w:p w14:paraId="7667D5E6" w14:textId="77777777" w:rsidR="00671A70" w:rsidRPr="00671A70" w:rsidRDefault="00671A70" w:rsidP="00671A70">
      <w:pPr>
        <w:spacing w:before="100" w:beforeAutospacing="1" w:after="100" w:afterAutospacing="1"/>
        <w:outlineLvl w:val="3"/>
        <w:rPr>
          <w:b/>
          <w:bCs/>
        </w:rPr>
      </w:pPr>
      <w:r w:rsidRPr="00671A70">
        <w:rPr>
          <w:b/>
          <w:bCs/>
        </w:rPr>
        <w:t>1. GDPR条款的违规情况</w:t>
      </w:r>
    </w:p>
    <w:p w14:paraId="0885E07A" w14:textId="77777777" w:rsidR="00671A70" w:rsidRPr="00671A70" w:rsidRDefault="00671A70" w:rsidP="00671A70">
      <w:pPr>
        <w:spacing w:before="100" w:beforeAutospacing="1" w:after="100" w:afterAutospacing="1"/>
        <w:outlineLvl w:val="4"/>
        <w:rPr>
          <w:b/>
          <w:bCs/>
          <w:sz w:val="20"/>
          <w:szCs w:val="20"/>
        </w:rPr>
      </w:pPr>
      <w:r w:rsidRPr="00671A70">
        <w:rPr>
          <w:b/>
          <w:bCs/>
          <w:sz w:val="20"/>
          <w:szCs w:val="20"/>
        </w:rPr>
        <w:t>1.1. Processing of Special Categories of Data</w:t>
      </w:r>
    </w:p>
    <w:p w14:paraId="13016ED5" w14:textId="77777777" w:rsidR="00671A70" w:rsidRPr="00671A70" w:rsidRDefault="00671A70" w:rsidP="00671A70">
      <w:pPr>
        <w:spacing w:before="100" w:beforeAutospacing="1" w:after="100" w:afterAutospacing="1"/>
        <w:outlineLvl w:val="4"/>
        <w:rPr>
          <w:b/>
          <w:bCs/>
          <w:sz w:val="20"/>
          <w:szCs w:val="20"/>
        </w:rPr>
      </w:pPr>
      <w:r w:rsidRPr="00671A70">
        <w:rPr>
          <w:b/>
          <w:bCs/>
          <w:sz w:val="20"/>
          <w:szCs w:val="20"/>
        </w:rPr>
        <w:t>1.1. 特殊类别数据的处理</w:t>
      </w:r>
    </w:p>
    <w:p w14:paraId="390591EF" w14:textId="77777777" w:rsidR="00671A70" w:rsidRPr="00671A70" w:rsidRDefault="00671A70" w:rsidP="00671A70">
      <w:pPr>
        <w:numPr>
          <w:ilvl w:val="0"/>
          <w:numId w:val="75"/>
        </w:numPr>
        <w:spacing w:before="100" w:beforeAutospacing="1" w:after="100" w:afterAutospacing="1"/>
      </w:pPr>
      <w:r w:rsidRPr="00671A70">
        <w:rPr>
          <w:b/>
          <w:bCs/>
        </w:rPr>
        <w:t>GDPR Article 9(1)</w:t>
      </w:r>
      <w:r w:rsidRPr="00671A70">
        <w:t xml:space="preserve">: Health data is classified as a special category of personal data. Its processing is prohibited unless specific exceptions apply, such as </w:t>
      </w:r>
      <w:r w:rsidRPr="00671A70">
        <w:rPr>
          <w:b/>
          <w:bCs/>
        </w:rPr>
        <w:t>explicit consent</w:t>
      </w:r>
      <w:r w:rsidRPr="00671A70">
        <w:t xml:space="preserve"> or </w:t>
      </w:r>
      <w:r w:rsidRPr="00671A70">
        <w:rPr>
          <w:b/>
          <w:bCs/>
        </w:rPr>
        <w:t>necessary for employment purposes</w:t>
      </w:r>
      <w:r w:rsidRPr="00671A70">
        <w:t xml:space="preserve"> under </w:t>
      </w:r>
      <w:r w:rsidRPr="00671A70">
        <w:rPr>
          <w:b/>
          <w:bCs/>
        </w:rPr>
        <w:t>Article 9(2)(b)</w:t>
      </w:r>
      <w:r w:rsidRPr="00671A70">
        <w:t>.</w:t>
      </w:r>
      <w:r w:rsidRPr="00671A70">
        <w:br/>
      </w:r>
      <w:r w:rsidRPr="00671A70">
        <w:rPr>
          <w:b/>
          <w:bCs/>
        </w:rPr>
        <w:t>GDPR第9(1)条</w:t>
      </w:r>
      <w:r w:rsidRPr="00671A70">
        <w:t>：健康数据属于特殊类别的个人数据。除非满足特定例外，例如根据</w:t>
      </w:r>
      <w:r w:rsidRPr="00671A70">
        <w:rPr>
          <w:b/>
          <w:bCs/>
        </w:rPr>
        <w:t>第9(2)(</w:t>
      </w:r>
      <w:proofErr w:type="gramStart"/>
      <w:r w:rsidRPr="00671A70">
        <w:rPr>
          <w:b/>
          <w:bCs/>
        </w:rPr>
        <w:t>b)条</w:t>
      </w:r>
      <w:r w:rsidRPr="00671A70">
        <w:t>的</w:t>
      </w:r>
      <w:r w:rsidRPr="00671A70">
        <w:rPr>
          <w:b/>
          <w:bCs/>
        </w:rPr>
        <w:t>明确同意</w:t>
      </w:r>
      <w:r w:rsidRPr="00671A70">
        <w:t>或</w:t>
      </w:r>
      <w:r w:rsidRPr="00671A70">
        <w:rPr>
          <w:b/>
          <w:bCs/>
        </w:rPr>
        <w:t>出于就业目的的必要性</w:t>
      </w:r>
      <w:proofErr w:type="gramEnd"/>
      <w:r w:rsidRPr="00671A70">
        <w:t>，否则禁止处理此类数据。</w:t>
      </w:r>
    </w:p>
    <w:p w14:paraId="25BC4C47" w14:textId="77777777" w:rsidR="00671A70" w:rsidRPr="00671A70" w:rsidRDefault="00671A70" w:rsidP="00671A70">
      <w:pPr>
        <w:numPr>
          <w:ilvl w:val="0"/>
          <w:numId w:val="75"/>
        </w:numPr>
        <w:spacing w:before="100" w:beforeAutospacing="1" w:after="100" w:afterAutospacing="1"/>
      </w:pPr>
      <w:r w:rsidRPr="00671A70">
        <w:rPr>
          <w:b/>
          <w:bCs/>
        </w:rPr>
        <w:t>Violation</w:t>
      </w:r>
      <w:r w:rsidRPr="00671A70">
        <w:t>: H&amp;N processed Ellen's sensitive health data without ensuring sufficient legal safeguards or explicit consent for purposes beyond managing her sick leave (e.g., using health data in promotion decisions).</w:t>
      </w:r>
      <w:r w:rsidRPr="00671A70">
        <w:br/>
      </w:r>
      <w:r w:rsidRPr="00671A70">
        <w:rPr>
          <w:b/>
          <w:bCs/>
        </w:rPr>
        <w:t>违规</w:t>
      </w:r>
      <w:r w:rsidRPr="00671A70">
        <w:t>：H&amp;N未经充分法律保障或明确同意就处理了Ellen的敏感健康数据，且数据用途超出了病假管理（如用于升职决策）。</w:t>
      </w:r>
    </w:p>
    <w:p w14:paraId="43C6FA16" w14:textId="77777777" w:rsidR="00671A70" w:rsidRPr="00671A70" w:rsidRDefault="00671A70" w:rsidP="00671A70">
      <w:pPr>
        <w:spacing w:before="100" w:beforeAutospacing="1" w:after="100" w:afterAutospacing="1"/>
        <w:outlineLvl w:val="4"/>
        <w:rPr>
          <w:b/>
          <w:bCs/>
          <w:sz w:val="20"/>
          <w:szCs w:val="20"/>
        </w:rPr>
      </w:pPr>
      <w:r w:rsidRPr="00671A70">
        <w:rPr>
          <w:b/>
          <w:bCs/>
          <w:sz w:val="20"/>
          <w:szCs w:val="20"/>
        </w:rPr>
        <w:t>1.2. Data Minimization Principle</w:t>
      </w:r>
    </w:p>
    <w:p w14:paraId="437503F8" w14:textId="77777777" w:rsidR="00671A70" w:rsidRPr="00671A70" w:rsidRDefault="00671A70" w:rsidP="00671A70">
      <w:pPr>
        <w:spacing w:before="100" w:beforeAutospacing="1" w:after="100" w:afterAutospacing="1"/>
        <w:outlineLvl w:val="4"/>
        <w:rPr>
          <w:b/>
          <w:bCs/>
          <w:sz w:val="20"/>
          <w:szCs w:val="20"/>
        </w:rPr>
      </w:pPr>
      <w:r w:rsidRPr="00671A70">
        <w:rPr>
          <w:b/>
          <w:bCs/>
          <w:sz w:val="20"/>
          <w:szCs w:val="20"/>
        </w:rPr>
        <w:t>1.2. 数据最小化原则</w:t>
      </w:r>
    </w:p>
    <w:p w14:paraId="7B262319" w14:textId="77777777" w:rsidR="00671A70" w:rsidRPr="00671A70" w:rsidRDefault="00671A70" w:rsidP="00671A70">
      <w:pPr>
        <w:numPr>
          <w:ilvl w:val="0"/>
          <w:numId w:val="76"/>
        </w:numPr>
        <w:spacing w:before="100" w:beforeAutospacing="1" w:after="100" w:afterAutospacing="1"/>
      </w:pPr>
      <w:r w:rsidRPr="00671A70">
        <w:rPr>
          <w:b/>
          <w:bCs/>
        </w:rPr>
        <w:t>GDPR Article 5(1)(c)</w:t>
      </w:r>
      <w:r w:rsidRPr="00671A70">
        <w:t>: Personal data must be adequate, relevant, and limited to what is necessary for the purposes for which it is processed.</w:t>
      </w:r>
      <w:r w:rsidRPr="00671A70">
        <w:br/>
      </w:r>
      <w:r w:rsidRPr="00671A70">
        <w:rPr>
          <w:b/>
          <w:bCs/>
        </w:rPr>
        <w:t>GDPR第5(1)(</w:t>
      </w:r>
      <w:proofErr w:type="gramStart"/>
      <w:r w:rsidRPr="00671A70">
        <w:rPr>
          <w:b/>
          <w:bCs/>
        </w:rPr>
        <w:t>c)条</w:t>
      </w:r>
      <w:proofErr w:type="gramEnd"/>
      <w:r w:rsidRPr="00671A70">
        <w:t>：个人数据应当是充分、相关且仅限于处理目的所必需的。</w:t>
      </w:r>
    </w:p>
    <w:p w14:paraId="011D6667" w14:textId="77777777" w:rsidR="00671A70" w:rsidRPr="00671A70" w:rsidRDefault="00671A70" w:rsidP="00671A70">
      <w:pPr>
        <w:numPr>
          <w:ilvl w:val="0"/>
          <w:numId w:val="76"/>
        </w:numPr>
        <w:spacing w:before="100" w:beforeAutospacing="1" w:after="100" w:afterAutospacing="1"/>
      </w:pPr>
      <w:r w:rsidRPr="00671A70">
        <w:rPr>
          <w:b/>
          <w:bCs/>
        </w:rPr>
        <w:t>Violation</w:t>
      </w:r>
      <w:r w:rsidRPr="00671A70">
        <w:t>: The inclusion of detailed information about Ellen’s mental health and spontaneous disclosures into the absenteeism register goes beyond what is necessary for managing absences.</w:t>
      </w:r>
      <w:r w:rsidRPr="00671A70">
        <w:br/>
      </w:r>
      <w:r w:rsidRPr="00671A70">
        <w:rPr>
          <w:b/>
          <w:bCs/>
        </w:rPr>
        <w:t>违规</w:t>
      </w:r>
      <w:r w:rsidRPr="00671A70">
        <w:t>：将Ellen的心理健康详细信息和她的自发披露记录在缺勤登记中，超出了缺勤管理所需的范围。</w:t>
      </w:r>
    </w:p>
    <w:p w14:paraId="5FEE3BAF" w14:textId="77777777" w:rsidR="00671A70" w:rsidRPr="00671A70" w:rsidRDefault="00671A70" w:rsidP="00671A70">
      <w:pPr>
        <w:spacing w:before="100" w:beforeAutospacing="1" w:after="100" w:afterAutospacing="1"/>
        <w:outlineLvl w:val="4"/>
        <w:rPr>
          <w:b/>
          <w:bCs/>
          <w:sz w:val="20"/>
          <w:szCs w:val="20"/>
        </w:rPr>
      </w:pPr>
      <w:r w:rsidRPr="00671A70">
        <w:rPr>
          <w:b/>
          <w:bCs/>
          <w:sz w:val="20"/>
          <w:szCs w:val="20"/>
        </w:rPr>
        <w:t>1.3. Security of Processing</w:t>
      </w:r>
    </w:p>
    <w:p w14:paraId="5174803E" w14:textId="77777777" w:rsidR="00671A70" w:rsidRPr="00671A70" w:rsidRDefault="00671A70" w:rsidP="00671A70">
      <w:pPr>
        <w:spacing w:before="100" w:beforeAutospacing="1" w:after="100" w:afterAutospacing="1"/>
        <w:outlineLvl w:val="4"/>
        <w:rPr>
          <w:b/>
          <w:bCs/>
          <w:sz w:val="20"/>
          <w:szCs w:val="20"/>
        </w:rPr>
      </w:pPr>
      <w:r w:rsidRPr="00671A70">
        <w:rPr>
          <w:b/>
          <w:bCs/>
          <w:sz w:val="20"/>
          <w:szCs w:val="20"/>
        </w:rPr>
        <w:t>1.3. 数据处理的安全性</w:t>
      </w:r>
    </w:p>
    <w:p w14:paraId="7D689D64" w14:textId="77777777" w:rsidR="00671A70" w:rsidRPr="00671A70" w:rsidRDefault="00671A70" w:rsidP="00671A70">
      <w:pPr>
        <w:numPr>
          <w:ilvl w:val="0"/>
          <w:numId w:val="77"/>
        </w:numPr>
        <w:spacing w:before="100" w:beforeAutospacing="1" w:after="100" w:afterAutospacing="1"/>
      </w:pPr>
      <w:r w:rsidRPr="00671A70">
        <w:rPr>
          <w:b/>
          <w:bCs/>
        </w:rPr>
        <w:t>GDPR Article 32(1)</w:t>
      </w:r>
      <w:r w:rsidRPr="00671A70">
        <w:t>: Data controllers and processors must implement appropriate technical and organizational measures to ensure the security of personal data.</w:t>
      </w:r>
      <w:r w:rsidRPr="00671A70">
        <w:br/>
      </w:r>
      <w:r w:rsidRPr="00671A70">
        <w:rPr>
          <w:b/>
          <w:bCs/>
        </w:rPr>
        <w:lastRenderedPageBreak/>
        <w:t>GDPR第32(1)条</w:t>
      </w:r>
      <w:r w:rsidRPr="00671A70">
        <w:t>：数据控制者和处理者必须实施适当的技术和组织措施，以确保个人数据的安全。</w:t>
      </w:r>
    </w:p>
    <w:p w14:paraId="316B017C" w14:textId="77777777" w:rsidR="00671A70" w:rsidRPr="00671A70" w:rsidRDefault="00671A70" w:rsidP="00671A70">
      <w:pPr>
        <w:numPr>
          <w:ilvl w:val="0"/>
          <w:numId w:val="77"/>
        </w:numPr>
        <w:spacing w:before="100" w:beforeAutospacing="1" w:after="100" w:afterAutospacing="1"/>
      </w:pPr>
      <w:r w:rsidRPr="00671A70">
        <w:rPr>
          <w:b/>
          <w:bCs/>
        </w:rPr>
        <w:t>Violation</w:t>
      </w:r>
      <w:r w:rsidRPr="00671A70">
        <w:t>: H&amp;N’s absenteeism register was accessible online without proper authentication, leaving it vulnerable to unauthorized access and a subsequent data breach.</w:t>
      </w:r>
      <w:r w:rsidRPr="00671A70">
        <w:br/>
      </w:r>
      <w:r w:rsidRPr="00671A70">
        <w:rPr>
          <w:b/>
          <w:bCs/>
        </w:rPr>
        <w:t>违规</w:t>
      </w:r>
      <w:r w:rsidRPr="00671A70">
        <w:t>：H&amp;N的缺勤登记可在线访问，但没有适当的认证措施，导致未经授权的访问和随后的数据泄露。</w:t>
      </w:r>
    </w:p>
    <w:p w14:paraId="7124CB22" w14:textId="77777777" w:rsidR="00671A70" w:rsidRPr="00671A70" w:rsidRDefault="00671A70" w:rsidP="00671A70">
      <w:pPr>
        <w:spacing w:before="100" w:beforeAutospacing="1" w:after="100" w:afterAutospacing="1"/>
        <w:outlineLvl w:val="4"/>
        <w:rPr>
          <w:b/>
          <w:bCs/>
          <w:sz w:val="20"/>
          <w:szCs w:val="20"/>
        </w:rPr>
      </w:pPr>
      <w:r w:rsidRPr="00671A70">
        <w:rPr>
          <w:b/>
          <w:bCs/>
          <w:sz w:val="20"/>
          <w:szCs w:val="20"/>
        </w:rPr>
        <w:t>1.4. Accountability and Transparency</w:t>
      </w:r>
    </w:p>
    <w:p w14:paraId="2B91D66E" w14:textId="77777777" w:rsidR="00671A70" w:rsidRPr="00671A70" w:rsidRDefault="00671A70" w:rsidP="00671A70">
      <w:pPr>
        <w:spacing w:before="100" w:beforeAutospacing="1" w:after="100" w:afterAutospacing="1"/>
        <w:outlineLvl w:val="4"/>
        <w:rPr>
          <w:b/>
          <w:bCs/>
          <w:sz w:val="20"/>
          <w:szCs w:val="20"/>
        </w:rPr>
      </w:pPr>
      <w:r w:rsidRPr="00671A70">
        <w:rPr>
          <w:b/>
          <w:bCs/>
          <w:sz w:val="20"/>
          <w:szCs w:val="20"/>
        </w:rPr>
        <w:t>1.4. 责任与透明性</w:t>
      </w:r>
    </w:p>
    <w:p w14:paraId="14DC1633" w14:textId="77777777" w:rsidR="00671A70" w:rsidRPr="00671A70" w:rsidRDefault="00671A70" w:rsidP="00671A70">
      <w:pPr>
        <w:numPr>
          <w:ilvl w:val="0"/>
          <w:numId w:val="78"/>
        </w:numPr>
        <w:spacing w:before="100" w:beforeAutospacing="1" w:after="100" w:afterAutospacing="1"/>
      </w:pPr>
      <w:r w:rsidRPr="00671A70">
        <w:rPr>
          <w:b/>
          <w:bCs/>
        </w:rPr>
        <w:t>GDPR Article 5(2)</w:t>
      </w:r>
      <w:r w:rsidRPr="00671A70">
        <w:t>: Data controllers must demonstrate compliance with GDPR principles.</w:t>
      </w:r>
      <w:r w:rsidRPr="00671A70">
        <w:br/>
      </w:r>
      <w:r w:rsidRPr="00671A70">
        <w:rPr>
          <w:b/>
          <w:bCs/>
        </w:rPr>
        <w:t>GDPR第5(2)条</w:t>
      </w:r>
      <w:r w:rsidRPr="00671A70">
        <w:t>：数据控制者必须证明其遵守了GDPR原则。</w:t>
      </w:r>
    </w:p>
    <w:p w14:paraId="5A4C6D01" w14:textId="77777777" w:rsidR="00671A70" w:rsidRPr="00671A70" w:rsidRDefault="00671A70" w:rsidP="00671A70">
      <w:pPr>
        <w:numPr>
          <w:ilvl w:val="0"/>
          <w:numId w:val="78"/>
        </w:numPr>
        <w:spacing w:before="100" w:beforeAutospacing="1" w:after="100" w:afterAutospacing="1"/>
      </w:pPr>
      <w:r w:rsidRPr="00671A70">
        <w:rPr>
          <w:b/>
          <w:bCs/>
        </w:rPr>
        <w:t>Violation</w:t>
      </w:r>
      <w:r w:rsidRPr="00671A70">
        <w:t>: H&amp;N failed to ensure secure and transparent data processing practices, as evidenced by the absence of robust security measures and the lack of clear communication regarding data access and use.</w:t>
      </w:r>
      <w:r w:rsidRPr="00671A70">
        <w:br/>
      </w:r>
      <w:r w:rsidRPr="00671A70">
        <w:rPr>
          <w:b/>
          <w:bCs/>
        </w:rPr>
        <w:t>违规</w:t>
      </w:r>
      <w:r w:rsidRPr="00671A70">
        <w:t>：H&amp;N未能确保安全和透明的数据处理实践，缺乏强有力的安全措施，也未清楚告知数据访问和使用的相关情况。</w:t>
      </w:r>
    </w:p>
    <w:p w14:paraId="40FEAE55" w14:textId="77777777" w:rsidR="00671A70" w:rsidRPr="00671A70" w:rsidRDefault="00671A70" w:rsidP="00671A70">
      <w:pPr>
        <w:spacing w:before="100" w:beforeAutospacing="1" w:after="100" w:afterAutospacing="1"/>
        <w:outlineLvl w:val="4"/>
        <w:rPr>
          <w:b/>
          <w:bCs/>
          <w:sz w:val="20"/>
          <w:szCs w:val="20"/>
        </w:rPr>
      </w:pPr>
      <w:r w:rsidRPr="00671A70">
        <w:rPr>
          <w:b/>
          <w:bCs/>
          <w:sz w:val="20"/>
          <w:szCs w:val="20"/>
        </w:rPr>
        <w:t>1.5. Breach Notification</w:t>
      </w:r>
    </w:p>
    <w:p w14:paraId="0572CD19" w14:textId="77777777" w:rsidR="00671A70" w:rsidRPr="00671A70" w:rsidRDefault="00671A70" w:rsidP="00671A70">
      <w:pPr>
        <w:spacing w:before="100" w:beforeAutospacing="1" w:after="100" w:afterAutospacing="1"/>
        <w:outlineLvl w:val="4"/>
        <w:rPr>
          <w:b/>
          <w:bCs/>
          <w:sz w:val="20"/>
          <w:szCs w:val="20"/>
        </w:rPr>
      </w:pPr>
      <w:r w:rsidRPr="00671A70">
        <w:rPr>
          <w:b/>
          <w:bCs/>
          <w:sz w:val="20"/>
          <w:szCs w:val="20"/>
        </w:rPr>
        <w:t>1.5. 数据泄露通知</w:t>
      </w:r>
    </w:p>
    <w:p w14:paraId="2032DFDF" w14:textId="77777777" w:rsidR="00671A70" w:rsidRPr="00671A70" w:rsidRDefault="00671A70" w:rsidP="00671A70">
      <w:pPr>
        <w:numPr>
          <w:ilvl w:val="0"/>
          <w:numId w:val="79"/>
        </w:numPr>
        <w:spacing w:before="100" w:beforeAutospacing="1" w:after="100" w:afterAutospacing="1"/>
      </w:pPr>
      <w:r w:rsidRPr="00671A70">
        <w:rPr>
          <w:b/>
          <w:bCs/>
        </w:rPr>
        <w:t>GDPR Article 33</w:t>
      </w:r>
      <w:r w:rsidRPr="00671A70">
        <w:t>: Requires that a personal data breach be reported to the relevant supervisory authority within 72 hours if it poses risks to data subjects' rights and freedoms.</w:t>
      </w:r>
      <w:r w:rsidRPr="00671A70">
        <w:br/>
      </w:r>
      <w:r w:rsidRPr="00671A70">
        <w:rPr>
          <w:b/>
          <w:bCs/>
        </w:rPr>
        <w:t>GDPR第33条</w:t>
      </w:r>
      <w:r w:rsidRPr="00671A70">
        <w:t>：如果个人数据泄露对数据主体的权利和自由构成风险，应在72小时内向相关监督机构报告。</w:t>
      </w:r>
    </w:p>
    <w:p w14:paraId="5AC332CB" w14:textId="77777777" w:rsidR="00671A70" w:rsidRPr="00671A70" w:rsidRDefault="00671A70" w:rsidP="00671A70">
      <w:pPr>
        <w:numPr>
          <w:ilvl w:val="0"/>
          <w:numId w:val="79"/>
        </w:numPr>
        <w:spacing w:before="100" w:beforeAutospacing="1" w:after="100" w:afterAutospacing="1"/>
      </w:pPr>
      <w:r w:rsidRPr="00671A70">
        <w:rPr>
          <w:b/>
          <w:bCs/>
        </w:rPr>
        <w:t>GDPR Article 34</w:t>
      </w:r>
      <w:r w:rsidRPr="00671A70">
        <w:t>: Requires notification to affected individuals if the breach is likely to result in high risk to their rights and freedoms.</w:t>
      </w:r>
      <w:r w:rsidRPr="00671A70">
        <w:br/>
      </w:r>
      <w:r w:rsidRPr="00671A70">
        <w:rPr>
          <w:b/>
          <w:bCs/>
        </w:rPr>
        <w:t>GDPR第34条</w:t>
      </w:r>
      <w:r w:rsidRPr="00671A70">
        <w:t>：如果泄露可能对数据主体的权利和自由造成高风险，应通知受影响的个人。</w:t>
      </w:r>
    </w:p>
    <w:p w14:paraId="0D808C36" w14:textId="77777777" w:rsidR="00671A70" w:rsidRPr="00671A70" w:rsidRDefault="00671A70" w:rsidP="00671A70">
      <w:pPr>
        <w:numPr>
          <w:ilvl w:val="0"/>
          <w:numId w:val="79"/>
        </w:numPr>
        <w:spacing w:before="100" w:beforeAutospacing="1" w:after="100" w:afterAutospacing="1"/>
      </w:pPr>
      <w:r w:rsidRPr="00671A70">
        <w:rPr>
          <w:b/>
          <w:bCs/>
        </w:rPr>
        <w:t>Violation</w:t>
      </w:r>
      <w:r w:rsidRPr="00671A70">
        <w:t>: There is no indication that H&amp;N promptly reported the data breach to the DPA or notified Ellen and other affected employees.</w:t>
      </w:r>
      <w:r w:rsidRPr="00671A70">
        <w:br/>
      </w:r>
      <w:r w:rsidRPr="00671A70">
        <w:rPr>
          <w:b/>
          <w:bCs/>
        </w:rPr>
        <w:t>违规</w:t>
      </w:r>
      <w:r w:rsidRPr="00671A70">
        <w:t>：没有迹象表明H&amp;N及时向数据保护机构（DPA）报告了数据泄露，也未通知Ellen和其他受影响的员工。</w:t>
      </w:r>
    </w:p>
    <w:p w14:paraId="178FADC4" w14:textId="77777777" w:rsidR="00671A70" w:rsidRPr="00671A70" w:rsidRDefault="00F81BAE" w:rsidP="00671A70">
      <w:r w:rsidRPr="00671A70">
        <w:rPr>
          <w:noProof/>
        </w:rPr>
        <w:pict w14:anchorId="7AE113A9">
          <v:rect id="_x0000_i1321" alt="" style="width:415.3pt;height:.05pt;mso-width-percent:0;mso-height-percent:0;mso-width-percent:0;mso-height-percent:0" o:hralign="center" o:hrstd="t" o:hr="t" fillcolor="#a0a0a0" stroked="f"/>
        </w:pict>
      </w:r>
    </w:p>
    <w:p w14:paraId="7E09E9E1" w14:textId="77777777" w:rsidR="00671A70" w:rsidRPr="00671A70" w:rsidRDefault="00671A70" w:rsidP="00671A70">
      <w:pPr>
        <w:spacing w:before="100" w:beforeAutospacing="1" w:after="100" w:afterAutospacing="1"/>
        <w:outlineLvl w:val="3"/>
        <w:rPr>
          <w:b/>
          <w:bCs/>
        </w:rPr>
      </w:pPr>
      <w:r w:rsidRPr="00671A70">
        <w:rPr>
          <w:b/>
          <w:bCs/>
        </w:rPr>
        <w:t>2. Basis for Imposing Fines</w:t>
      </w:r>
    </w:p>
    <w:p w14:paraId="5D5E46FC" w14:textId="77777777" w:rsidR="00671A70" w:rsidRPr="00671A70" w:rsidRDefault="00671A70" w:rsidP="00671A70">
      <w:pPr>
        <w:spacing w:before="100" w:beforeAutospacing="1" w:after="100" w:afterAutospacing="1"/>
        <w:outlineLvl w:val="3"/>
        <w:rPr>
          <w:b/>
          <w:bCs/>
        </w:rPr>
      </w:pPr>
      <w:r w:rsidRPr="00671A70">
        <w:rPr>
          <w:b/>
          <w:bCs/>
        </w:rPr>
        <w:lastRenderedPageBreak/>
        <w:t>2. 罚款的依据</w:t>
      </w:r>
    </w:p>
    <w:p w14:paraId="04D6211E" w14:textId="77777777" w:rsidR="00671A70" w:rsidRPr="00671A70" w:rsidRDefault="00671A70" w:rsidP="00671A70">
      <w:pPr>
        <w:spacing w:before="100" w:beforeAutospacing="1" w:after="100" w:afterAutospacing="1"/>
        <w:outlineLvl w:val="4"/>
        <w:rPr>
          <w:b/>
          <w:bCs/>
          <w:sz w:val="20"/>
          <w:szCs w:val="20"/>
        </w:rPr>
      </w:pPr>
      <w:r w:rsidRPr="00671A70">
        <w:rPr>
          <w:b/>
          <w:bCs/>
          <w:sz w:val="20"/>
          <w:szCs w:val="20"/>
        </w:rPr>
        <w:t>2.1. Severity of the Violation</w:t>
      </w:r>
    </w:p>
    <w:p w14:paraId="25C14122" w14:textId="77777777" w:rsidR="00671A70" w:rsidRPr="00671A70" w:rsidRDefault="00671A70" w:rsidP="00671A70">
      <w:pPr>
        <w:spacing w:before="100" w:beforeAutospacing="1" w:after="100" w:afterAutospacing="1"/>
        <w:outlineLvl w:val="4"/>
        <w:rPr>
          <w:b/>
          <w:bCs/>
          <w:sz w:val="20"/>
          <w:szCs w:val="20"/>
        </w:rPr>
      </w:pPr>
      <w:r w:rsidRPr="00671A70">
        <w:rPr>
          <w:b/>
          <w:bCs/>
          <w:sz w:val="20"/>
          <w:szCs w:val="20"/>
        </w:rPr>
        <w:t>2.1. 违规的严重性</w:t>
      </w:r>
    </w:p>
    <w:p w14:paraId="01EC88E7" w14:textId="77777777" w:rsidR="00671A70" w:rsidRPr="00671A70" w:rsidRDefault="00671A70" w:rsidP="00671A70">
      <w:pPr>
        <w:spacing w:before="100" w:beforeAutospacing="1" w:after="100" w:afterAutospacing="1"/>
      </w:pPr>
      <w:r w:rsidRPr="00671A70">
        <w:t>The breach involved highly sensitive health data, which can significantly harm individuals if exposed.</w:t>
      </w:r>
      <w:r w:rsidRPr="00671A70">
        <w:br/>
        <w:t>泄露涉及高度敏感的健康数据，若被泄露可能对个人造成重大损害。</w:t>
      </w:r>
    </w:p>
    <w:p w14:paraId="6A4CA755" w14:textId="77777777" w:rsidR="00671A70" w:rsidRPr="00671A70" w:rsidRDefault="00671A70" w:rsidP="00671A70">
      <w:pPr>
        <w:spacing w:before="100" w:beforeAutospacing="1" w:after="100" w:afterAutospacing="1"/>
        <w:outlineLvl w:val="4"/>
        <w:rPr>
          <w:b/>
          <w:bCs/>
          <w:sz w:val="20"/>
          <w:szCs w:val="20"/>
        </w:rPr>
      </w:pPr>
      <w:r w:rsidRPr="00671A70">
        <w:rPr>
          <w:b/>
          <w:bCs/>
          <w:sz w:val="20"/>
          <w:szCs w:val="20"/>
        </w:rPr>
        <w:t>2.2. Impact on Data Subjects</w:t>
      </w:r>
    </w:p>
    <w:p w14:paraId="19BC6889" w14:textId="77777777" w:rsidR="00671A70" w:rsidRPr="00671A70" w:rsidRDefault="00671A70" w:rsidP="00671A70">
      <w:pPr>
        <w:spacing w:before="100" w:beforeAutospacing="1" w:after="100" w:afterAutospacing="1"/>
        <w:outlineLvl w:val="4"/>
        <w:rPr>
          <w:b/>
          <w:bCs/>
          <w:sz w:val="20"/>
          <w:szCs w:val="20"/>
        </w:rPr>
      </w:pPr>
      <w:r w:rsidRPr="00671A70">
        <w:rPr>
          <w:b/>
          <w:bCs/>
          <w:sz w:val="20"/>
          <w:szCs w:val="20"/>
        </w:rPr>
        <w:t>2.2. 对数据主体的影响</w:t>
      </w:r>
    </w:p>
    <w:p w14:paraId="6C031587" w14:textId="77777777" w:rsidR="00671A70" w:rsidRPr="00671A70" w:rsidRDefault="00671A70" w:rsidP="00671A70">
      <w:pPr>
        <w:spacing w:before="100" w:beforeAutospacing="1" w:after="100" w:afterAutospacing="1"/>
      </w:pPr>
      <w:r w:rsidRPr="00671A70">
        <w:t xml:space="preserve">The public exposure of Ellen’s health data, along with that of other employees, could lead to </w:t>
      </w:r>
      <w:r w:rsidRPr="00671A70">
        <w:rPr>
          <w:b/>
          <w:bCs/>
        </w:rPr>
        <w:t>psychological harm, discrimination, and reputational damage</w:t>
      </w:r>
      <w:r w:rsidRPr="00671A70">
        <w:t>.</w:t>
      </w:r>
      <w:r w:rsidRPr="00671A70">
        <w:br/>
        <w:t>Ellen及其他员工的健康数据被公开可能导致</w:t>
      </w:r>
      <w:r w:rsidRPr="00671A70">
        <w:rPr>
          <w:b/>
          <w:bCs/>
        </w:rPr>
        <w:t>心理伤害、歧视和名誉损害</w:t>
      </w:r>
      <w:r w:rsidRPr="00671A70">
        <w:t>。</w:t>
      </w:r>
    </w:p>
    <w:p w14:paraId="4D5DBA01" w14:textId="77777777" w:rsidR="00671A70" w:rsidRPr="00671A70" w:rsidRDefault="00671A70" w:rsidP="00671A70">
      <w:pPr>
        <w:spacing w:before="100" w:beforeAutospacing="1" w:after="100" w:afterAutospacing="1"/>
        <w:outlineLvl w:val="4"/>
        <w:rPr>
          <w:b/>
          <w:bCs/>
          <w:sz w:val="20"/>
          <w:szCs w:val="20"/>
        </w:rPr>
      </w:pPr>
      <w:r w:rsidRPr="00671A70">
        <w:rPr>
          <w:b/>
          <w:bCs/>
          <w:sz w:val="20"/>
          <w:szCs w:val="20"/>
        </w:rPr>
        <w:t>2.3. Failure to Implement Appropriate Security Measures</w:t>
      </w:r>
    </w:p>
    <w:p w14:paraId="1FB589AA" w14:textId="77777777" w:rsidR="00671A70" w:rsidRPr="00671A70" w:rsidRDefault="00671A70" w:rsidP="00671A70">
      <w:pPr>
        <w:spacing w:before="100" w:beforeAutospacing="1" w:after="100" w:afterAutospacing="1"/>
        <w:outlineLvl w:val="4"/>
        <w:rPr>
          <w:b/>
          <w:bCs/>
          <w:sz w:val="20"/>
          <w:szCs w:val="20"/>
        </w:rPr>
      </w:pPr>
      <w:r w:rsidRPr="00671A70">
        <w:rPr>
          <w:b/>
          <w:bCs/>
          <w:sz w:val="20"/>
          <w:szCs w:val="20"/>
        </w:rPr>
        <w:t>2.3. 未能实施适当的安全措施</w:t>
      </w:r>
    </w:p>
    <w:p w14:paraId="126EF54F" w14:textId="77777777" w:rsidR="00671A70" w:rsidRPr="00671A70" w:rsidRDefault="00671A70" w:rsidP="00671A70">
      <w:pPr>
        <w:spacing w:before="100" w:beforeAutospacing="1" w:after="100" w:afterAutospacing="1"/>
      </w:pPr>
      <w:r w:rsidRPr="00671A70">
        <w:t xml:space="preserve">Under </w:t>
      </w:r>
      <w:r w:rsidRPr="00671A70">
        <w:rPr>
          <w:b/>
          <w:bCs/>
        </w:rPr>
        <w:t>Recital 39</w:t>
      </w:r>
      <w:r w:rsidRPr="00671A70">
        <w:t xml:space="preserve"> and </w:t>
      </w:r>
      <w:r w:rsidRPr="00671A70">
        <w:rPr>
          <w:b/>
          <w:bCs/>
        </w:rPr>
        <w:t>Article 32</w:t>
      </w:r>
      <w:r w:rsidRPr="00671A70">
        <w:t>, H&amp;N is required to implement strong security measures, including access controls.</w:t>
      </w:r>
      <w:r w:rsidRPr="00671A70">
        <w:br/>
        <w:t>根据</w:t>
      </w:r>
      <w:r w:rsidRPr="00671A70">
        <w:rPr>
          <w:b/>
          <w:bCs/>
        </w:rPr>
        <w:t>前言第39条</w:t>
      </w:r>
      <w:r w:rsidRPr="00671A70">
        <w:t>和</w:t>
      </w:r>
      <w:r w:rsidRPr="00671A70">
        <w:rPr>
          <w:b/>
          <w:bCs/>
        </w:rPr>
        <w:t>第32条</w:t>
      </w:r>
      <w:r w:rsidRPr="00671A70">
        <w:t>，H&amp;N有义务实施强有力的安全措施，包括访问控制。</w:t>
      </w:r>
    </w:p>
    <w:p w14:paraId="45C5942B" w14:textId="77777777" w:rsidR="00671A70" w:rsidRPr="00671A70" w:rsidRDefault="00671A70" w:rsidP="00671A70">
      <w:pPr>
        <w:spacing w:before="100" w:beforeAutospacing="1" w:after="100" w:afterAutospacing="1"/>
        <w:outlineLvl w:val="4"/>
        <w:rPr>
          <w:b/>
          <w:bCs/>
          <w:sz w:val="20"/>
          <w:szCs w:val="20"/>
        </w:rPr>
      </w:pPr>
      <w:r w:rsidRPr="00671A70">
        <w:rPr>
          <w:b/>
          <w:bCs/>
          <w:sz w:val="20"/>
          <w:szCs w:val="20"/>
        </w:rPr>
        <w:t>2.4. Fine Calculation</w:t>
      </w:r>
    </w:p>
    <w:p w14:paraId="47D1FF80" w14:textId="77777777" w:rsidR="00671A70" w:rsidRPr="00671A70" w:rsidRDefault="00671A70" w:rsidP="00671A70">
      <w:pPr>
        <w:spacing w:before="100" w:beforeAutospacing="1" w:after="100" w:afterAutospacing="1"/>
        <w:outlineLvl w:val="4"/>
        <w:rPr>
          <w:b/>
          <w:bCs/>
          <w:sz w:val="20"/>
          <w:szCs w:val="20"/>
        </w:rPr>
      </w:pPr>
      <w:r w:rsidRPr="00671A70">
        <w:rPr>
          <w:b/>
          <w:bCs/>
          <w:sz w:val="20"/>
          <w:szCs w:val="20"/>
        </w:rPr>
        <w:t>2.4. 罚款计算</w:t>
      </w:r>
    </w:p>
    <w:p w14:paraId="5E43AF15" w14:textId="77777777" w:rsidR="00671A70" w:rsidRPr="00671A70" w:rsidRDefault="00671A70" w:rsidP="00671A70">
      <w:pPr>
        <w:spacing w:before="100" w:beforeAutospacing="1" w:after="100" w:afterAutospacing="1"/>
      </w:pPr>
      <w:r w:rsidRPr="00671A70">
        <w:t xml:space="preserve">Under </w:t>
      </w:r>
      <w:r w:rsidRPr="00671A70">
        <w:rPr>
          <w:b/>
          <w:bCs/>
        </w:rPr>
        <w:t>GDPR Article 83</w:t>
      </w:r>
      <w:r w:rsidRPr="00671A70">
        <w:t xml:space="preserve">, infringements of provisions related to sensitive data and security may result in fines of up to </w:t>
      </w:r>
      <w:r w:rsidRPr="00671A70">
        <w:rPr>
          <w:b/>
          <w:bCs/>
        </w:rPr>
        <w:t>€20 million or 4% of the company’s total annual turnover</w:t>
      </w:r>
      <w:r w:rsidRPr="00671A70">
        <w:t>, whichever is higher.</w:t>
      </w:r>
      <w:r w:rsidRPr="00671A70">
        <w:br/>
        <w:t>根据</w:t>
      </w:r>
      <w:r w:rsidRPr="00671A70">
        <w:rPr>
          <w:b/>
          <w:bCs/>
        </w:rPr>
        <w:t>GDPR第83条</w:t>
      </w:r>
      <w:r w:rsidRPr="00671A70">
        <w:t>，与敏感数据和安全相关的违规可能导致最高**2000万欧元或公司年营业额4%**的罚款，以较高者为准。</w:t>
      </w:r>
    </w:p>
    <w:p w14:paraId="65A0B3CF" w14:textId="77777777" w:rsidR="00671A70" w:rsidRPr="00671A70" w:rsidRDefault="00F81BAE" w:rsidP="00671A70">
      <w:r w:rsidRPr="00671A70">
        <w:rPr>
          <w:noProof/>
        </w:rPr>
        <w:pict w14:anchorId="08656971">
          <v:rect id="_x0000_i1320" alt="" style="width:415.3pt;height:.05pt;mso-width-percent:0;mso-height-percent:0;mso-width-percent:0;mso-height-percent:0" o:hralign="center" o:hrstd="t" o:hr="t" fillcolor="#a0a0a0" stroked="f"/>
        </w:pict>
      </w:r>
    </w:p>
    <w:p w14:paraId="611EFDB7" w14:textId="77777777" w:rsidR="00671A70" w:rsidRPr="00671A70" w:rsidRDefault="00671A70" w:rsidP="00671A70">
      <w:pPr>
        <w:spacing w:before="100" w:beforeAutospacing="1" w:after="100" w:afterAutospacing="1"/>
        <w:outlineLvl w:val="3"/>
        <w:rPr>
          <w:b/>
          <w:bCs/>
        </w:rPr>
      </w:pPr>
      <w:r w:rsidRPr="00671A70">
        <w:rPr>
          <w:b/>
          <w:bCs/>
        </w:rPr>
        <w:t>Conclusion</w:t>
      </w:r>
    </w:p>
    <w:p w14:paraId="7CF8366F" w14:textId="77777777" w:rsidR="00671A70" w:rsidRPr="00671A70" w:rsidRDefault="00671A70" w:rsidP="00671A70">
      <w:pPr>
        <w:spacing w:before="100" w:beforeAutospacing="1" w:after="100" w:afterAutospacing="1"/>
        <w:outlineLvl w:val="3"/>
        <w:rPr>
          <w:b/>
          <w:bCs/>
        </w:rPr>
      </w:pPr>
      <w:r w:rsidRPr="00671A70">
        <w:rPr>
          <w:b/>
          <w:bCs/>
        </w:rPr>
        <w:t>结论</w:t>
      </w:r>
    </w:p>
    <w:p w14:paraId="594D422C" w14:textId="77777777" w:rsidR="00671A70" w:rsidRPr="00671A70" w:rsidRDefault="00671A70" w:rsidP="00671A70">
      <w:pPr>
        <w:spacing w:before="100" w:beforeAutospacing="1" w:after="100" w:afterAutospacing="1"/>
      </w:pPr>
      <w:r w:rsidRPr="00671A70">
        <w:lastRenderedPageBreak/>
        <w:t xml:space="preserve">The Swedish DPA should impose a </w:t>
      </w:r>
      <w:r w:rsidRPr="00671A70">
        <w:rPr>
          <w:b/>
          <w:bCs/>
        </w:rPr>
        <w:t>fine on H&amp;N</w:t>
      </w:r>
      <w:r w:rsidRPr="00671A70">
        <w:t xml:space="preserve"> due to the following GDPR violations:</w:t>
      </w:r>
      <w:r w:rsidRPr="00671A70">
        <w:br/>
        <w:t>由于以下GDPR违规行为，瑞典数据保护局应对H&amp;N处以罚款：</w:t>
      </w:r>
    </w:p>
    <w:p w14:paraId="03F089F3" w14:textId="77777777" w:rsidR="00671A70" w:rsidRPr="00671A70" w:rsidRDefault="00671A70" w:rsidP="00671A70">
      <w:pPr>
        <w:numPr>
          <w:ilvl w:val="0"/>
          <w:numId w:val="80"/>
        </w:numPr>
        <w:spacing w:before="100" w:beforeAutospacing="1" w:after="100" w:afterAutospacing="1"/>
      </w:pPr>
      <w:r w:rsidRPr="00671A70">
        <w:rPr>
          <w:b/>
          <w:bCs/>
        </w:rPr>
        <w:t>Illegal processing of sensitive health data (Article 9)</w:t>
      </w:r>
      <w:r w:rsidRPr="00671A70">
        <w:t>.</w:t>
      </w:r>
      <w:r w:rsidRPr="00671A70">
        <w:br/>
      </w:r>
      <w:r w:rsidRPr="00671A70">
        <w:rPr>
          <w:b/>
          <w:bCs/>
        </w:rPr>
        <w:t>非法处理敏感健康数据（第9条）</w:t>
      </w:r>
      <w:r w:rsidRPr="00671A70">
        <w:t>。</w:t>
      </w:r>
    </w:p>
    <w:p w14:paraId="3DE8DB56" w14:textId="77777777" w:rsidR="00671A70" w:rsidRPr="00671A70" w:rsidRDefault="00671A70" w:rsidP="00671A70">
      <w:pPr>
        <w:numPr>
          <w:ilvl w:val="0"/>
          <w:numId w:val="80"/>
        </w:numPr>
        <w:spacing w:before="100" w:beforeAutospacing="1" w:after="100" w:afterAutospacing="1"/>
      </w:pPr>
      <w:r w:rsidRPr="00671A70">
        <w:rPr>
          <w:b/>
          <w:bCs/>
        </w:rPr>
        <w:t>Failure to adhere to data minimization principles (Article 5)</w:t>
      </w:r>
      <w:r w:rsidRPr="00671A70">
        <w:t>.</w:t>
      </w:r>
      <w:r w:rsidRPr="00671A70">
        <w:br/>
      </w:r>
      <w:r w:rsidRPr="00671A70">
        <w:rPr>
          <w:b/>
          <w:bCs/>
        </w:rPr>
        <w:t>未遵守数据最小化原则（第5条）</w:t>
      </w:r>
      <w:r w:rsidRPr="00671A70">
        <w:t>。</w:t>
      </w:r>
    </w:p>
    <w:p w14:paraId="29334497" w14:textId="77777777" w:rsidR="00671A70" w:rsidRPr="00671A70" w:rsidRDefault="00671A70" w:rsidP="00671A70">
      <w:pPr>
        <w:numPr>
          <w:ilvl w:val="0"/>
          <w:numId w:val="80"/>
        </w:numPr>
        <w:spacing w:before="100" w:beforeAutospacing="1" w:after="100" w:afterAutospacing="1"/>
      </w:pPr>
      <w:r w:rsidRPr="00671A70">
        <w:rPr>
          <w:b/>
          <w:bCs/>
        </w:rPr>
        <w:t>Lack of appropriate security measures (Article 32)</w:t>
      </w:r>
      <w:r w:rsidRPr="00671A70">
        <w:t>.</w:t>
      </w:r>
      <w:r w:rsidRPr="00671A70">
        <w:br/>
      </w:r>
      <w:r w:rsidRPr="00671A70">
        <w:rPr>
          <w:b/>
          <w:bCs/>
        </w:rPr>
        <w:t>缺乏适当的安全措施（第32条）</w:t>
      </w:r>
      <w:r w:rsidRPr="00671A70">
        <w:t>。</w:t>
      </w:r>
    </w:p>
    <w:p w14:paraId="2EDB203C" w14:textId="77777777" w:rsidR="00671A70" w:rsidRPr="00671A70" w:rsidRDefault="00671A70" w:rsidP="00671A70">
      <w:pPr>
        <w:numPr>
          <w:ilvl w:val="0"/>
          <w:numId w:val="80"/>
        </w:numPr>
        <w:spacing w:before="100" w:beforeAutospacing="1" w:after="100" w:afterAutospacing="1"/>
      </w:pPr>
      <w:r w:rsidRPr="00671A70">
        <w:rPr>
          <w:b/>
          <w:bCs/>
        </w:rPr>
        <w:t>Failure to notify the breach promptly (Articles 33 and 34)</w:t>
      </w:r>
      <w:r w:rsidRPr="00671A70">
        <w:t>.</w:t>
      </w:r>
      <w:r w:rsidRPr="00671A70">
        <w:br/>
      </w:r>
      <w:r w:rsidRPr="00671A70">
        <w:rPr>
          <w:b/>
          <w:bCs/>
        </w:rPr>
        <w:t>未能及时通知数据泄露（第33条和第34条）</w:t>
      </w:r>
      <w:r w:rsidRPr="00671A70">
        <w:t>。</w:t>
      </w:r>
    </w:p>
    <w:p w14:paraId="27706D4C" w14:textId="77777777" w:rsidR="00671A70" w:rsidRPr="00671A70" w:rsidRDefault="00671A70" w:rsidP="00671A70">
      <w:pPr>
        <w:spacing w:before="100" w:beforeAutospacing="1" w:after="100" w:afterAutospacing="1"/>
      </w:pPr>
      <w:r w:rsidRPr="00671A70">
        <w:t>Given the severity and impact of the breach, the fine should reflect the high-risk nature of the data involved and H&amp;N’s gross negligence in handling sensitive information.</w:t>
      </w:r>
      <w:r w:rsidRPr="00671A70">
        <w:br/>
        <w:t>鉴于泄露的严重性和影响，罚款应反映所涉数据的高风险性质以及H&amp;N在处理敏感信息上的严重过失。</w:t>
      </w:r>
    </w:p>
    <w:p w14:paraId="6A512229" w14:textId="77777777" w:rsidR="00671A70" w:rsidRPr="00311E9D" w:rsidRDefault="00671A70" w:rsidP="00671A70">
      <w:pPr>
        <w:spacing w:before="100" w:beforeAutospacing="1" w:after="100" w:afterAutospacing="1"/>
        <w:rPr>
          <w:rFonts w:hint="eastAsia"/>
        </w:rPr>
      </w:pPr>
    </w:p>
    <w:p w14:paraId="0E0C5667" w14:textId="77777777" w:rsidR="00671A70" w:rsidRDefault="00671A70" w:rsidP="00EC780E">
      <w:pPr>
        <w:spacing w:before="100" w:beforeAutospacing="1" w:after="100" w:afterAutospacing="1"/>
        <w:outlineLvl w:val="3"/>
        <w:rPr>
          <w:rFonts w:hint="eastAsia"/>
          <w:b/>
          <w:bCs/>
        </w:rPr>
      </w:pPr>
    </w:p>
    <w:p w14:paraId="571226D5" w14:textId="77777777" w:rsidR="00311E9D" w:rsidRDefault="00311E9D" w:rsidP="00EC780E">
      <w:pPr>
        <w:spacing w:before="100" w:beforeAutospacing="1" w:after="100" w:afterAutospacing="1"/>
        <w:outlineLvl w:val="3"/>
        <w:rPr>
          <w:b/>
          <w:bCs/>
        </w:rPr>
      </w:pPr>
    </w:p>
    <w:p w14:paraId="081D854D" w14:textId="77777777" w:rsidR="00311E9D" w:rsidRDefault="00311E9D" w:rsidP="00EC780E">
      <w:pPr>
        <w:spacing w:before="100" w:beforeAutospacing="1" w:after="100" w:afterAutospacing="1"/>
        <w:outlineLvl w:val="3"/>
        <w:rPr>
          <w:b/>
          <w:bCs/>
        </w:rPr>
      </w:pPr>
    </w:p>
    <w:p w14:paraId="73F66550" w14:textId="77777777" w:rsidR="00311E9D" w:rsidRDefault="00311E9D" w:rsidP="00EC780E">
      <w:pPr>
        <w:spacing w:before="100" w:beforeAutospacing="1" w:after="100" w:afterAutospacing="1"/>
        <w:outlineLvl w:val="3"/>
        <w:rPr>
          <w:b/>
          <w:bCs/>
        </w:rPr>
      </w:pPr>
    </w:p>
    <w:p w14:paraId="7885BB09" w14:textId="77777777" w:rsidR="00311E9D" w:rsidRDefault="00311E9D" w:rsidP="00EC780E">
      <w:pPr>
        <w:spacing w:before="100" w:beforeAutospacing="1" w:after="100" w:afterAutospacing="1"/>
        <w:outlineLvl w:val="3"/>
        <w:rPr>
          <w:b/>
          <w:bCs/>
        </w:rPr>
      </w:pPr>
    </w:p>
    <w:p w14:paraId="6DAEE8C3" w14:textId="77777777" w:rsidR="00311E9D" w:rsidRDefault="00311E9D" w:rsidP="00EC780E">
      <w:pPr>
        <w:spacing w:before="100" w:beforeAutospacing="1" w:after="100" w:afterAutospacing="1"/>
        <w:outlineLvl w:val="3"/>
        <w:rPr>
          <w:b/>
          <w:bCs/>
        </w:rPr>
      </w:pPr>
    </w:p>
    <w:p w14:paraId="1277D733" w14:textId="77777777" w:rsidR="00311E9D" w:rsidRDefault="00311E9D" w:rsidP="00EC780E">
      <w:pPr>
        <w:spacing w:before="100" w:beforeAutospacing="1" w:after="100" w:afterAutospacing="1"/>
        <w:outlineLvl w:val="3"/>
        <w:rPr>
          <w:b/>
          <w:bCs/>
        </w:rPr>
      </w:pPr>
    </w:p>
    <w:p w14:paraId="5D2DB2AD" w14:textId="77777777" w:rsidR="00311E9D" w:rsidRDefault="00311E9D" w:rsidP="00EC780E">
      <w:pPr>
        <w:spacing w:before="100" w:beforeAutospacing="1" w:after="100" w:afterAutospacing="1"/>
        <w:outlineLvl w:val="3"/>
        <w:rPr>
          <w:b/>
          <w:bCs/>
        </w:rPr>
      </w:pPr>
    </w:p>
    <w:p w14:paraId="6DBDB82B" w14:textId="77777777" w:rsidR="00311E9D" w:rsidRDefault="00311E9D" w:rsidP="00EC780E">
      <w:pPr>
        <w:spacing w:before="100" w:beforeAutospacing="1" w:after="100" w:afterAutospacing="1"/>
        <w:outlineLvl w:val="3"/>
        <w:rPr>
          <w:b/>
          <w:bCs/>
        </w:rPr>
      </w:pPr>
    </w:p>
    <w:p w14:paraId="51E7CDD7" w14:textId="77777777" w:rsidR="00311E9D" w:rsidRPr="00311E9D" w:rsidRDefault="00311E9D" w:rsidP="00EC780E">
      <w:pPr>
        <w:spacing w:before="100" w:beforeAutospacing="1" w:after="100" w:afterAutospacing="1"/>
        <w:outlineLvl w:val="3"/>
        <w:rPr>
          <w:rFonts w:hint="eastAsia"/>
          <w:b/>
          <w:bCs/>
        </w:rPr>
      </w:pPr>
    </w:p>
    <w:p w14:paraId="686950F7" w14:textId="77777777" w:rsidR="00671A70" w:rsidRDefault="00671A70" w:rsidP="002D45C8">
      <w:pPr>
        <w:rPr>
          <w:b/>
          <w:highlight w:val="yellow"/>
        </w:rPr>
      </w:pPr>
    </w:p>
    <w:p w14:paraId="53CB56C1" w14:textId="77777777" w:rsidR="00671A70" w:rsidRDefault="00671A70" w:rsidP="002D45C8">
      <w:pPr>
        <w:rPr>
          <w:b/>
          <w:highlight w:val="yellow"/>
        </w:rPr>
      </w:pPr>
    </w:p>
    <w:p w14:paraId="3E6D4893" w14:textId="77777777" w:rsidR="00671A70" w:rsidRDefault="00671A70" w:rsidP="002D45C8">
      <w:pPr>
        <w:rPr>
          <w:b/>
          <w:highlight w:val="yellow"/>
        </w:rPr>
      </w:pPr>
    </w:p>
    <w:p w14:paraId="0C2EF771" w14:textId="77777777" w:rsidR="00671A70" w:rsidRDefault="00671A70" w:rsidP="002D45C8">
      <w:pPr>
        <w:rPr>
          <w:b/>
          <w:highlight w:val="yellow"/>
        </w:rPr>
      </w:pPr>
    </w:p>
    <w:p w14:paraId="1AA7EEB9" w14:textId="4F924DDE" w:rsidR="00EC780E" w:rsidRDefault="00EC3F1F" w:rsidP="002D45C8">
      <w:pPr>
        <w:rPr>
          <w:b/>
        </w:rPr>
      </w:pPr>
      <w:r>
        <w:rPr>
          <w:rFonts w:hint="eastAsia"/>
          <w:b/>
          <w:highlight w:val="yellow"/>
        </w:rPr>
        <w:lastRenderedPageBreak/>
        <w:t xml:space="preserve">知识产权类题目 </w:t>
      </w:r>
      <w:r w:rsidR="002D45C8" w:rsidRPr="00016408">
        <w:rPr>
          <w:rFonts w:hint="eastAsia"/>
          <w:b/>
          <w:highlight w:val="yellow"/>
        </w:rPr>
        <w:t>二、</w:t>
      </w:r>
      <w:r w:rsidR="002D45C8" w:rsidRPr="00016408">
        <w:rPr>
          <w:b/>
          <w:highlight w:val="yellow"/>
        </w:rPr>
        <w:t>Apple’s Face ID Technology</w:t>
      </w:r>
      <w:r w:rsidR="002D45C8" w:rsidRPr="00016408">
        <w:rPr>
          <w:rFonts w:hint="eastAsia"/>
          <w:b/>
          <w:highlight w:val="yellow"/>
        </w:rPr>
        <w:t xml:space="preserve"> </w:t>
      </w:r>
      <w:proofErr w:type="spellStart"/>
      <w:r w:rsidR="002D45C8" w:rsidRPr="00016408">
        <w:rPr>
          <w:rFonts w:hint="eastAsia"/>
          <w:b/>
          <w:highlight w:val="yellow"/>
        </w:rPr>
        <w:t>gdrp</w:t>
      </w:r>
      <w:proofErr w:type="spellEnd"/>
      <w:r w:rsidR="002D45C8" w:rsidRPr="00016408">
        <w:rPr>
          <w:rFonts w:hint="eastAsia"/>
          <w:b/>
          <w:highlight w:val="yellow"/>
        </w:rPr>
        <w:t>+知识产权+信息安全</w:t>
      </w:r>
    </w:p>
    <w:p w14:paraId="2028DBC1" w14:textId="4AC0FFAE" w:rsidR="00EC780E" w:rsidRDefault="00016408" w:rsidP="00EC780E">
      <w:pPr>
        <w:spacing w:before="100" w:beforeAutospacing="1" w:after="100" w:afterAutospacing="1"/>
        <w:outlineLvl w:val="3"/>
        <w:rPr>
          <w:b/>
          <w:bCs/>
        </w:rPr>
      </w:pPr>
      <w:r>
        <w:t>Apple’s Face ID technology utilizes biometric data, specifically facial recognition, to enable user authentication. While it offers convenience and enhanced security, it raises significant legal concerns regarding data protection, intellectual property (IP), and information security. This memo outlines the major legal issues and their implications.</w:t>
      </w:r>
      <w:r>
        <w:rPr>
          <w:b/>
          <w:bCs/>
        </w:rPr>
        <w:t xml:space="preserve"> </w:t>
      </w:r>
      <w:r w:rsidR="002D45C8">
        <w:rPr>
          <w:b/>
          <w:bCs/>
        </w:rPr>
        <w:t>GDRP:</w:t>
      </w:r>
    </w:p>
    <w:p w14:paraId="03BBE9C1" w14:textId="77777777" w:rsidR="002D45C8" w:rsidRPr="002D45C8" w:rsidRDefault="002D45C8" w:rsidP="002D45C8">
      <w:pPr>
        <w:spacing w:before="100" w:beforeAutospacing="1" w:after="100" w:afterAutospacing="1"/>
        <w:outlineLvl w:val="3"/>
        <w:rPr>
          <w:b/>
          <w:bCs/>
        </w:rPr>
      </w:pPr>
      <w:r w:rsidRPr="002D45C8">
        <w:rPr>
          <w:b/>
          <w:bCs/>
          <w:highlight w:val="cyan"/>
        </w:rPr>
        <w:t>2. Data Protection Concerns</w:t>
      </w:r>
    </w:p>
    <w:p w14:paraId="5B03384D" w14:textId="77777777" w:rsidR="002D45C8" w:rsidRPr="002D45C8" w:rsidRDefault="002D45C8" w:rsidP="002D45C8">
      <w:pPr>
        <w:spacing w:before="100" w:beforeAutospacing="1" w:after="100" w:afterAutospacing="1"/>
      </w:pPr>
      <w:r w:rsidRPr="002D45C8">
        <w:rPr>
          <w:b/>
          <w:bCs/>
        </w:rPr>
        <w:t>2.1 Biometric Data as Special Category Data (GDPR Article 9)</w:t>
      </w:r>
    </w:p>
    <w:p w14:paraId="2593BBBD" w14:textId="77777777" w:rsidR="002D45C8" w:rsidRPr="002D45C8" w:rsidRDefault="002D45C8" w:rsidP="002D45C8">
      <w:pPr>
        <w:numPr>
          <w:ilvl w:val="0"/>
          <w:numId w:val="19"/>
        </w:numPr>
        <w:spacing w:before="100" w:beforeAutospacing="1" w:after="100" w:afterAutospacing="1"/>
      </w:pPr>
      <w:r w:rsidRPr="002D45C8">
        <w:t>Biometric data, such as Face ID’s facial recognition, is classified as a special category under GDPR, requiring stricter protection.</w:t>
      </w:r>
    </w:p>
    <w:p w14:paraId="2F960C5D" w14:textId="77777777" w:rsidR="002D45C8" w:rsidRPr="002D45C8" w:rsidRDefault="002D45C8" w:rsidP="002D45C8">
      <w:pPr>
        <w:numPr>
          <w:ilvl w:val="0"/>
          <w:numId w:val="19"/>
        </w:numPr>
        <w:spacing w:before="100" w:beforeAutospacing="1" w:after="100" w:afterAutospacing="1"/>
      </w:pPr>
      <w:r w:rsidRPr="002D45C8">
        <w:rPr>
          <w:b/>
          <w:bCs/>
        </w:rPr>
        <w:t>Legal Basis for Processing</w:t>
      </w:r>
      <w:r w:rsidRPr="002D45C8">
        <w:t>: Explicit consent is required unless exemptions under GDPR Article 9(2) apply. Apple must ensure users provide informed and specific consent.</w:t>
      </w:r>
    </w:p>
    <w:p w14:paraId="2A65294C" w14:textId="77777777" w:rsidR="002D45C8" w:rsidRPr="002D45C8" w:rsidRDefault="002D45C8" w:rsidP="002D45C8">
      <w:pPr>
        <w:spacing w:before="100" w:beforeAutospacing="1" w:after="100" w:afterAutospacing="1"/>
      </w:pPr>
      <w:r w:rsidRPr="002D45C8">
        <w:rPr>
          <w:b/>
          <w:bCs/>
        </w:rPr>
        <w:t>2.2 Principles of Data Processing (GDPR Article 5)</w:t>
      </w:r>
    </w:p>
    <w:p w14:paraId="05EE1677" w14:textId="77777777" w:rsidR="002D45C8" w:rsidRPr="002D45C8" w:rsidRDefault="002D45C8" w:rsidP="002D45C8">
      <w:pPr>
        <w:numPr>
          <w:ilvl w:val="0"/>
          <w:numId w:val="20"/>
        </w:numPr>
        <w:spacing w:before="100" w:beforeAutospacing="1" w:after="100" w:afterAutospacing="1"/>
      </w:pPr>
      <w:r w:rsidRPr="002D45C8">
        <w:rPr>
          <w:b/>
          <w:bCs/>
        </w:rPr>
        <w:t>Data Minimization</w:t>
      </w:r>
      <w:r w:rsidRPr="002D45C8">
        <w:t>: Only essential biometric data should be collected and stored.</w:t>
      </w:r>
    </w:p>
    <w:p w14:paraId="19E07C25" w14:textId="77777777" w:rsidR="002D45C8" w:rsidRPr="002D45C8" w:rsidRDefault="002D45C8" w:rsidP="002D45C8">
      <w:pPr>
        <w:numPr>
          <w:ilvl w:val="0"/>
          <w:numId w:val="20"/>
        </w:numPr>
        <w:spacing w:before="100" w:beforeAutospacing="1" w:after="100" w:afterAutospacing="1"/>
      </w:pPr>
      <w:r w:rsidRPr="002D45C8">
        <w:rPr>
          <w:b/>
          <w:bCs/>
        </w:rPr>
        <w:t>Purpose Limitation</w:t>
      </w:r>
      <w:r w:rsidRPr="002D45C8">
        <w:t>: Data must be processed solely for authentication purposes.</w:t>
      </w:r>
    </w:p>
    <w:p w14:paraId="540751A9" w14:textId="77777777" w:rsidR="002D45C8" w:rsidRPr="002D45C8" w:rsidRDefault="002D45C8" w:rsidP="002D45C8">
      <w:pPr>
        <w:numPr>
          <w:ilvl w:val="0"/>
          <w:numId w:val="20"/>
        </w:numPr>
        <w:spacing w:before="100" w:beforeAutospacing="1" w:after="100" w:afterAutospacing="1"/>
      </w:pPr>
      <w:r w:rsidRPr="002D45C8">
        <w:rPr>
          <w:b/>
          <w:bCs/>
        </w:rPr>
        <w:t>Storage Limitation</w:t>
      </w:r>
      <w:r w:rsidRPr="002D45C8">
        <w:t>: Biometric data should not be stored indefinitely and must be deleted when no longer necessary.</w:t>
      </w:r>
    </w:p>
    <w:p w14:paraId="37D49F68" w14:textId="77777777" w:rsidR="002D45C8" w:rsidRPr="002D45C8" w:rsidRDefault="002D45C8" w:rsidP="002D45C8">
      <w:pPr>
        <w:spacing w:before="100" w:beforeAutospacing="1" w:after="100" w:afterAutospacing="1"/>
      </w:pPr>
      <w:r w:rsidRPr="002D45C8">
        <w:rPr>
          <w:b/>
          <w:bCs/>
        </w:rPr>
        <w:t>2.3 Data Subject Rights (GDPR Articles 12-22)</w:t>
      </w:r>
    </w:p>
    <w:p w14:paraId="72F4188B" w14:textId="77777777" w:rsidR="002D45C8" w:rsidRPr="002D45C8" w:rsidRDefault="002D45C8" w:rsidP="002D45C8">
      <w:pPr>
        <w:numPr>
          <w:ilvl w:val="0"/>
          <w:numId w:val="21"/>
        </w:numPr>
        <w:spacing w:before="100" w:beforeAutospacing="1" w:after="100" w:afterAutospacing="1"/>
      </w:pPr>
      <w:r w:rsidRPr="002D45C8">
        <w:t>Users have rights to access, rectification, erasure, and restriction of their biometric data. Apple must implement mechanisms to honor these rights promptly.</w:t>
      </w:r>
    </w:p>
    <w:p w14:paraId="195E7C71" w14:textId="77777777" w:rsidR="002D45C8" w:rsidRPr="002D45C8" w:rsidRDefault="002D45C8" w:rsidP="002D45C8">
      <w:pPr>
        <w:spacing w:before="100" w:beforeAutospacing="1" w:after="100" w:afterAutospacing="1"/>
      </w:pPr>
      <w:r w:rsidRPr="002D45C8">
        <w:rPr>
          <w:b/>
          <w:bCs/>
        </w:rPr>
        <w:t>2.4 Data Breach Notification (GDPR Article 33)</w:t>
      </w:r>
    </w:p>
    <w:p w14:paraId="58D8BCC3" w14:textId="77777777" w:rsidR="002D45C8" w:rsidRPr="002D45C8" w:rsidRDefault="002D45C8" w:rsidP="002D45C8">
      <w:pPr>
        <w:numPr>
          <w:ilvl w:val="0"/>
          <w:numId w:val="22"/>
        </w:numPr>
        <w:spacing w:before="100" w:beforeAutospacing="1" w:after="100" w:afterAutospacing="1"/>
      </w:pPr>
      <w:r w:rsidRPr="002D45C8">
        <w:t>In the event of a biometric data breach, Apple must notify the supervisory authority within 72 hours. Failure to do so could result in fines under GDPR Article 83.</w:t>
      </w:r>
    </w:p>
    <w:p w14:paraId="05F907F4" w14:textId="77777777" w:rsidR="002D45C8" w:rsidRDefault="002D45C8" w:rsidP="00EC780E">
      <w:pPr>
        <w:spacing w:before="100" w:beforeAutospacing="1" w:after="100" w:afterAutospacing="1"/>
        <w:outlineLvl w:val="3"/>
        <w:rPr>
          <w:b/>
          <w:bCs/>
        </w:rPr>
      </w:pPr>
    </w:p>
    <w:p w14:paraId="75BBE73B" w14:textId="452038E8" w:rsidR="00EC780E" w:rsidRDefault="002D45C8" w:rsidP="00EC780E">
      <w:pPr>
        <w:spacing w:before="100" w:beforeAutospacing="1" w:after="100" w:afterAutospacing="1"/>
        <w:outlineLvl w:val="3"/>
        <w:rPr>
          <w:b/>
          <w:bCs/>
        </w:rPr>
      </w:pPr>
      <w:r w:rsidRPr="00016408">
        <w:rPr>
          <w:rFonts w:hint="eastAsia"/>
          <w:b/>
          <w:bCs/>
          <w:highlight w:val="cyan"/>
        </w:rPr>
        <w:t>知识产权：</w:t>
      </w:r>
    </w:p>
    <w:p w14:paraId="274F47B4" w14:textId="77777777" w:rsidR="002D45C8" w:rsidRPr="002D45C8" w:rsidRDefault="002D45C8" w:rsidP="002D45C8">
      <w:pPr>
        <w:spacing w:before="100" w:beforeAutospacing="1" w:after="100" w:afterAutospacing="1"/>
        <w:outlineLvl w:val="2"/>
        <w:rPr>
          <w:b/>
          <w:bCs/>
          <w:sz w:val="27"/>
          <w:szCs w:val="27"/>
        </w:rPr>
      </w:pPr>
      <w:r w:rsidRPr="002D45C8">
        <w:rPr>
          <w:b/>
          <w:bCs/>
          <w:sz w:val="27"/>
          <w:szCs w:val="27"/>
        </w:rPr>
        <w:lastRenderedPageBreak/>
        <w:t>1. Introduction</w:t>
      </w:r>
    </w:p>
    <w:p w14:paraId="277E7C4A" w14:textId="77777777" w:rsidR="002D45C8" w:rsidRPr="002D45C8" w:rsidRDefault="002D45C8" w:rsidP="002D45C8">
      <w:pPr>
        <w:spacing w:before="100" w:beforeAutospacing="1" w:after="100" w:afterAutospacing="1"/>
      </w:pPr>
      <w:r w:rsidRPr="002D45C8">
        <w:t>Apple’s Face ID technology employs a neural network to process biometric data, generating a unique facial “fingerprint”. This cutting-edge technology raises legal concerns related to data protection, intellectual property (IP), and information security. This memo addresses the intellectual property issues and relevant legal frameworks.</w:t>
      </w:r>
    </w:p>
    <w:p w14:paraId="3A72E9B1" w14:textId="77777777" w:rsidR="002D45C8" w:rsidRPr="002D45C8" w:rsidRDefault="00F81BAE" w:rsidP="002D45C8">
      <w:r w:rsidRPr="002D45C8">
        <w:rPr>
          <w:noProof/>
        </w:rPr>
        <w:pict w14:anchorId="4127BD96">
          <v:rect id="_x0000_i1319" alt="" style="width:415.3pt;height:.05pt;mso-width-percent:0;mso-height-percent:0;mso-width-percent:0;mso-height-percent:0" o:hralign="center" o:hrstd="t" o:hr="t" fillcolor="#a0a0a0" stroked="f"/>
        </w:pict>
      </w:r>
    </w:p>
    <w:p w14:paraId="657BF7BA" w14:textId="77777777" w:rsidR="002D45C8" w:rsidRPr="002D45C8" w:rsidRDefault="002D45C8" w:rsidP="002D45C8">
      <w:pPr>
        <w:spacing w:before="100" w:beforeAutospacing="1" w:after="100" w:afterAutospacing="1"/>
        <w:outlineLvl w:val="2"/>
        <w:rPr>
          <w:b/>
          <w:bCs/>
          <w:sz w:val="27"/>
          <w:szCs w:val="27"/>
        </w:rPr>
      </w:pPr>
      <w:r w:rsidRPr="002D45C8">
        <w:rPr>
          <w:b/>
          <w:bCs/>
          <w:sz w:val="27"/>
          <w:szCs w:val="27"/>
        </w:rPr>
        <w:t>2. Intellectual Property Issues</w:t>
      </w:r>
    </w:p>
    <w:p w14:paraId="5FDB7EE6" w14:textId="77777777" w:rsidR="002D45C8" w:rsidRPr="002D45C8" w:rsidRDefault="002D45C8" w:rsidP="002D45C8">
      <w:pPr>
        <w:spacing w:before="100" w:beforeAutospacing="1" w:after="100" w:afterAutospacing="1"/>
        <w:outlineLvl w:val="3"/>
        <w:rPr>
          <w:b/>
          <w:bCs/>
        </w:rPr>
      </w:pPr>
      <w:r w:rsidRPr="002D45C8">
        <w:rPr>
          <w:b/>
          <w:bCs/>
        </w:rPr>
        <w:t>2.1 Patent Protection</w:t>
      </w:r>
    </w:p>
    <w:p w14:paraId="02A01FB7" w14:textId="77777777" w:rsidR="002D45C8" w:rsidRPr="002D45C8" w:rsidRDefault="002D45C8" w:rsidP="002D45C8">
      <w:pPr>
        <w:spacing w:before="100" w:beforeAutospacing="1" w:after="100" w:afterAutospacing="1"/>
      </w:pPr>
      <w:r w:rsidRPr="002D45C8">
        <w:t>Face ID involves several technological innovations, including:</w:t>
      </w:r>
    </w:p>
    <w:p w14:paraId="53ED6102" w14:textId="77777777" w:rsidR="002D45C8" w:rsidRPr="002D45C8" w:rsidRDefault="002D45C8" w:rsidP="002D45C8">
      <w:pPr>
        <w:numPr>
          <w:ilvl w:val="0"/>
          <w:numId w:val="23"/>
        </w:numPr>
        <w:spacing w:before="100" w:beforeAutospacing="1" w:after="100" w:afterAutospacing="1"/>
      </w:pPr>
      <w:r w:rsidRPr="002D45C8">
        <w:rPr>
          <w:b/>
          <w:bCs/>
        </w:rPr>
        <w:t>Infrared Dot Projection System</w:t>
      </w:r>
      <w:r w:rsidRPr="002D45C8">
        <w:t>: Projects more than 30,000 infrared dots onto the user’s face.</w:t>
      </w:r>
    </w:p>
    <w:p w14:paraId="54AF660A" w14:textId="77777777" w:rsidR="002D45C8" w:rsidRPr="002D45C8" w:rsidRDefault="002D45C8" w:rsidP="002D45C8">
      <w:pPr>
        <w:numPr>
          <w:ilvl w:val="0"/>
          <w:numId w:val="23"/>
        </w:numPr>
        <w:spacing w:before="100" w:beforeAutospacing="1" w:after="100" w:afterAutospacing="1"/>
      </w:pPr>
      <w:r w:rsidRPr="002D45C8">
        <w:rPr>
          <w:b/>
          <w:bCs/>
        </w:rPr>
        <w:t>Dot Map and Neural Network Integration</w:t>
      </w:r>
      <w:r w:rsidRPr="002D45C8">
        <w:t>: Constructs a dot map and processes it via a trained neural network.</w:t>
      </w:r>
    </w:p>
    <w:p w14:paraId="67EA7615" w14:textId="77777777" w:rsidR="002D45C8" w:rsidRPr="002D45C8" w:rsidRDefault="002D45C8" w:rsidP="002D45C8">
      <w:pPr>
        <w:spacing w:before="100" w:beforeAutospacing="1" w:after="100" w:afterAutospacing="1"/>
      </w:pPr>
      <w:r w:rsidRPr="002D45C8">
        <w:t>These innovations can be protected under patent law, provided they meet the following criteria:</w:t>
      </w:r>
    </w:p>
    <w:p w14:paraId="28C0E569" w14:textId="77777777" w:rsidR="002D45C8" w:rsidRPr="002D45C8" w:rsidRDefault="002D45C8" w:rsidP="002D45C8">
      <w:pPr>
        <w:numPr>
          <w:ilvl w:val="0"/>
          <w:numId w:val="24"/>
        </w:numPr>
        <w:spacing w:before="100" w:beforeAutospacing="1" w:after="100" w:afterAutospacing="1"/>
      </w:pPr>
      <w:r w:rsidRPr="002D45C8">
        <w:rPr>
          <w:b/>
          <w:bCs/>
        </w:rPr>
        <w:t>Novelty (Article 52, EPC)</w:t>
      </w:r>
      <w:r w:rsidRPr="002D45C8">
        <w:t>:</w:t>
      </w:r>
    </w:p>
    <w:p w14:paraId="0B2DC890" w14:textId="77777777" w:rsidR="002D45C8" w:rsidRPr="002D45C8" w:rsidRDefault="002D45C8" w:rsidP="002D45C8">
      <w:pPr>
        <w:numPr>
          <w:ilvl w:val="1"/>
          <w:numId w:val="24"/>
        </w:numPr>
        <w:spacing w:before="100" w:beforeAutospacing="1" w:after="100" w:afterAutospacing="1"/>
      </w:pPr>
      <w:r w:rsidRPr="002D45C8">
        <w:rPr>
          <w:i/>
          <w:iCs/>
        </w:rPr>
        <w:t>English</w:t>
      </w:r>
      <w:r w:rsidRPr="002D45C8">
        <w:t>: "European patents shall be granted for any inventions, provided they are new."</w:t>
      </w:r>
    </w:p>
    <w:p w14:paraId="7673E080" w14:textId="77777777" w:rsidR="002D45C8" w:rsidRPr="002D45C8" w:rsidRDefault="002D45C8" w:rsidP="002D45C8">
      <w:pPr>
        <w:numPr>
          <w:ilvl w:val="1"/>
          <w:numId w:val="24"/>
        </w:numPr>
        <w:spacing w:before="100" w:beforeAutospacing="1" w:after="100" w:afterAutospacing="1"/>
      </w:pPr>
      <w:r w:rsidRPr="002D45C8">
        <w:rPr>
          <w:i/>
          <w:iCs/>
        </w:rPr>
        <w:t>Chinese</w:t>
      </w:r>
      <w:r w:rsidRPr="002D45C8">
        <w:t>: “没有重复性的发明才可以被授予欧洲专利。”</w:t>
      </w:r>
    </w:p>
    <w:p w14:paraId="56788470" w14:textId="77777777" w:rsidR="002D45C8" w:rsidRPr="002D45C8" w:rsidRDefault="002D45C8" w:rsidP="002D45C8">
      <w:pPr>
        <w:numPr>
          <w:ilvl w:val="0"/>
          <w:numId w:val="24"/>
        </w:numPr>
        <w:spacing w:before="100" w:beforeAutospacing="1" w:after="100" w:afterAutospacing="1"/>
      </w:pPr>
      <w:r w:rsidRPr="002D45C8">
        <w:rPr>
          <w:b/>
          <w:bCs/>
        </w:rPr>
        <w:t>Inventive Step (Article 56, EPC)</w:t>
      </w:r>
      <w:r w:rsidRPr="002D45C8">
        <w:t>:</w:t>
      </w:r>
    </w:p>
    <w:p w14:paraId="687D92C7" w14:textId="77777777" w:rsidR="002D45C8" w:rsidRPr="002D45C8" w:rsidRDefault="002D45C8" w:rsidP="002D45C8">
      <w:pPr>
        <w:numPr>
          <w:ilvl w:val="1"/>
          <w:numId w:val="24"/>
        </w:numPr>
        <w:spacing w:before="100" w:beforeAutospacing="1" w:after="100" w:afterAutospacing="1"/>
      </w:pPr>
      <w:r w:rsidRPr="002D45C8">
        <w:rPr>
          <w:i/>
          <w:iCs/>
        </w:rPr>
        <w:t>English</w:t>
      </w:r>
      <w:r w:rsidRPr="002D45C8">
        <w:t>: "An invention involves an inventive step if it is not obvious to a person skilled in the art."</w:t>
      </w:r>
    </w:p>
    <w:p w14:paraId="3474D12F" w14:textId="77777777" w:rsidR="002D45C8" w:rsidRPr="002D45C8" w:rsidRDefault="002D45C8" w:rsidP="002D45C8">
      <w:pPr>
        <w:numPr>
          <w:ilvl w:val="1"/>
          <w:numId w:val="24"/>
        </w:numPr>
        <w:spacing w:before="100" w:beforeAutospacing="1" w:after="100" w:afterAutospacing="1"/>
      </w:pPr>
      <w:r w:rsidRPr="002D45C8">
        <w:rPr>
          <w:i/>
          <w:iCs/>
        </w:rPr>
        <w:t>Chinese</w:t>
      </w:r>
      <w:r w:rsidRPr="002D45C8">
        <w:t>: “如果对于未来技术专心人不显而易理解，该发明就具备创造性。”</w:t>
      </w:r>
    </w:p>
    <w:p w14:paraId="0089B957" w14:textId="77777777" w:rsidR="002D45C8" w:rsidRPr="002D45C8" w:rsidRDefault="002D45C8" w:rsidP="002D45C8">
      <w:pPr>
        <w:numPr>
          <w:ilvl w:val="0"/>
          <w:numId w:val="24"/>
        </w:numPr>
        <w:spacing w:before="100" w:beforeAutospacing="1" w:after="100" w:afterAutospacing="1"/>
      </w:pPr>
      <w:r w:rsidRPr="002D45C8">
        <w:rPr>
          <w:b/>
          <w:bCs/>
        </w:rPr>
        <w:t>Industrial Application (Article 57, EPC)</w:t>
      </w:r>
      <w:r w:rsidRPr="002D45C8">
        <w:t>:</w:t>
      </w:r>
    </w:p>
    <w:p w14:paraId="3E97FA19" w14:textId="77777777" w:rsidR="002D45C8" w:rsidRPr="002D45C8" w:rsidRDefault="002D45C8" w:rsidP="002D45C8">
      <w:pPr>
        <w:numPr>
          <w:ilvl w:val="1"/>
          <w:numId w:val="24"/>
        </w:numPr>
        <w:spacing w:before="100" w:beforeAutospacing="1" w:after="100" w:afterAutospacing="1"/>
      </w:pPr>
      <w:r w:rsidRPr="002D45C8">
        <w:rPr>
          <w:i/>
          <w:iCs/>
        </w:rPr>
        <w:t>English</w:t>
      </w:r>
      <w:r w:rsidRPr="002D45C8">
        <w:t>: "An invention shall be considered susceptible of industrial application if it can be made or used in any kind of industry."</w:t>
      </w:r>
    </w:p>
    <w:p w14:paraId="67627376" w14:textId="77777777" w:rsidR="002D45C8" w:rsidRPr="002D45C8" w:rsidRDefault="002D45C8" w:rsidP="002D45C8">
      <w:pPr>
        <w:numPr>
          <w:ilvl w:val="1"/>
          <w:numId w:val="24"/>
        </w:numPr>
        <w:spacing w:before="100" w:beforeAutospacing="1" w:after="100" w:afterAutospacing="1"/>
      </w:pPr>
      <w:r w:rsidRPr="002D45C8">
        <w:rPr>
          <w:i/>
          <w:iCs/>
        </w:rPr>
        <w:t>Chinese</w:t>
      </w:r>
      <w:r w:rsidRPr="002D45C8">
        <w:t>: “发明只要可以实际应用于任何类型的产业，即具备工业应用性。”</w:t>
      </w:r>
    </w:p>
    <w:p w14:paraId="46F46E21" w14:textId="77777777" w:rsidR="002D45C8" w:rsidRPr="002D45C8" w:rsidRDefault="002D45C8" w:rsidP="002D45C8">
      <w:pPr>
        <w:spacing w:before="100" w:beforeAutospacing="1" w:after="100" w:afterAutospacing="1"/>
        <w:outlineLvl w:val="3"/>
        <w:rPr>
          <w:b/>
          <w:bCs/>
        </w:rPr>
      </w:pPr>
      <w:r w:rsidRPr="002D45C8">
        <w:rPr>
          <w:b/>
          <w:bCs/>
        </w:rPr>
        <w:t>2.2 Copyright Protection</w:t>
      </w:r>
    </w:p>
    <w:p w14:paraId="2A31AFEC" w14:textId="77777777" w:rsidR="002D45C8" w:rsidRPr="002D45C8" w:rsidRDefault="002D45C8" w:rsidP="002D45C8">
      <w:pPr>
        <w:numPr>
          <w:ilvl w:val="0"/>
          <w:numId w:val="25"/>
        </w:numPr>
        <w:spacing w:before="100" w:beforeAutospacing="1" w:after="100" w:afterAutospacing="1"/>
      </w:pPr>
      <w:r w:rsidRPr="002D45C8">
        <w:rPr>
          <w:b/>
          <w:bCs/>
        </w:rPr>
        <w:lastRenderedPageBreak/>
        <w:t>Neural Network Model and Training Data</w:t>
      </w:r>
      <w:r w:rsidRPr="002D45C8">
        <w:t>: The neural network’s structure and training datasets may qualify for copyright protection under the Berne Convention, provided they constitute the author’s own intellectual creation.</w:t>
      </w:r>
    </w:p>
    <w:p w14:paraId="4F36B299" w14:textId="77777777" w:rsidR="002D45C8" w:rsidRPr="002D45C8" w:rsidRDefault="002D45C8" w:rsidP="002D45C8">
      <w:pPr>
        <w:numPr>
          <w:ilvl w:val="0"/>
          <w:numId w:val="25"/>
        </w:numPr>
        <w:spacing w:before="100" w:beforeAutospacing="1" w:after="100" w:afterAutospacing="1"/>
      </w:pPr>
      <w:r w:rsidRPr="002D45C8">
        <w:rPr>
          <w:b/>
          <w:bCs/>
        </w:rPr>
        <w:t>Relevant Provision (Article 2(1), Berne Convention)</w:t>
      </w:r>
      <w:r w:rsidRPr="002D45C8">
        <w:t>:</w:t>
      </w:r>
    </w:p>
    <w:p w14:paraId="006E6476" w14:textId="77777777" w:rsidR="002D45C8" w:rsidRPr="002D45C8" w:rsidRDefault="002D45C8" w:rsidP="002D45C8">
      <w:pPr>
        <w:numPr>
          <w:ilvl w:val="1"/>
          <w:numId w:val="25"/>
        </w:numPr>
        <w:spacing w:before="100" w:beforeAutospacing="1" w:after="100" w:afterAutospacing="1"/>
      </w:pPr>
      <w:r w:rsidRPr="002D45C8">
        <w:rPr>
          <w:i/>
          <w:iCs/>
        </w:rPr>
        <w:t>English</w:t>
      </w:r>
      <w:r w:rsidRPr="002D45C8">
        <w:t>: “Literary and artistic works… include every production in the literary, scientific, and artistic domain, whatever may be the mode or form of its expression.”</w:t>
      </w:r>
    </w:p>
    <w:p w14:paraId="2610C448" w14:textId="77777777" w:rsidR="002D45C8" w:rsidRPr="002D45C8" w:rsidRDefault="002D45C8" w:rsidP="002D45C8">
      <w:pPr>
        <w:numPr>
          <w:ilvl w:val="1"/>
          <w:numId w:val="25"/>
        </w:numPr>
        <w:spacing w:before="100" w:beforeAutospacing="1" w:after="100" w:afterAutospacing="1"/>
      </w:pPr>
      <w:r w:rsidRPr="002D45C8">
        <w:rPr>
          <w:i/>
          <w:iCs/>
        </w:rPr>
        <w:t>Chinese</w:t>
      </w:r>
      <w:r w:rsidRPr="002D45C8">
        <w:t>: “文学和艺术作品包括文学、科学和艺术领域内一切表达形式的作品。”</w:t>
      </w:r>
    </w:p>
    <w:p w14:paraId="6C46C796" w14:textId="77777777" w:rsidR="002D45C8" w:rsidRPr="002D45C8" w:rsidRDefault="002D45C8" w:rsidP="002D45C8">
      <w:pPr>
        <w:spacing w:before="100" w:beforeAutospacing="1" w:after="100" w:afterAutospacing="1"/>
        <w:outlineLvl w:val="3"/>
        <w:rPr>
          <w:b/>
          <w:bCs/>
        </w:rPr>
      </w:pPr>
      <w:r w:rsidRPr="002D45C8">
        <w:rPr>
          <w:b/>
          <w:bCs/>
        </w:rPr>
        <w:t>2.3 Trade Secrets</w:t>
      </w:r>
    </w:p>
    <w:p w14:paraId="7263AB21" w14:textId="77777777" w:rsidR="002D45C8" w:rsidRPr="002D45C8" w:rsidRDefault="002D45C8" w:rsidP="002D45C8">
      <w:pPr>
        <w:numPr>
          <w:ilvl w:val="0"/>
          <w:numId w:val="26"/>
        </w:numPr>
        <w:spacing w:before="100" w:beforeAutospacing="1" w:after="100" w:afterAutospacing="1"/>
      </w:pPr>
      <w:r w:rsidRPr="002D45C8">
        <w:rPr>
          <w:b/>
          <w:bCs/>
        </w:rPr>
        <w:t>Algorithm and Dot Map Processing</w:t>
      </w:r>
      <w:r w:rsidRPr="002D45C8">
        <w:t>: Apple may protect proprietary algorithms and facial dot map processing techniques as trade secrets.</w:t>
      </w:r>
    </w:p>
    <w:p w14:paraId="74A90D24" w14:textId="77777777" w:rsidR="002D45C8" w:rsidRPr="002D45C8" w:rsidRDefault="002D45C8" w:rsidP="002D45C8">
      <w:pPr>
        <w:numPr>
          <w:ilvl w:val="0"/>
          <w:numId w:val="26"/>
        </w:numPr>
        <w:spacing w:before="100" w:beforeAutospacing="1" w:after="100" w:afterAutospacing="1"/>
      </w:pPr>
      <w:r w:rsidRPr="002D45C8">
        <w:rPr>
          <w:b/>
          <w:bCs/>
        </w:rPr>
        <w:t>Relevant Provision (Directive 2016/943, Article 2)</w:t>
      </w:r>
      <w:r w:rsidRPr="002D45C8">
        <w:t>:</w:t>
      </w:r>
    </w:p>
    <w:p w14:paraId="146A1D89" w14:textId="77777777" w:rsidR="002D45C8" w:rsidRPr="002D45C8" w:rsidRDefault="002D45C8" w:rsidP="002D45C8">
      <w:pPr>
        <w:numPr>
          <w:ilvl w:val="1"/>
          <w:numId w:val="26"/>
        </w:numPr>
        <w:spacing w:before="100" w:beforeAutospacing="1" w:after="100" w:afterAutospacing="1"/>
      </w:pPr>
      <w:r w:rsidRPr="002D45C8">
        <w:rPr>
          <w:i/>
          <w:iCs/>
        </w:rPr>
        <w:t>English</w:t>
      </w:r>
      <w:r w:rsidRPr="002D45C8">
        <w:t>: "Trade secret means information which… has commercial value because it is secret and has been subject to reasonable steps to keep it secret."</w:t>
      </w:r>
    </w:p>
    <w:p w14:paraId="45FBC332" w14:textId="77777777" w:rsidR="002D45C8" w:rsidRPr="002D45C8" w:rsidRDefault="002D45C8" w:rsidP="002D45C8">
      <w:pPr>
        <w:numPr>
          <w:ilvl w:val="1"/>
          <w:numId w:val="26"/>
        </w:numPr>
        <w:spacing w:before="100" w:beforeAutospacing="1" w:after="100" w:afterAutospacing="1"/>
      </w:pPr>
      <w:r w:rsidRPr="002D45C8">
        <w:rPr>
          <w:i/>
          <w:iCs/>
        </w:rPr>
        <w:t>Chinese</w:t>
      </w:r>
      <w:r w:rsidRPr="002D45C8">
        <w:t>: “商业秘密是按合理手段保存且因其秘密性而具有商业价值的信息。”</w:t>
      </w:r>
    </w:p>
    <w:p w14:paraId="667C385E" w14:textId="77777777" w:rsidR="002D45C8" w:rsidRPr="002D45C8" w:rsidRDefault="002D45C8" w:rsidP="002D45C8">
      <w:pPr>
        <w:spacing w:before="100" w:beforeAutospacing="1" w:after="100" w:afterAutospacing="1"/>
        <w:outlineLvl w:val="3"/>
        <w:rPr>
          <w:b/>
          <w:bCs/>
        </w:rPr>
      </w:pPr>
      <w:r w:rsidRPr="002D45C8">
        <w:rPr>
          <w:b/>
          <w:bCs/>
        </w:rPr>
        <w:t>2.4 Design Protection</w:t>
      </w:r>
    </w:p>
    <w:p w14:paraId="468B5ADF" w14:textId="77777777" w:rsidR="002D45C8" w:rsidRPr="002D45C8" w:rsidRDefault="002D45C8" w:rsidP="002D45C8">
      <w:pPr>
        <w:numPr>
          <w:ilvl w:val="0"/>
          <w:numId w:val="27"/>
        </w:numPr>
        <w:spacing w:before="100" w:beforeAutospacing="1" w:after="100" w:afterAutospacing="1"/>
      </w:pPr>
      <w:r w:rsidRPr="002D45C8">
        <w:t>The aesthetic and functional design of Face ID hardware, including the camera module and dot projector, may qualify for design protection.</w:t>
      </w:r>
    </w:p>
    <w:p w14:paraId="6B29E5FD" w14:textId="77777777" w:rsidR="002D45C8" w:rsidRPr="002D45C8" w:rsidRDefault="002D45C8" w:rsidP="002D45C8">
      <w:pPr>
        <w:numPr>
          <w:ilvl w:val="0"/>
          <w:numId w:val="27"/>
        </w:numPr>
        <w:spacing w:before="100" w:beforeAutospacing="1" w:after="100" w:afterAutospacing="1"/>
      </w:pPr>
      <w:r w:rsidRPr="002D45C8">
        <w:rPr>
          <w:b/>
          <w:bCs/>
        </w:rPr>
        <w:t>Relevant Provision (Directive 98/71/EC, Article 3)</w:t>
      </w:r>
      <w:r w:rsidRPr="002D45C8">
        <w:t>:</w:t>
      </w:r>
    </w:p>
    <w:p w14:paraId="416917F7" w14:textId="77777777" w:rsidR="002D45C8" w:rsidRPr="002D45C8" w:rsidRDefault="002D45C8" w:rsidP="002D45C8">
      <w:pPr>
        <w:numPr>
          <w:ilvl w:val="1"/>
          <w:numId w:val="27"/>
        </w:numPr>
        <w:spacing w:before="100" w:beforeAutospacing="1" w:after="100" w:afterAutospacing="1"/>
      </w:pPr>
      <w:r w:rsidRPr="002D45C8">
        <w:rPr>
          <w:i/>
          <w:iCs/>
        </w:rPr>
        <w:t>English</w:t>
      </w:r>
      <w:r w:rsidRPr="002D45C8">
        <w:t>: "A design shall be protected if it is new and has individual character."</w:t>
      </w:r>
    </w:p>
    <w:p w14:paraId="77C93EB6" w14:textId="77777777" w:rsidR="002D45C8" w:rsidRPr="002D45C8" w:rsidRDefault="002D45C8" w:rsidP="002D45C8">
      <w:pPr>
        <w:numPr>
          <w:ilvl w:val="1"/>
          <w:numId w:val="27"/>
        </w:numPr>
        <w:spacing w:before="100" w:beforeAutospacing="1" w:after="100" w:afterAutospacing="1"/>
      </w:pPr>
      <w:r w:rsidRPr="002D45C8">
        <w:rPr>
          <w:i/>
          <w:iCs/>
        </w:rPr>
        <w:t>Chinese</w:t>
      </w:r>
      <w:r w:rsidRPr="002D45C8">
        <w:t>: “如果设计具备新颜和独特性，则应该受到保护。”</w:t>
      </w:r>
    </w:p>
    <w:p w14:paraId="7E77C01A" w14:textId="77777777" w:rsidR="002D45C8" w:rsidRPr="002D45C8" w:rsidRDefault="00F81BAE" w:rsidP="002D45C8">
      <w:r w:rsidRPr="002D45C8">
        <w:rPr>
          <w:noProof/>
        </w:rPr>
        <w:pict w14:anchorId="022806BF">
          <v:rect id="_x0000_i1318" alt="" style="width:415.3pt;height:.05pt;mso-width-percent:0;mso-height-percent:0;mso-width-percent:0;mso-height-percent:0" o:hralign="center" o:hrstd="t" o:hr="t" fillcolor="#a0a0a0" stroked="f"/>
        </w:pict>
      </w:r>
    </w:p>
    <w:p w14:paraId="5311AC8A" w14:textId="77777777" w:rsidR="002D45C8" w:rsidRPr="002D45C8" w:rsidRDefault="002D45C8" w:rsidP="002D45C8">
      <w:pPr>
        <w:spacing w:before="100" w:beforeAutospacing="1" w:after="100" w:afterAutospacing="1"/>
        <w:outlineLvl w:val="2"/>
        <w:rPr>
          <w:b/>
          <w:bCs/>
          <w:sz w:val="27"/>
          <w:szCs w:val="27"/>
        </w:rPr>
      </w:pPr>
      <w:r w:rsidRPr="002D45C8">
        <w:rPr>
          <w:b/>
          <w:bCs/>
          <w:sz w:val="27"/>
          <w:szCs w:val="27"/>
        </w:rPr>
        <w:t>3. Key Legal Considerations</w:t>
      </w:r>
    </w:p>
    <w:p w14:paraId="68151727" w14:textId="77777777" w:rsidR="002D45C8" w:rsidRPr="002D45C8" w:rsidRDefault="002D45C8" w:rsidP="002D45C8">
      <w:pPr>
        <w:spacing w:before="100" w:beforeAutospacing="1" w:after="100" w:afterAutospacing="1"/>
        <w:outlineLvl w:val="3"/>
        <w:rPr>
          <w:b/>
          <w:bCs/>
        </w:rPr>
      </w:pPr>
      <w:r w:rsidRPr="002D45C8">
        <w:rPr>
          <w:b/>
          <w:bCs/>
        </w:rPr>
        <w:t>3.1 Ownership and Licensing</w:t>
      </w:r>
    </w:p>
    <w:p w14:paraId="0C261806" w14:textId="77777777" w:rsidR="002D45C8" w:rsidRPr="002D45C8" w:rsidRDefault="002D45C8" w:rsidP="002D45C8">
      <w:pPr>
        <w:numPr>
          <w:ilvl w:val="0"/>
          <w:numId w:val="28"/>
        </w:numPr>
        <w:spacing w:before="100" w:beforeAutospacing="1" w:after="100" w:afterAutospacing="1"/>
      </w:pPr>
      <w:r w:rsidRPr="002D45C8">
        <w:t>Who owns the neural network and its training data? Apple must ensure clear ownership or proper licensing agreements to prevent future disputes.</w:t>
      </w:r>
    </w:p>
    <w:p w14:paraId="2C746464" w14:textId="77777777" w:rsidR="002D45C8" w:rsidRPr="002D45C8" w:rsidRDefault="002D45C8" w:rsidP="002D45C8">
      <w:pPr>
        <w:spacing w:before="100" w:beforeAutospacing="1" w:after="100" w:afterAutospacing="1"/>
        <w:outlineLvl w:val="3"/>
        <w:rPr>
          <w:b/>
          <w:bCs/>
        </w:rPr>
      </w:pPr>
      <w:r w:rsidRPr="002D45C8">
        <w:rPr>
          <w:b/>
          <w:bCs/>
        </w:rPr>
        <w:lastRenderedPageBreak/>
        <w:t>3.2 Infringement Risks</w:t>
      </w:r>
    </w:p>
    <w:p w14:paraId="083C0B60" w14:textId="77777777" w:rsidR="002D45C8" w:rsidRPr="002D45C8" w:rsidRDefault="002D45C8" w:rsidP="002D45C8">
      <w:pPr>
        <w:numPr>
          <w:ilvl w:val="0"/>
          <w:numId w:val="29"/>
        </w:numPr>
        <w:spacing w:before="100" w:beforeAutospacing="1" w:after="100" w:afterAutospacing="1"/>
      </w:pPr>
      <w:r w:rsidRPr="002D45C8">
        <w:t>Competitors may attempt to reverse-engineer Apple’s technology, raising concerns about potential infringement on patents, copyrights, or trade secrets.</w:t>
      </w:r>
    </w:p>
    <w:p w14:paraId="028D1A73" w14:textId="77777777" w:rsidR="002D45C8" w:rsidRPr="002D45C8" w:rsidRDefault="002D45C8" w:rsidP="002D45C8">
      <w:pPr>
        <w:spacing w:before="100" w:beforeAutospacing="1" w:after="100" w:afterAutospacing="1"/>
        <w:outlineLvl w:val="3"/>
        <w:rPr>
          <w:b/>
          <w:bCs/>
        </w:rPr>
      </w:pPr>
      <w:r w:rsidRPr="002D45C8">
        <w:rPr>
          <w:b/>
          <w:bCs/>
        </w:rPr>
        <w:t>3.3 International Protection</w:t>
      </w:r>
    </w:p>
    <w:p w14:paraId="7A3C6692" w14:textId="77777777" w:rsidR="002D45C8" w:rsidRPr="002D45C8" w:rsidRDefault="002D45C8" w:rsidP="002D45C8">
      <w:pPr>
        <w:numPr>
          <w:ilvl w:val="0"/>
          <w:numId w:val="30"/>
        </w:numPr>
        <w:spacing w:before="100" w:beforeAutospacing="1" w:after="100" w:afterAutospacing="1"/>
      </w:pPr>
      <w:r w:rsidRPr="002D45C8">
        <w:t>Since Apple operates globally, it must navigate differences in IP laws, ensuring protection across jurisdictions under agreements like the TRIPS Agreement.</w:t>
      </w:r>
    </w:p>
    <w:p w14:paraId="7A37E31A" w14:textId="77777777" w:rsidR="002D45C8" w:rsidRPr="002D45C8" w:rsidRDefault="00F81BAE" w:rsidP="002D45C8">
      <w:r w:rsidRPr="002D45C8">
        <w:rPr>
          <w:noProof/>
        </w:rPr>
        <w:pict w14:anchorId="75CCEE7C">
          <v:rect id="_x0000_i1317" alt="" style="width:415.3pt;height:.05pt;mso-width-percent:0;mso-height-percent:0;mso-width-percent:0;mso-height-percent:0" o:hralign="center" o:hrstd="t" o:hr="t" fillcolor="#a0a0a0" stroked="f"/>
        </w:pict>
      </w:r>
    </w:p>
    <w:p w14:paraId="4D105B26" w14:textId="77777777" w:rsidR="002D45C8" w:rsidRPr="002D45C8" w:rsidRDefault="002D45C8" w:rsidP="002D45C8">
      <w:pPr>
        <w:spacing w:before="100" w:beforeAutospacing="1" w:after="100" w:afterAutospacing="1"/>
        <w:outlineLvl w:val="2"/>
        <w:rPr>
          <w:b/>
          <w:bCs/>
          <w:sz w:val="27"/>
          <w:szCs w:val="27"/>
        </w:rPr>
      </w:pPr>
      <w:r w:rsidRPr="002D45C8">
        <w:rPr>
          <w:b/>
          <w:bCs/>
          <w:sz w:val="27"/>
          <w:szCs w:val="27"/>
        </w:rPr>
        <w:t>4. Conclusion</w:t>
      </w:r>
    </w:p>
    <w:p w14:paraId="0785A0A4" w14:textId="77777777" w:rsidR="002D45C8" w:rsidRPr="002D45C8" w:rsidRDefault="002D45C8" w:rsidP="002D45C8">
      <w:pPr>
        <w:spacing w:before="100" w:beforeAutospacing="1" w:after="100" w:afterAutospacing="1"/>
      </w:pPr>
      <w:r w:rsidRPr="002D45C8">
        <w:t>Addressing the intellectual property issues surrounding Face ID requires Apple to secure patent, copyright, trade secret, and design protections. Clear licensing, robust enforcement measures, and compliance with international agreements are essential to safeguard Apple’s innovations and maintain its competitive edge.</w:t>
      </w:r>
    </w:p>
    <w:p w14:paraId="2C707345" w14:textId="77777777" w:rsidR="002D45C8" w:rsidRPr="002D45C8" w:rsidRDefault="00F81BAE" w:rsidP="002D45C8">
      <w:r w:rsidRPr="002D45C8">
        <w:rPr>
          <w:noProof/>
        </w:rPr>
        <w:pict w14:anchorId="73677834">
          <v:rect id="_x0000_i1316" alt="" style="width:415.3pt;height:.05pt;mso-width-percent:0;mso-height-percent:0;mso-width-percent:0;mso-height-percent:0" o:hralign="center" o:hrstd="t" o:hr="t" fillcolor="#a0a0a0" stroked="f"/>
        </w:pict>
      </w:r>
    </w:p>
    <w:p w14:paraId="7102E0AD" w14:textId="77777777" w:rsidR="002D45C8" w:rsidRPr="002D45C8" w:rsidRDefault="002D45C8" w:rsidP="002D45C8">
      <w:pPr>
        <w:spacing w:before="100" w:beforeAutospacing="1" w:after="100" w:afterAutospacing="1"/>
      </w:pPr>
      <w:r w:rsidRPr="002D45C8">
        <w:rPr>
          <w:b/>
          <w:bCs/>
        </w:rPr>
        <w:t>References</w:t>
      </w:r>
      <w:r w:rsidRPr="002D45C8">
        <w:t>:</w:t>
      </w:r>
    </w:p>
    <w:p w14:paraId="1672390C" w14:textId="77777777" w:rsidR="002D45C8" w:rsidRPr="002D45C8" w:rsidRDefault="002D45C8" w:rsidP="002D45C8">
      <w:pPr>
        <w:numPr>
          <w:ilvl w:val="0"/>
          <w:numId w:val="31"/>
        </w:numPr>
        <w:spacing w:before="100" w:beforeAutospacing="1" w:after="100" w:afterAutospacing="1"/>
      </w:pPr>
      <w:r w:rsidRPr="002D45C8">
        <w:t>European Patent Convention (EPC)</w:t>
      </w:r>
    </w:p>
    <w:p w14:paraId="37033FED" w14:textId="77777777" w:rsidR="002D45C8" w:rsidRPr="002D45C8" w:rsidRDefault="002D45C8" w:rsidP="002D45C8">
      <w:pPr>
        <w:numPr>
          <w:ilvl w:val="0"/>
          <w:numId w:val="31"/>
        </w:numPr>
        <w:spacing w:before="100" w:beforeAutospacing="1" w:after="100" w:afterAutospacing="1"/>
      </w:pPr>
      <w:r w:rsidRPr="002D45C8">
        <w:t>Berne Convention for the Protection of Literary and Artistic Works</w:t>
      </w:r>
    </w:p>
    <w:p w14:paraId="12B83447" w14:textId="77777777" w:rsidR="002D45C8" w:rsidRPr="002D45C8" w:rsidRDefault="002D45C8" w:rsidP="002D45C8">
      <w:pPr>
        <w:numPr>
          <w:ilvl w:val="0"/>
          <w:numId w:val="31"/>
        </w:numPr>
        <w:spacing w:before="100" w:beforeAutospacing="1" w:after="100" w:afterAutospacing="1"/>
      </w:pPr>
      <w:r w:rsidRPr="002D45C8">
        <w:t>Directive (EU) 2016/943 on Trade Secrets</w:t>
      </w:r>
    </w:p>
    <w:p w14:paraId="3FBA3EB7" w14:textId="77777777" w:rsidR="002D45C8" w:rsidRPr="002D45C8" w:rsidRDefault="002D45C8" w:rsidP="002D45C8">
      <w:pPr>
        <w:numPr>
          <w:ilvl w:val="0"/>
          <w:numId w:val="31"/>
        </w:numPr>
        <w:spacing w:before="100" w:beforeAutospacing="1" w:after="100" w:afterAutospacing="1"/>
      </w:pPr>
      <w:r w:rsidRPr="002D45C8">
        <w:t>Directive 98/71/EC on the Legal Protection of Designs</w:t>
      </w:r>
    </w:p>
    <w:p w14:paraId="62568D60" w14:textId="77777777" w:rsidR="002D45C8" w:rsidRDefault="002D45C8" w:rsidP="00EC780E">
      <w:pPr>
        <w:spacing w:before="100" w:beforeAutospacing="1" w:after="100" w:afterAutospacing="1"/>
        <w:outlineLvl w:val="3"/>
        <w:rPr>
          <w:rFonts w:hint="eastAsia"/>
          <w:b/>
          <w:bCs/>
        </w:rPr>
      </w:pPr>
    </w:p>
    <w:p w14:paraId="32933EA7" w14:textId="20E19C4F" w:rsidR="00EC780E" w:rsidRDefault="00016408" w:rsidP="00EC780E">
      <w:pPr>
        <w:spacing w:before="100" w:beforeAutospacing="1" w:after="100" w:afterAutospacing="1"/>
        <w:outlineLvl w:val="3"/>
        <w:rPr>
          <w:b/>
          <w:bCs/>
        </w:rPr>
      </w:pPr>
      <w:r w:rsidRPr="00016408">
        <w:rPr>
          <w:rFonts w:hint="eastAsia"/>
          <w:b/>
          <w:bCs/>
          <w:highlight w:val="cyan"/>
        </w:rPr>
        <w:t>信息安全</w:t>
      </w:r>
    </w:p>
    <w:p w14:paraId="55F226D8" w14:textId="77777777" w:rsidR="00016408" w:rsidRPr="00016408" w:rsidRDefault="00016408" w:rsidP="00016408">
      <w:pPr>
        <w:spacing w:before="100" w:beforeAutospacing="1" w:after="100" w:afterAutospacing="1"/>
        <w:outlineLvl w:val="2"/>
        <w:rPr>
          <w:b/>
          <w:bCs/>
          <w:sz w:val="27"/>
          <w:szCs w:val="27"/>
        </w:rPr>
      </w:pPr>
      <w:r w:rsidRPr="00016408">
        <w:rPr>
          <w:b/>
          <w:bCs/>
          <w:sz w:val="27"/>
          <w:szCs w:val="27"/>
        </w:rPr>
        <w:t>1. Information Security Concerns</w:t>
      </w:r>
    </w:p>
    <w:p w14:paraId="45C91B36" w14:textId="77777777" w:rsidR="00016408" w:rsidRPr="00016408" w:rsidRDefault="00016408" w:rsidP="00016408">
      <w:pPr>
        <w:spacing w:before="100" w:beforeAutospacing="1" w:after="100" w:afterAutospacing="1"/>
        <w:outlineLvl w:val="3"/>
        <w:rPr>
          <w:b/>
          <w:bCs/>
        </w:rPr>
      </w:pPr>
      <w:r w:rsidRPr="00016408">
        <w:rPr>
          <w:b/>
          <w:bCs/>
        </w:rPr>
        <w:t>1.1. Data Breach and Unauthorized Access</w:t>
      </w:r>
    </w:p>
    <w:p w14:paraId="4F25D24A" w14:textId="77777777" w:rsidR="00016408" w:rsidRPr="00016408" w:rsidRDefault="00016408" w:rsidP="00016408">
      <w:pPr>
        <w:spacing w:before="100" w:beforeAutospacing="1" w:after="100" w:afterAutospacing="1"/>
      </w:pPr>
      <w:r w:rsidRPr="00016408">
        <w:t>Biometric data, such as facial dot maps, are highly sensitive and, if breached, could lead to identity theft, fraud, or misuse.</w:t>
      </w:r>
    </w:p>
    <w:p w14:paraId="79013B65" w14:textId="77777777" w:rsidR="00016408" w:rsidRPr="00016408" w:rsidRDefault="00016408" w:rsidP="00016408">
      <w:pPr>
        <w:spacing w:before="100" w:beforeAutospacing="1" w:after="100" w:afterAutospacing="1"/>
      </w:pPr>
      <w:r w:rsidRPr="00016408">
        <w:rPr>
          <w:b/>
          <w:bCs/>
        </w:rPr>
        <w:t>Relevant Legal Provisions</w:t>
      </w:r>
      <w:r w:rsidRPr="00016408">
        <w:t>:</w:t>
      </w:r>
    </w:p>
    <w:p w14:paraId="3F507BB7" w14:textId="77777777" w:rsidR="00016408" w:rsidRPr="00016408" w:rsidRDefault="00016408" w:rsidP="00016408">
      <w:pPr>
        <w:numPr>
          <w:ilvl w:val="0"/>
          <w:numId w:val="32"/>
        </w:numPr>
        <w:spacing w:before="100" w:beforeAutospacing="1" w:after="100" w:afterAutospacing="1"/>
      </w:pPr>
      <w:r w:rsidRPr="00016408">
        <w:rPr>
          <w:b/>
          <w:bCs/>
        </w:rPr>
        <w:lastRenderedPageBreak/>
        <w:t>GDPR Article 32 (Security of Processing)</w:t>
      </w:r>
      <w:r w:rsidRPr="00016408">
        <w:t>: Requires appropriate technical and organizational measures to ensure a level of security appropriate to the risk, such as pseudonymization, encryption, and regular security assessments.</w:t>
      </w:r>
    </w:p>
    <w:p w14:paraId="0DA6F639" w14:textId="77777777" w:rsidR="00016408" w:rsidRPr="00016408" w:rsidRDefault="00016408" w:rsidP="00016408">
      <w:pPr>
        <w:spacing w:before="100" w:beforeAutospacing="1" w:after="100" w:afterAutospacing="1"/>
        <w:outlineLvl w:val="3"/>
        <w:rPr>
          <w:b/>
          <w:bCs/>
        </w:rPr>
      </w:pPr>
      <w:r w:rsidRPr="00016408">
        <w:rPr>
          <w:b/>
          <w:bCs/>
        </w:rPr>
        <w:t>1.2. Data Integrity and Confidentiality</w:t>
      </w:r>
    </w:p>
    <w:p w14:paraId="59409AE8" w14:textId="77777777" w:rsidR="00016408" w:rsidRPr="00016408" w:rsidRDefault="00016408" w:rsidP="00016408">
      <w:pPr>
        <w:spacing w:before="100" w:beforeAutospacing="1" w:after="100" w:afterAutospacing="1"/>
      </w:pPr>
      <w:r w:rsidRPr="00016408">
        <w:t>Ensuring the integrity and confidentiality of biometric data is paramount, given its sensitivity and potential misuse.</w:t>
      </w:r>
    </w:p>
    <w:p w14:paraId="1E83AAF2" w14:textId="77777777" w:rsidR="00016408" w:rsidRPr="00016408" w:rsidRDefault="00016408" w:rsidP="00016408">
      <w:pPr>
        <w:spacing w:before="100" w:beforeAutospacing="1" w:after="100" w:afterAutospacing="1"/>
      </w:pPr>
      <w:r w:rsidRPr="00016408">
        <w:rPr>
          <w:b/>
          <w:bCs/>
        </w:rPr>
        <w:t>Relevant Legal Provisions</w:t>
      </w:r>
      <w:r w:rsidRPr="00016408">
        <w:t>:</w:t>
      </w:r>
    </w:p>
    <w:p w14:paraId="3C41D8A3" w14:textId="77777777" w:rsidR="00016408" w:rsidRPr="00016408" w:rsidRDefault="00016408" w:rsidP="00016408">
      <w:pPr>
        <w:numPr>
          <w:ilvl w:val="0"/>
          <w:numId w:val="33"/>
        </w:numPr>
        <w:spacing w:before="100" w:beforeAutospacing="1" w:after="100" w:afterAutospacing="1"/>
      </w:pPr>
      <w:r w:rsidRPr="00016408">
        <w:rPr>
          <w:b/>
          <w:bCs/>
        </w:rPr>
        <w:t>GDPR Article 5(1)(f) (Integrity and Confidentiality)</w:t>
      </w:r>
      <w:r w:rsidRPr="00016408">
        <w:t>: Personal data must be processed in a manner that ensures its security, protecting against unauthorized or unlawful processing, accidental loss, or destruction.</w:t>
      </w:r>
    </w:p>
    <w:p w14:paraId="4520AD12" w14:textId="77777777" w:rsidR="00016408" w:rsidRPr="00016408" w:rsidRDefault="00016408" w:rsidP="00016408">
      <w:pPr>
        <w:numPr>
          <w:ilvl w:val="0"/>
          <w:numId w:val="33"/>
        </w:numPr>
        <w:spacing w:before="100" w:beforeAutospacing="1" w:after="100" w:afterAutospacing="1"/>
      </w:pPr>
      <w:r w:rsidRPr="00016408">
        <w:rPr>
          <w:b/>
          <w:bCs/>
        </w:rPr>
        <w:t>NIS 2 Directive Article 21 (Risk Management Measures)</w:t>
      </w:r>
      <w:r w:rsidRPr="00016408">
        <w:t>: Mandates appropriate technical, operational, and organizational measures to ensure the security of network and information systems.</w:t>
      </w:r>
    </w:p>
    <w:p w14:paraId="119C6CCD" w14:textId="77777777" w:rsidR="00016408" w:rsidRPr="00016408" w:rsidRDefault="00F81BAE" w:rsidP="00016408">
      <w:r w:rsidRPr="00016408">
        <w:rPr>
          <w:noProof/>
        </w:rPr>
        <w:pict w14:anchorId="0105C823">
          <v:rect id="_x0000_i1315" alt="" style="width:415.3pt;height:.05pt;mso-width-percent:0;mso-height-percent:0;mso-width-percent:0;mso-height-percent:0" o:hralign="center" o:hrstd="t" o:hr="t" fillcolor="#a0a0a0" stroked="f"/>
        </w:pict>
      </w:r>
    </w:p>
    <w:p w14:paraId="39069F1C" w14:textId="77777777" w:rsidR="00016408" w:rsidRPr="00016408" w:rsidRDefault="00016408" w:rsidP="00016408">
      <w:pPr>
        <w:spacing w:before="100" w:beforeAutospacing="1" w:after="100" w:afterAutospacing="1"/>
        <w:outlineLvl w:val="2"/>
        <w:rPr>
          <w:b/>
          <w:bCs/>
          <w:sz w:val="27"/>
          <w:szCs w:val="27"/>
        </w:rPr>
      </w:pPr>
      <w:r w:rsidRPr="00016408">
        <w:rPr>
          <w:b/>
          <w:bCs/>
          <w:sz w:val="27"/>
          <w:szCs w:val="27"/>
        </w:rPr>
        <w:t>2. Security Best Practices and Legal Compliance</w:t>
      </w:r>
    </w:p>
    <w:p w14:paraId="4E12B636" w14:textId="77777777" w:rsidR="00016408" w:rsidRPr="00016408" w:rsidRDefault="00016408" w:rsidP="00016408">
      <w:pPr>
        <w:spacing w:before="100" w:beforeAutospacing="1" w:after="100" w:afterAutospacing="1"/>
        <w:outlineLvl w:val="3"/>
        <w:rPr>
          <w:b/>
          <w:bCs/>
        </w:rPr>
      </w:pPr>
      <w:r w:rsidRPr="00016408">
        <w:rPr>
          <w:b/>
          <w:bCs/>
        </w:rPr>
        <w:t>2.1. Technical Safeguards</w:t>
      </w:r>
    </w:p>
    <w:p w14:paraId="3EE50292" w14:textId="77777777" w:rsidR="00016408" w:rsidRPr="00016408" w:rsidRDefault="00016408" w:rsidP="00016408">
      <w:pPr>
        <w:numPr>
          <w:ilvl w:val="0"/>
          <w:numId w:val="34"/>
        </w:numPr>
        <w:spacing w:before="100" w:beforeAutospacing="1" w:after="100" w:afterAutospacing="1"/>
      </w:pPr>
      <w:r w:rsidRPr="00016408">
        <w:t>Implement advanced encryption mechanisms for stored and transmitted biometric data.</w:t>
      </w:r>
    </w:p>
    <w:p w14:paraId="72A0636B" w14:textId="77777777" w:rsidR="00016408" w:rsidRPr="00016408" w:rsidRDefault="00016408" w:rsidP="00016408">
      <w:pPr>
        <w:numPr>
          <w:ilvl w:val="0"/>
          <w:numId w:val="34"/>
        </w:numPr>
        <w:spacing w:before="100" w:beforeAutospacing="1" w:after="100" w:afterAutospacing="1"/>
      </w:pPr>
      <w:r w:rsidRPr="00016408">
        <w:t xml:space="preserve">Use </w:t>
      </w:r>
      <w:r w:rsidRPr="00016408">
        <w:rPr>
          <w:b/>
          <w:bCs/>
        </w:rPr>
        <w:t>local device storage</w:t>
      </w:r>
      <w:r w:rsidRPr="00016408">
        <w:t xml:space="preserve"> to minimize external data exposure.</w:t>
      </w:r>
    </w:p>
    <w:p w14:paraId="0E12EB8C" w14:textId="77777777" w:rsidR="00016408" w:rsidRPr="00016408" w:rsidRDefault="00016408" w:rsidP="00016408">
      <w:pPr>
        <w:spacing w:before="100" w:beforeAutospacing="1" w:after="100" w:afterAutospacing="1"/>
        <w:outlineLvl w:val="3"/>
        <w:rPr>
          <w:b/>
          <w:bCs/>
        </w:rPr>
      </w:pPr>
      <w:r w:rsidRPr="00016408">
        <w:rPr>
          <w:b/>
          <w:bCs/>
        </w:rPr>
        <w:t>2.2. Organizational Safeguards</w:t>
      </w:r>
    </w:p>
    <w:p w14:paraId="06E30E17" w14:textId="77777777" w:rsidR="00016408" w:rsidRPr="00016408" w:rsidRDefault="00016408" w:rsidP="00016408">
      <w:pPr>
        <w:numPr>
          <w:ilvl w:val="0"/>
          <w:numId w:val="35"/>
        </w:numPr>
        <w:spacing w:before="100" w:beforeAutospacing="1" w:after="100" w:afterAutospacing="1"/>
      </w:pPr>
      <w:r w:rsidRPr="00016408">
        <w:t xml:space="preserve">Conduct regular </w:t>
      </w:r>
      <w:r w:rsidRPr="00016408">
        <w:rPr>
          <w:b/>
          <w:bCs/>
        </w:rPr>
        <w:t>Data Protection Impact Assessments (DPIAs)</w:t>
      </w:r>
      <w:r w:rsidRPr="00016408">
        <w:t xml:space="preserve"> as mandated under </w:t>
      </w:r>
      <w:r w:rsidRPr="00016408">
        <w:rPr>
          <w:b/>
          <w:bCs/>
        </w:rPr>
        <w:t>GDPR Article 35</w:t>
      </w:r>
      <w:r w:rsidRPr="00016408">
        <w:t xml:space="preserve"> to evaluate and mitigate risks associated with biometric data processing.</w:t>
      </w:r>
    </w:p>
    <w:p w14:paraId="4FA02C9F" w14:textId="77777777" w:rsidR="00016408" w:rsidRPr="00016408" w:rsidRDefault="00016408" w:rsidP="00016408">
      <w:pPr>
        <w:numPr>
          <w:ilvl w:val="0"/>
          <w:numId w:val="35"/>
        </w:numPr>
        <w:spacing w:before="100" w:beforeAutospacing="1" w:after="100" w:afterAutospacing="1"/>
      </w:pPr>
      <w:r w:rsidRPr="00016408">
        <w:t>Establish robust incident response plans for timely breach detection and notification.</w:t>
      </w:r>
    </w:p>
    <w:p w14:paraId="4EDCA64E" w14:textId="77777777" w:rsidR="00016408" w:rsidRPr="00016408" w:rsidRDefault="00F81BAE" w:rsidP="00016408">
      <w:r w:rsidRPr="00016408">
        <w:rPr>
          <w:noProof/>
        </w:rPr>
        <w:pict w14:anchorId="0B489767">
          <v:rect id="_x0000_i1314" alt="" style="width:415.3pt;height:.05pt;mso-width-percent:0;mso-height-percent:0;mso-width-percent:0;mso-height-percent:0" o:hralign="center" o:hrstd="t" o:hr="t" fillcolor="#a0a0a0" stroked="f"/>
        </w:pict>
      </w:r>
    </w:p>
    <w:p w14:paraId="01E4D050" w14:textId="77777777" w:rsidR="00016408" w:rsidRPr="00016408" w:rsidRDefault="00016408" w:rsidP="00016408">
      <w:pPr>
        <w:spacing w:before="100" w:beforeAutospacing="1" w:after="100" w:afterAutospacing="1"/>
        <w:outlineLvl w:val="2"/>
        <w:rPr>
          <w:b/>
          <w:bCs/>
          <w:sz w:val="27"/>
          <w:szCs w:val="27"/>
        </w:rPr>
      </w:pPr>
      <w:r w:rsidRPr="00016408">
        <w:rPr>
          <w:b/>
          <w:bCs/>
          <w:sz w:val="27"/>
          <w:szCs w:val="27"/>
        </w:rPr>
        <w:t>3. Conclusion</w:t>
      </w:r>
    </w:p>
    <w:p w14:paraId="42183599" w14:textId="77777777" w:rsidR="00016408" w:rsidRPr="00016408" w:rsidRDefault="00016408" w:rsidP="00016408">
      <w:pPr>
        <w:spacing w:before="100" w:beforeAutospacing="1" w:after="100" w:afterAutospacing="1"/>
      </w:pPr>
      <w:r w:rsidRPr="00016408">
        <w:lastRenderedPageBreak/>
        <w:t xml:space="preserve">Apple’s use of Face ID technology introduces significant information security risks due to the sensitive nature of biometric data. Ensuring compliance with GDPR, NIS 2, and other applicable laws is essential to mitigating these risks. Legal provisions such as </w:t>
      </w:r>
      <w:r w:rsidRPr="00016408">
        <w:rPr>
          <w:b/>
          <w:bCs/>
        </w:rPr>
        <w:t>GDPR Articles 5, 32</w:t>
      </w:r>
      <w:r w:rsidRPr="00016408">
        <w:t xml:space="preserve">, and </w:t>
      </w:r>
      <w:r w:rsidRPr="00016408">
        <w:rPr>
          <w:b/>
          <w:bCs/>
        </w:rPr>
        <w:t>NIS 2 Directive Article 21</w:t>
      </w:r>
      <w:r w:rsidRPr="00016408">
        <w:t xml:space="preserve"> highlight the need for technical and organizational safeguards to secure data and maintain user trust.</w:t>
      </w:r>
    </w:p>
    <w:p w14:paraId="5D6746E8" w14:textId="77777777" w:rsidR="00016408" w:rsidRPr="00016408" w:rsidRDefault="00016408" w:rsidP="00EC780E">
      <w:pPr>
        <w:spacing w:before="100" w:beforeAutospacing="1" w:after="100" w:afterAutospacing="1"/>
        <w:outlineLvl w:val="3"/>
        <w:rPr>
          <w:rFonts w:hint="eastAsia"/>
          <w:b/>
          <w:bCs/>
        </w:rPr>
      </w:pPr>
    </w:p>
    <w:p w14:paraId="42EC01C1" w14:textId="0DC9B06C" w:rsidR="00EC780E" w:rsidRDefault="00EC3F1F" w:rsidP="00EC780E">
      <w:pPr>
        <w:spacing w:before="100" w:beforeAutospacing="1" w:after="100" w:afterAutospacing="1"/>
        <w:outlineLvl w:val="3"/>
        <w:rPr>
          <w:b/>
          <w:bCs/>
        </w:rPr>
      </w:pPr>
      <w:r w:rsidRPr="00EC3F1F">
        <w:rPr>
          <w:rFonts w:hint="eastAsia"/>
          <w:b/>
          <w:bCs/>
          <w:highlight w:val="cyan"/>
        </w:rPr>
        <w:t>知识产权类：</w:t>
      </w:r>
    </w:p>
    <w:p w14:paraId="498B95A2" w14:textId="705BFC36" w:rsidR="00EC3F1F" w:rsidRDefault="00EC3F1F" w:rsidP="00EC780E">
      <w:pPr>
        <w:spacing w:before="100" w:beforeAutospacing="1" w:after="100" w:afterAutospacing="1"/>
        <w:outlineLvl w:val="3"/>
        <w:rPr>
          <w:b/>
          <w:bCs/>
        </w:rPr>
      </w:pPr>
      <w:r w:rsidRPr="00EC3F1F">
        <w:rPr>
          <w:b/>
          <w:bCs/>
        </w:rPr>
        <w:t>个人数据可以成为知识产权 (IPR) 的标的吗</w:t>
      </w:r>
    </w:p>
    <w:p w14:paraId="51947443" w14:textId="77777777" w:rsidR="00EC3F1F" w:rsidRDefault="00EC3F1F" w:rsidP="00EC3F1F">
      <w:pPr>
        <w:pStyle w:val="3"/>
        <w:rPr>
          <w:rFonts w:ascii="宋体" w:eastAsia="宋体" w:hAnsi="宋体" w:cs="宋体"/>
          <w:sz w:val="27"/>
        </w:rPr>
      </w:pPr>
      <w:r>
        <w:rPr>
          <w:rStyle w:val="ae"/>
          <w:b w:val="0"/>
          <w:bCs w:val="0"/>
        </w:rPr>
        <w:t>Can Personal Data Be the Subject Matter of Intellectual Property Rights (IPRs)?</w:t>
      </w:r>
    </w:p>
    <w:p w14:paraId="473D173D" w14:textId="77777777" w:rsidR="00EC3F1F" w:rsidRDefault="00EC3F1F" w:rsidP="00EC3F1F">
      <w:pPr>
        <w:pStyle w:val="af"/>
      </w:pPr>
      <w:r>
        <w:t>The assertion that “data is the new oil” reflects the immense economic value of personal data in today’s digital economy. Personal data is central to modern marketing strategies and business models, raising the question of whether data sets collected for commercial exploitation can be protected as intellectual property. This analysis evaluates the potential applicability of different types of IPRs to personal data, based on previously provided materials.</w:t>
      </w:r>
    </w:p>
    <w:p w14:paraId="0DB16464" w14:textId="77777777" w:rsidR="00EC3F1F" w:rsidRDefault="00F81BAE" w:rsidP="00EC3F1F">
      <w:r>
        <w:rPr>
          <w:noProof/>
        </w:rPr>
        <w:pict w14:anchorId="5906921B">
          <v:rect id="_x0000_i1313" alt="" style="width:415.3pt;height:.05pt;mso-width-percent:0;mso-height-percent:0;mso-width-percent:0;mso-height-percent:0" o:hralign="center" o:hrstd="t" o:hr="t" fillcolor="#a0a0a0" stroked="f"/>
        </w:pict>
      </w:r>
    </w:p>
    <w:p w14:paraId="69651303" w14:textId="77777777" w:rsidR="00EC3F1F" w:rsidRDefault="00EC3F1F" w:rsidP="00EC3F1F">
      <w:pPr>
        <w:pStyle w:val="3"/>
      </w:pPr>
      <w:r>
        <w:rPr>
          <w:rStyle w:val="ae"/>
          <w:b w:val="0"/>
          <w:bCs w:val="0"/>
        </w:rPr>
        <w:t>1. Characteristics of Personal Data and Intellectual Property Rights</w:t>
      </w:r>
    </w:p>
    <w:p w14:paraId="65974D41" w14:textId="77777777" w:rsidR="00EC3F1F" w:rsidRDefault="00EC3F1F" w:rsidP="00EC3F1F">
      <w:pPr>
        <w:pStyle w:val="4"/>
      </w:pPr>
      <w:r>
        <w:rPr>
          <w:rStyle w:val="ae"/>
          <w:b w:val="0"/>
          <w:bCs w:val="0"/>
        </w:rPr>
        <w:t>Personal Data</w:t>
      </w:r>
    </w:p>
    <w:p w14:paraId="787B976B" w14:textId="77777777" w:rsidR="00EC3F1F" w:rsidRDefault="00EC3F1F" w:rsidP="00EC3F1F">
      <w:pPr>
        <w:pStyle w:val="af"/>
      </w:pPr>
      <w:r>
        <w:t>Personal data refers to any information relating to an identifiable individual, such as names, contact details, online behaviors, or biometric data (e.g., Face ID dot maps). Although personal data has significant economic value, its protection is primarily governed by data protection laws such as the General Data Protection Regulation (GDPR) rather than intellectual property frameworks.</w:t>
      </w:r>
    </w:p>
    <w:p w14:paraId="386CD7C9" w14:textId="77777777" w:rsidR="00EC3F1F" w:rsidRDefault="00EC3F1F" w:rsidP="00EC3F1F">
      <w:pPr>
        <w:pStyle w:val="4"/>
      </w:pPr>
      <w:r>
        <w:rPr>
          <w:rStyle w:val="ae"/>
          <w:b w:val="0"/>
          <w:bCs w:val="0"/>
        </w:rPr>
        <w:lastRenderedPageBreak/>
        <w:t>Intellectual Property Rights (IPRs)</w:t>
      </w:r>
    </w:p>
    <w:p w14:paraId="429F13DC" w14:textId="77777777" w:rsidR="00EC3F1F" w:rsidRDefault="00EC3F1F" w:rsidP="00EC3F1F">
      <w:pPr>
        <w:pStyle w:val="af"/>
      </w:pPr>
      <w:r>
        <w:t>IPRs are designed to protect creations of the mind, offering exclusive rights to the holder. These rights include patents, copyrights, trade secrets, and database rights. However, for personal data to qualify as the subject of IPRs, it must meet specific legal requirements.</w:t>
      </w:r>
    </w:p>
    <w:p w14:paraId="6BC9B097" w14:textId="77777777" w:rsidR="00EC3F1F" w:rsidRDefault="00EC3F1F" w:rsidP="00EC3F1F">
      <w:r>
        <w:pict w14:anchorId="6C1FF62A">
          <v:rect id="_x0000_i1267" style="width:0;height:1.5pt" o:hralign="center" o:hrstd="t" o:hr="t" fillcolor="#a0a0a0" stroked="f"/>
        </w:pict>
      </w:r>
    </w:p>
    <w:p w14:paraId="3388909C" w14:textId="77777777" w:rsidR="00EC3F1F" w:rsidRDefault="00EC3F1F" w:rsidP="00EC3F1F">
      <w:pPr>
        <w:pStyle w:val="3"/>
      </w:pPr>
      <w:r>
        <w:rPr>
          <w:rStyle w:val="ae"/>
          <w:b w:val="0"/>
          <w:bCs w:val="0"/>
        </w:rPr>
        <w:t>2. Copyright Protection and Personal Data</w:t>
      </w:r>
    </w:p>
    <w:p w14:paraId="19207EFA" w14:textId="77777777" w:rsidR="00EC3F1F" w:rsidRDefault="00EC3F1F" w:rsidP="00EC3F1F">
      <w:pPr>
        <w:pStyle w:val="af"/>
        <w:numPr>
          <w:ilvl w:val="0"/>
          <w:numId w:val="89"/>
        </w:numPr>
      </w:pPr>
      <w:r>
        <w:rPr>
          <w:rStyle w:val="ae"/>
        </w:rPr>
        <w:t>Requirement of Originality</w:t>
      </w:r>
      <w:r>
        <w:br/>
        <w:t>Copyright protects original expressions of ideas, not facts or raw data. Article 2(1) of the Berne Convention states:</w:t>
      </w:r>
    </w:p>
    <w:p w14:paraId="0EB3E92E" w14:textId="77777777" w:rsidR="00EC3F1F" w:rsidRDefault="00EC3F1F" w:rsidP="00EC3F1F">
      <w:pPr>
        <w:numPr>
          <w:ilvl w:val="1"/>
          <w:numId w:val="89"/>
        </w:numPr>
        <w:spacing w:before="100" w:beforeAutospacing="1" w:after="100" w:afterAutospacing="1"/>
      </w:pPr>
      <w:r>
        <w:rPr>
          <w:rStyle w:val="af0"/>
        </w:rPr>
        <w:t>English</w:t>
      </w:r>
      <w:r>
        <w:t>: “Literary and artistic works include every production in the literary, scientific, and artistic domain.”</w:t>
      </w:r>
    </w:p>
    <w:p w14:paraId="27055192" w14:textId="77777777" w:rsidR="00EC3F1F" w:rsidRDefault="00EC3F1F" w:rsidP="00EC3F1F">
      <w:pPr>
        <w:numPr>
          <w:ilvl w:val="1"/>
          <w:numId w:val="89"/>
        </w:numPr>
        <w:spacing w:before="100" w:beforeAutospacing="1" w:after="100" w:afterAutospacing="1"/>
      </w:pPr>
      <w:r>
        <w:rPr>
          <w:rStyle w:val="af0"/>
        </w:rPr>
        <w:t>中文</w:t>
      </w:r>
      <w:r>
        <w:t>：“文学和艺术作品包括文学、科学和艺术领域的所有创作。”</w:t>
      </w:r>
    </w:p>
    <w:p w14:paraId="121708F0" w14:textId="77777777" w:rsidR="00EC3F1F" w:rsidRDefault="00EC3F1F" w:rsidP="00EC3F1F">
      <w:pPr>
        <w:pStyle w:val="af"/>
        <w:ind w:left="720"/>
      </w:pPr>
      <w:r>
        <w:t xml:space="preserve">Since raw personal data lacks originality, it is not subject to copyright protection. However, </w:t>
      </w:r>
      <w:r>
        <w:rPr>
          <w:rStyle w:val="ae"/>
        </w:rPr>
        <w:t>compilations or databases of personal data</w:t>
      </w:r>
      <w:r>
        <w:t xml:space="preserve"> may qualify if they involve an original selection or arrangement, as recognized in Article 3 of Directive 96/9/EC (Database Directive):</w:t>
      </w:r>
    </w:p>
    <w:p w14:paraId="18BE89D3" w14:textId="77777777" w:rsidR="00EC3F1F" w:rsidRDefault="00EC3F1F" w:rsidP="00EC3F1F">
      <w:pPr>
        <w:numPr>
          <w:ilvl w:val="1"/>
          <w:numId w:val="89"/>
        </w:numPr>
        <w:spacing w:before="100" w:beforeAutospacing="1" w:after="100" w:afterAutospacing="1"/>
      </w:pPr>
      <w:r>
        <w:rPr>
          <w:rStyle w:val="af0"/>
        </w:rPr>
        <w:t>English</w:t>
      </w:r>
      <w:r>
        <w:t>: “A database shall be protected by copyright if it is original in the sense that it constitutes the author’s own intellectual creation.”</w:t>
      </w:r>
    </w:p>
    <w:p w14:paraId="60BA24B0" w14:textId="77777777" w:rsidR="00EC3F1F" w:rsidRDefault="00EC3F1F" w:rsidP="00EC3F1F">
      <w:pPr>
        <w:numPr>
          <w:ilvl w:val="1"/>
          <w:numId w:val="89"/>
        </w:numPr>
        <w:spacing w:before="100" w:beforeAutospacing="1" w:after="100" w:afterAutospacing="1"/>
      </w:pPr>
      <w:r>
        <w:rPr>
          <w:rStyle w:val="af0"/>
        </w:rPr>
        <w:t>中文</w:t>
      </w:r>
      <w:r>
        <w:t>：“数据库如果体现了作者的独创性智力创作，应受版权保护。”</w:t>
      </w:r>
    </w:p>
    <w:p w14:paraId="601E6740" w14:textId="77777777" w:rsidR="00EC3F1F" w:rsidRDefault="00F81BAE" w:rsidP="00EC3F1F">
      <w:r>
        <w:rPr>
          <w:noProof/>
        </w:rPr>
        <w:pict w14:anchorId="213399BA">
          <v:rect id="_x0000_i1312" alt="" style="width:415.3pt;height:.05pt;mso-width-percent:0;mso-height-percent:0;mso-width-percent:0;mso-height-percent:0" o:hralign="center" o:hrstd="t" o:hr="t" fillcolor="#a0a0a0" stroked="f"/>
        </w:pict>
      </w:r>
    </w:p>
    <w:p w14:paraId="096BF0FF" w14:textId="77777777" w:rsidR="00EC3F1F" w:rsidRDefault="00EC3F1F" w:rsidP="00EC3F1F">
      <w:pPr>
        <w:pStyle w:val="3"/>
      </w:pPr>
      <w:r>
        <w:rPr>
          <w:rStyle w:val="ae"/>
          <w:b w:val="0"/>
          <w:bCs w:val="0"/>
        </w:rPr>
        <w:t>3. Database Rights</w:t>
      </w:r>
    </w:p>
    <w:p w14:paraId="0D092BF3" w14:textId="77777777" w:rsidR="00EC3F1F" w:rsidRDefault="00EC3F1F" w:rsidP="00EC3F1F">
      <w:pPr>
        <w:pStyle w:val="af"/>
      </w:pPr>
      <w:r>
        <w:t xml:space="preserve">Under EU law, personal data collections may be protected by </w:t>
      </w:r>
      <w:r>
        <w:rPr>
          <w:rStyle w:val="ae"/>
        </w:rPr>
        <w:t>sui generis database rights</w:t>
      </w:r>
      <w:r>
        <w:t xml:space="preserve"> if there has been substantial investment in obtaining, verifying, or presenting the data. Article 7(1) of Directive 96/9/EC provides:</w:t>
      </w:r>
    </w:p>
    <w:p w14:paraId="33E7BD6E" w14:textId="77777777" w:rsidR="00EC3F1F" w:rsidRDefault="00EC3F1F" w:rsidP="00EC3F1F">
      <w:pPr>
        <w:numPr>
          <w:ilvl w:val="0"/>
          <w:numId w:val="90"/>
        </w:numPr>
        <w:spacing w:before="100" w:beforeAutospacing="1" w:after="100" w:afterAutospacing="1"/>
      </w:pPr>
      <w:r>
        <w:rPr>
          <w:rStyle w:val="af0"/>
        </w:rPr>
        <w:lastRenderedPageBreak/>
        <w:t>English</w:t>
      </w:r>
      <w:r>
        <w:t>: “The maker of a database which shows that there has been a substantial investment... shall have the right to prevent extraction and/or re-utilization.”</w:t>
      </w:r>
    </w:p>
    <w:p w14:paraId="5C5AE89F" w14:textId="77777777" w:rsidR="00EC3F1F" w:rsidRDefault="00EC3F1F" w:rsidP="00EC3F1F">
      <w:pPr>
        <w:numPr>
          <w:ilvl w:val="0"/>
          <w:numId w:val="90"/>
        </w:numPr>
        <w:spacing w:before="100" w:beforeAutospacing="1" w:after="100" w:afterAutospacing="1"/>
      </w:pPr>
      <w:r>
        <w:rPr>
          <w:rStyle w:val="af0"/>
        </w:rPr>
        <w:t>中文</w:t>
      </w:r>
      <w:r>
        <w:t>：“数据库的制作者如能证明在数据的获取、核实或呈现上投入了大量劳动...，应有权阻止数据的提取或再利用。”</w:t>
      </w:r>
    </w:p>
    <w:p w14:paraId="269AF66D" w14:textId="77777777" w:rsidR="00EC3F1F" w:rsidRDefault="00EC3F1F" w:rsidP="00EC3F1F">
      <w:pPr>
        <w:pStyle w:val="af"/>
      </w:pPr>
      <w:r>
        <w:t>This protection applies regardless of the data’s originality, making it particularly relevant for personal data sets used in commercial contexts.</w:t>
      </w:r>
    </w:p>
    <w:p w14:paraId="21EC8532" w14:textId="77777777" w:rsidR="00EC3F1F" w:rsidRDefault="00F81BAE" w:rsidP="00EC3F1F">
      <w:r>
        <w:rPr>
          <w:noProof/>
        </w:rPr>
        <w:pict w14:anchorId="539D40C6">
          <v:rect id="_x0000_i1311" alt="" style="width:415.3pt;height:.05pt;mso-width-percent:0;mso-height-percent:0;mso-width-percent:0;mso-height-percent:0" o:hralign="center" o:hrstd="t" o:hr="t" fillcolor="#a0a0a0" stroked="f"/>
        </w:pict>
      </w:r>
    </w:p>
    <w:p w14:paraId="09BEA197" w14:textId="77777777" w:rsidR="00EC3F1F" w:rsidRDefault="00EC3F1F" w:rsidP="00EC3F1F">
      <w:pPr>
        <w:pStyle w:val="3"/>
      </w:pPr>
      <w:r>
        <w:rPr>
          <w:rStyle w:val="ae"/>
          <w:b w:val="0"/>
          <w:bCs w:val="0"/>
        </w:rPr>
        <w:t>4. Trade Secret Protection</w:t>
      </w:r>
    </w:p>
    <w:p w14:paraId="7149C9D6" w14:textId="77777777" w:rsidR="00EC3F1F" w:rsidRDefault="00EC3F1F" w:rsidP="00EC3F1F">
      <w:pPr>
        <w:pStyle w:val="af"/>
      </w:pPr>
      <w:r>
        <w:t xml:space="preserve">If personal data is collected, organized, and maintained in a way that ensures its confidentiality and provides a competitive advantage, it could qualify as a </w:t>
      </w:r>
      <w:r>
        <w:rPr>
          <w:rStyle w:val="ae"/>
        </w:rPr>
        <w:t>trade secret</w:t>
      </w:r>
      <w:r>
        <w:t xml:space="preserve"> under Directive 2016/943. Article 2 defines trade secrets as:</w:t>
      </w:r>
    </w:p>
    <w:p w14:paraId="36D1087C" w14:textId="77777777" w:rsidR="00EC3F1F" w:rsidRDefault="00EC3F1F" w:rsidP="00EC3F1F">
      <w:pPr>
        <w:numPr>
          <w:ilvl w:val="0"/>
          <w:numId w:val="91"/>
        </w:numPr>
        <w:spacing w:before="100" w:beforeAutospacing="1" w:after="100" w:afterAutospacing="1"/>
      </w:pPr>
      <w:r>
        <w:rPr>
          <w:rStyle w:val="af0"/>
        </w:rPr>
        <w:t>English</w:t>
      </w:r>
      <w:r>
        <w:t>: “</w:t>
      </w:r>
      <w:proofErr w:type="gramStart"/>
      <w:r>
        <w:t>Information</w:t>
      </w:r>
      <w:proofErr w:type="gramEnd"/>
      <w:r>
        <w:t xml:space="preserve"> which is secret, has commercial value because it is secret, and has been subject to reasonable steps to keep it secret.”</w:t>
      </w:r>
    </w:p>
    <w:p w14:paraId="0C3F4C8D" w14:textId="77777777" w:rsidR="00EC3F1F" w:rsidRDefault="00EC3F1F" w:rsidP="00EC3F1F">
      <w:pPr>
        <w:numPr>
          <w:ilvl w:val="0"/>
          <w:numId w:val="91"/>
        </w:numPr>
        <w:spacing w:before="100" w:beforeAutospacing="1" w:after="100" w:afterAutospacing="1"/>
      </w:pPr>
      <w:r>
        <w:rPr>
          <w:rStyle w:val="af0"/>
        </w:rPr>
        <w:t>中文</w:t>
      </w:r>
      <w:r>
        <w:t>：“秘密的、因其秘密性具有商业价值的信息，并采取了合理措施保密。”</w:t>
      </w:r>
    </w:p>
    <w:p w14:paraId="736865FB" w14:textId="77777777" w:rsidR="00EC3F1F" w:rsidRDefault="00EC3F1F" w:rsidP="00EC3F1F">
      <w:pPr>
        <w:pStyle w:val="af"/>
      </w:pPr>
      <w:r>
        <w:t>For example, proprietary algorithms combined with exclusive personal data sets may be protectable as trade secrets, provided the data is not publicly accessible and security measures are in place.</w:t>
      </w:r>
    </w:p>
    <w:p w14:paraId="071D4732" w14:textId="77777777" w:rsidR="00EC3F1F" w:rsidRDefault="00F81BAE" w:rsidP="00EC3F1F">
      <w:r>
        <w:rPr>
          <w:noProof/>
        </w:rPr>
        <w:pict w14:anchorId="52CABB5A">
          <v:rect id="_x0000_i1310" alt="" style="width:415.3pt;height:.05pt;mso-width-percent:0;mso-height-percent:0;mso-width-percent:0;mso-height-percent:0" o:hralign="center" o:hrstd="t" o:hr="t" fillcolor="#a0a0a0" stroked="f"/>
        </w:pict>
      </w:r>
    </w:p>
    <w:p w14:paraId="09410A21" w14:textId="77777777" w:rsidR="00EC3F1F" w:rsidRDefault="00EC3F1F" w:rsidP="00EC3F1F">
      <w:pPr>
        <w:pStyle w:val="3"/>
      </w:pPr>
      <w:r>
        <w:rPr>
          <w:rStyle w:val="ae"/>
          <w:b w:val="0"/>
          <w:bCs w:val="0"/>
        </w:rPr>
        <w:t>5. Patent Protection</w:t>
      </w:r>
    </w:p>
    <w:p w14:paraId="1F2E59F9" w14:textId="77777777" w:rsidR="00EC3F1F" w:rsidRDefault="00EC3F1F" w:rsidP="00EC3F1F">
      <w:pPr>
        <w:pStyle w:val="af"/>
      </w:pPr>
      <w:r>
        <w:t>Patents protect technical inventions, not data. However, personal data may play a role in patentable systems, such as data-processing methods or AI models. Article 52 of the European Patent Convention specifies:</w:t>
      </w:r>
    </w:p>
    <w:p w14:paraId="503E71F5" w14:textId="77777777" w:rsidR="00EC3F1F" w:rsidRDefault="00EC3F1F" w:rsidP="00EC3F1F">
      <w:pPr>
        <w:numPr>
          <w:ilvl w:val="0"/>
          <w:numId w:val="92"/>
        </w:numPr>
        <w:spacing w:before="100" w:beforeAutospacing="1" w:after="100" w:afterAutospacing="1"/>
      </w:pPr>
      <w:r>
        <w:rPr>
          <w:rStyle w:val="af0"/>
        </w:rPr>
        <w:t>English</w:t>
      </w:r>
      <w:r>
        <w:t>: “European patents shall be granted for inventions which are new, involve an inventive step, and are susceptible of industrial application.”</w:t>
      </w:r>
    </w:p>
    <w:p w14:paraId="06A6AF4E" w14:textId="77777777" w:rsidR="00EC3F1F" w:rsidRDefault="00EC3F1F" w:rsidP="00EC3F1F">
      <w:pPr>
        <w:numPr>
          <w:ilvl w:val="0"/>
          <w:numId w:val="92"/>
        </w:numPr>
        <w:spacing w:before="100" w:beforeAutospacing="1" w:after="100" w:afterAutospacing="1"/>
      </w:pPr>
      <w:r>
        <w:rPr>
          <w:rStyle w:val="af0"/>
        </w:rPr>
        <w:t>中文</w:t>
      </w:r>
      <w:r>
        <w:t>：“凡具备新颖性、创造性步骤并适于工业应用的发明，均可授予欧洲专利。”</w:t>
      </w:r>
    </w:p>
    <w:p w14:paraId="439FFB02" w14:textId="77777777" w:rsidR="00EC3F1F" w:rsidRDefault="00EC3F1F" w:rsidP="00EC3F1F">
      <w:pPr>
        <w:pStyle w:val="af"/>
      </w:pPr>
      <w:r>
        <w:lastRenderedPageBreak/>
        <w:t>The methods or systems used to analyze or manipulate personal data might qualify for patent protection, but the raw data itself does not.</w:t>
      </w:r>
    </w:p>
    <w:p w14:paraId="6B6D53FD" w14:textId="77777777" w:rsidR="00EC3F1F" w:rsidRDefault="00F81BAE" w:rsidP="00EC3F1F">
      <w:r>
        <w:rPr>
          <w:noProof/>
        </w:rPr>
        <w:pict w14:anchorId="46825A37">
          <v:rect id="_x0000_i1309" alt="" style="width:415.3pt;height:.05pt;mso-width-percent:0;mso-height-percent:0;mso-width-percent:0;mso-height-percent:0" o:hralign="center" o:hrstd="t" o:hr="t" fillcolor="#a0a0a0" stroked="f"/>
        </w:pict>
      </w:r>
    </w:p>
    <w:p w14:paraId="5C3C1010" w14:textId="77777777" w:rsidR="00EC3F1F" w:rsidRDefault="00EC3F1F" w:rsidP="00EC3F1F">
      <w:pPr>
        <w:pStyle w:val="3"/>
      </w:pPr>
      <w:r>
        <w:rPr>
          <w:rStyle w:val="ae"/>
          <w:b w:val="0"/>
          <w:bCs w:val="0"/>
        </w:rPr>
        <w:t>6. Challenges to IP Protection of Personal Data</w:t>
      </w:r>
    </w:p>
    <w:p w14:paraId="07411919" w14:textId="77777777" w:rsidR="00EC3F1F" w:rsidRDefault="00EC3F1F" w:rsidP="00EC3F1F">
      <w:pPr>
        <w:pStyle w:val="af"/>
        <w:numPr>
          <w:ilvl w:val="0"/>
          <w:numId w:val="93"/>
        </w:numPr>
      </w:pPr>
      <w:r>
        <w:rPr>
          <w:rStyle w:val="ae"/>
        </w:rPr>
        <w:t>Ownership and Consent Issues</w:t>
      </w:r>
      <w:r>
        <w:br/>
        <w:t>Personal data pertains to individuals, and its collection and use must comply with data protection laws (e.g., GDPR). This raises questions about whether businesses can claim exclusive IP rights over data derived from individuals without their explicit consent.</w:t>
      </w:r>
    </w:p>
    <w:p w14:paraId="676C7B0B" w14:textId="77777777" w:rsidR="00EC3F1F" w:rsidRDefault="00EC3F1F" w:rsidP="00EC3F1F">
      <w:pPr>
        <w:pStyle w:val="af"/>
        <w:numPr>
          <w:ilvl w:val="0"/>
          <w:numId w:val="93"/>
        </w:numPr>
      </w:pPr>
      <w:r>
        <w:rPr>
          <w:rStyle w:val="ae"/>
        </w:rPr>
        <w:t>Non-Originality of Data</w:t>
      </w:r>
      <w:r>
        <w:br/>
        <w:t>As previously discussed, personal data in its raw form lacks the originality required for copyright and the inventive step needed for patents.</w:t>
      </w:r>
    </w:p>
    <w:p w14:paraId="47B94038" w14:textId="77777777" w:rsidR="00EC3F1F" w:rsidRDefault="00EC3F1F" w:rsidP="00EC3F1F">
      <w:pPr>
        <w:pStyle w:val="af"/>
        <w:numPr>
          <w:ilvl w:val="0"/>
          <w:numId w:val="93"/>
        </w:numPr>
      </w:pPr>
      <w:r>
        <w:rPr>
          <w:rStyle w:val="ae"/>
        </w:rPr>
        <w:t>Overlapping Legal Frameworks</w:t>
      </w:r>
      <w:r>
        <w:br/>
        <w:t>Data protection laws, consumer rights, and ethical considerations often take precedence over IP laws when dealing with personal data.</w:t>
      </w:r>
    </w:p>
    <w:p w14:paraId="28E17B6A" w14:textId="77777777" w:rsidR="00EC3F1F" w:rsidRDefault="00F81BAE" w:rsidP="00EC3F1F">
      <w:r>
        <w:rPr>
          <w:noProof/>
        </w:rPr>
        <w:pict w14:anchorId="11CBC6C0">
          <v:rect id="_x0000_i1308" alt="" style="width:415.3pt;height:.05pt;mso-width-percent:0;mso-height-percent:0;mso-width-percent:0;mso-height-percent:0" o:hralign="center" o:hrstd="t" o:hr="t" fillcolor="#a0a0a0" stroked="f"/>
        </w:pict>
      </w:r>
    </w:p>
    <w:p w14:paraId="6D484787" w14:textId="77777777" w:rsidR="00EC3F1F" w:rsidRDefault="00EC3F1F" w:rsidP="00EC3F1F">
      <w:pPr>
        <w:pStyle w:val="3"/>
      </w:pPr>
      <w:r>
        <w:rPr>
          <w:rStyle w:val="ae"/>
          <w:b w:val="0"/>
          <w:bCs w:val="0"/>
        </w:rPr>
        <w:t>Conclusion</w:t>
      </w:r>
    </w:p>
    <w:p w14:paraId="08ED04D3" w14:textId="77777777" w:rsidR="00EC3F1F" w:rsidRDefault="00EC3F1F" w:rsidP="00EC3F1F">
      <w:pPr>
        <w:pStyle w:val="af"/>
      </w:pPr>
      <w:r>
        <w:t>While raw personal data cannot directly qualify for intellectual property protection, certain forms of processed or structured data, such as databases or proprietary data-driven systems, can be protected under copyright, database rights, or trade secrets. The choice of IP protection depends on how the data is collected, processed, and used. Businesses must also navigate data protection laws to ensure compliance and ethical handling of personal data while leveraging its commercial value.</w:t>
      </w:r>
    </w:p>
    <w:p w14:paraId="16C7603A" w14:textId="77777777" w:rsidR="00EC3F1F" w:rsidRDefault="00EC3F1F" w:rsidP="00EC3F1F">
      <w:pPr>
        <w:pStyle w:val="3"/>
        <w:rPr>
          <w:rFonts w:ascii="宋体" w:eastAsia="宋体" w:hAnsi="宋体" w:cs="宋体"/>
          <w:sz w:val="27"/>
        </w:rPr>
      </w:pPr>
      <w:r>
        <w:rPr>
          <w:rStyle w:val="ae"/>
          <w:b w:val="0"/>
          <w:bCs w:val="0"/>
        </w:rPr>
        <w:t>个人数据是否可作为知识产权保护的客体：总结</w:t>
      </w:r>
    </w:p>
    <w:p w14:paraId="79C35F84" w14:textId="77777777" w:rsidR="00EC3F1F" w:rsidRDefault="00EC3F1F" w:rsidP="00EC3F1F">
      <w:pPr>
        <w:pStyle w:val="af"/>
      </w:pPr>
      <w:r>
        <w:t>“数据是新的石油”反映了个人数据在数字经济中的重要价值。个人数据在商业开发中能否成为知识产权（IP）的保护对象，需要具体分析以下几点：</w:t>
      </w:r>
    </w:p>
    <w:p w14:paraId="573451F9" w14:textId="77777777" w:rsidR="00EC3F1F" w:rsidRDefault="00EC3F1F" w:rsidP="00EC3F1F">
      <w:pPr>
        <w:pStyle w:val="af"/>
        <w:numPr>
          <w:ilvl w:val="0"/>
          <w:numId w:val="94"/>
        </w:numPr>
      </w:pPr>
      <w:r>
        <w:rPr>
          <w:rStyle w:val="ae"/>
        </w:rPr>
        <w:t>版权保护（Copyright）</w:t>
      </w:r>
      <w:r>
        <w:br/>
        <w:t>原始个人数据缺乏原创性，不符合版权保护要求。但如果将数据通过独</w:t>
      </w:r>
      <w:r>
        <w:lastRenderedPageBreak/>
        <w:t>创性的选择或排列形成数据库，则可依据《96/9/EC数据库指令》第3条获得版权保护。</w:t>
      </w:r>
    </w:p>
    <w:p w14:paraId="0D39A370" w14:textId="77777777" w:rsidR="00EC3F1F" w:rsidRDefault="00EC3F1F" w:rsidP="00EC3F1F">
      <w:pPr>
        <w:pStyle w:val="af"/>
        <w:numPr>
          <w:ilvl w:val="0"/>
          <w:numId w:val="94"/>
        </w:numPr>
      </w:pPr>
      <w:r>
        <w:rPr>
          <w:rStyle w:val="ae"/>
        </w:rPr>
        <w:t>数据库权利（Database Rights）</w:t>
      </w:r>
      <w:r>
        <w:br/>
        <w:t>若数据的收集、验证或呈现投入了大量资源，可依据《96/9/EC数据库指令》第7条享有特殊的数据库权利，防止数据被非法提取或再利用。</w:t>
      </w:r>
    </w:p>
    <w:p w14:paraId="773FBB54" w14:textId="77777777" w:rsidR="00EC3F1F" w:rsidRDefault="00EC3F1F" w:rsidP="00EC3F1F">
      <w:pPr>
        <w:pStyle w:val="af"/>
        <w:numPr>
          <w:ilvl w:val="0"/>
          <w:numId w:val="94"/>
        </w:numPr>
      </w:pPr>
      <w:r>
        <w:rPr>
          <w:rStyle w:val="ae"/>
        </w:rPr>
        <w:t>商业秘密保护（Trade Secrets）</w:t>
      </w:r>
      <w:r>
        <w:br/>
        <w:t>若个人数据经过组织和保密管理，具有商业价值且未公开，则可依据《2016/943指令》作为商业秘密受到保护。</w:t>
      </w:r>
    </w:p>
    <w:p w14:paraId="630275D5" w14:textId="77777777" w:rsidR="00EC3F1F" w:rsidRDefault="00EC3F1F" w:rsidP="00EC3F1F">
      <w:pPr>
        <w:pStyle w:val="af"/>
        <w:numPr>
          <w:ilvl w:val="0"/>
          <w:numId w:val="94"/>
        </w:numPr>
      </w:pPr>
      <w:r>
        <w:rPr>
          <w:rStyle w:val="ae"/>
        </w:rPr>
        <w:t>专利保护（Patents）</w:t>
      </w:r>
      <w:r>
        <w:br/>
        <w:t>个人数据本身无法申请专利，但与数据处理相关的技术系统（如AI算法或数据分析方法）可能符合专利保护条件。</w:t>
      </w:r>
    </w:p>
    <w:p w14:paraId="706F5101" w14:textId="77777777" w:rsidR="00EC3F1F" w:rsidRDefault="00EC3F1F" w:rsidP="00EC3F1F">
      <w:pPr>
        <w:pStyle w:val="af"/>
        <w:numPr>
          <w:ilvl w:val="0"/>
          <w:numId w:val="94"/>
        </w:numPr>
      </w:pPr>
      <w:r>
        <w:rPr>
          <w:rStyle w:val="ae"/>
        </w:rPr>
        <w:t>挑战与限制</w:t>
      </w:r>
    </w:p>
    <w:p w14:paraId="79839164" w14:textId="77777777" w:rsidR="00EC3F1F" w:rsidRDefault="00EC3F1F" w:rsidP="00EC3F1F">
      <w:pPr>
        <w:numPr>
          <w:ilvl w:val="1"/>
          <w:numId w:val="94"/>
        </w:numPr>
        <w:spacing w:before="100" w:beforeAutospacing="1" w:after="100" w:afterAutospacing="1"/>
      </w:pPr>
      <w:r>
        <w:t>个人数据涉及隐私和法律合规（如GDPR），企业不能轻易主张数据的独占权。</w:t>
      </w:r>
    </w:p>
    <w:p w14:paraId="476D9719" w14:textId="77777777" w:rsidR="00EC3F1F" w:rsidRDefault="00EC3F1F" w:rsidP="00EC3F1F">
      <w:pPr>
        <w:numPr>
          <w:ilvl w:val="1"/>
          <w:numId w:val="94"/>
        </w:numPr>
        <w:spacing w:before="100" w:beforeAutospacing="1" w:after="100" w:afterAutospacing="1"/>
      </w:pPr>
      <w:r>
        <w:t>原始数据缺乏原创性或技术性，不符合版权和专利要求。</w:t>
      </w:r>
    </w:p>
    <w:p w14:paraId="524A77F7" w14:textId="77777777" w:rsidR="00EC3F1F" w:rsidRDefault="00EC3F1F" w:rsidP="00EC3F1F">
      <w:pPr>
        <w:pStyle w:val="af"/>
      </w:pPr>
      <w:r>
        <w:rPr>
          <w:rStyle w:val="ae"/>
        </w:rPr>
        <w:t>结论</w:t>
      </w:r>
      <w:r>
        <w:t>：</w:t>
      </w:r>
      <w:r>
        <w:br/>
        <w:t>虽然原始个人数据不属于直接的知识产权保护客体，但通过加工或组织形成的数据库、商业秘密或数据处理系统可以受到不同形式的IP保护。同时，企业需平衡数据保护法与知识产权法之间的关系，确保合规与商业利益的双赢。</w:t>
      </w:r>
    </w:p>
    <w:p w14:paraId="388A40C7" w14:textId="77777777" w:rsidR="00EC3F1F" w:rsidRPr="00EC3F1F" w:rsidRDefault="00EC3F1F" w:rsidP="00EC780E">
      <w:pPr>
        <w:spacing w:before="100" w:beforeAutospacing="1" w:after="100" w:afterAutospacing="1"/>
        <w:outlineLvl w:val="3"/>
        <w:rPr>
          <w:rFonts w:hint="eastAsia"/>
          <w:b/>
          <w:bCs/>
        </w:rPr>
      </w:pPr>
    </w:p>
    <w:p w14:paraId="31D13165" w14:textId="77777777" w:rsidR="00EC780E" w:rsidRDefault="00EC780E" w:rsidP="00EC780E">
      <w:pPr>
        <w:spacing w:before="100" w:beforeAutospacing="1" w:after="100" w:afterAutospacing="1"/>
        <w:outlineLvl w:val="3"/>
        <w:rPr>
          <w:b/>
          <w:bCs/>
        </w:rPr>
      </w:pPr>
    </w:p>
    <w:p w14:paraId="1855F2CE" w14:textId="77777777" w:rsidR="006820E8" w:rsidRDefault="006820E8" w:rsidP="00EC780E">
      <w:pPr>
        <w:spacing w:before="100" w:beforeAutospacing="1" w:after="100" w:afterAutospacing="1"/>
        <w:outlineLvl w:val="3"/>
        <w:rPr>
          <w:b/>
          <w:bCs/>
        </w:rPr>
      </w:pPr>
    </w:p>
    <w:p w14:paraId="11EE3602" w14:textId="77777777" w:rsidR="006820E8" w:rsidRDefault="006820E8" w:rsidP="00EC780E">
      <w:pPr>
        <w:spacing w:before="100" w:beforeAutospacing="1" w:after="100" w:afterAutospacing="1"/>
        <w:outlineLvl w:val="3"/>
        <w:rPr>
          <w:rFonts w:hint="eastAsia"/>
          <w:b/>
          <w:bCs/>
        </w:rPr>
      </w:pPr>
    </w:p>
    <w:p w14:paraId="4D150260" w14:textId="77777777" w:rsidR="00EC780E" w:rsidRDefault="00EC780E" w:rsidP="00EC780E">
      <w:pPr>
        <w:spacing w:before="100" w:beforeAutospacing="1" w:after="100" w:afterAutospacing="1"/>
        <w:outlineLvl w:val="3"/>
        <w:rPr>
          <w:b/>
          <w:bCs/>
        </w:rPr>
      </w:pPr>
    </w:p>
    <w:p w14:paraId="07D33ACA" w14:textId="77777777" w:rsidR="00EC780E" w:rsidRDefault="00EC780E" w:rsidP="00EC780E">
      <w:pPr>
        <w:spacing w:before="100" w:beforeAutospacing="1" w:after="100" w:afterAutospacing="1"/>
        <w:outlineLvl w:val="3"/>
        <w:rPr>
          <w:b/>
          <w:bCs/>
        </w:rPr>
      </w:pPr>
    </w:p>
    <w:p w14:paraId="41421263" w14:textId="6A8494B7" w:rsidR="002D45C8" w:rsidRDefault="002D45C8" w:rsidP="00EC780E">
      <w:pPr>
        <w:spacing w:before="100" w:beforeAutospacing="1" w:after="100" w:afterAutospacing="1"/>
        <w:outlineLvl w:val="3"/>
        <w:rPr>
          <w:rFonts w:hint="eastAsia"/>
          <w:b/>
          <w:bCs/>
        </w:rPr>
      </w:pPr>
    </w:p>
    <w:p w14:paraId="38D6D97D" w14:textId="77777777" w:rsidR="00EC780E" w:rsidRDefault="00EC780E" w:rsidP="00EC780E">
      <w:pPr>
        <w:spacing w:before="100" w:beforeAutospacing="1" w:after="100" w:afterAutospacing="1"/>
        <w:outlineLvl w:val="3"/>
        <w:rPr>
          <w:b/>
          <w:bCs/>
        </w:rPr>
      </w:pPr>
    </w:p>
    <w:p w14:paraId="4B482E49" w14:textId="77777777" w:rsidR="00EC780E" w:rsidRDefault="00EC780E" w:rsidP="00EC780E">
      <w:pPr>
        <w:spacing w:before="100" w:beforeAutospacing="1" w:after="100" w:afterAutospacing="1"/>
        <w:outlineLvl w:val="3"/>
        <w:rPr>
          <w:b/>
          <w:bCs/>
        </w:rPr>
      </w:pPr>
    </w:p>
    <w:p w14:paraId="3CEA2FA0" w14:textId="77777777" w:rsidR="00293F43" w:rsidRDefault="00293F43" w:rsidP="00EC780E">
      <w:pPr>
        <w:spacing w:before="100" w:beforeAutospacing="1" w:after="100" w:afterAutospacing="1"/>
        <w:outlineLvl w:val="3"/>
        <w:rPr>
          <w:b/>
          <w:bCs/>
          <w:highlight w:val="yellow"/>
        </w:rPr>
      </w:pPr>
    </w:p>
    <w:p w14:paraId="35DE6147" w14:textId="77777777" w:rsidR="00293F43" w:rsidRDefault="00293F43" w:rsidP="00EC780E">
      <w:pPr>
        <w:spacing w:before="100" w:beforeAutospacing="1" w:after="100" w:afterAutospacing="1"/>
        <w:outlineLvl w:val="3"/>
        <w:rPr>
          <w:b/>
          <w:bCs/>
          <w:highlight w:val="yellow"/>
        </w:rPr>
      </w:pPr>
    </w:p>
    <w:p w14:paraId="46533775" w14:textId="77777777" w:rsidR="00293F43" w:rsidRDefault="00293F43" w:rsidP="00EC780E">
      <w:pPr>
        <w:spacing w:before="100" w:beforeAutospacing="1" w:after="100" w:afterAutospacing="1"/>
        <w:outlineLvl w:val="3"/>
        <w:rPr>
          <w:b/>
          <w:bCs/>
          <w:highlight w:val="yellow"/>
        </w:rPr>
      </w:pPr>
    </w:p>
    <w:p w14:paraId="26141C7D" w14:textId="77777777" w:rsidR="00293F43" w:rsidRDefault="00293F43" w:rsidP="00EC780E">
      <w:pPr>
        <w:spacing w:before="100" w:beforeAutospacing="1" w:after="100" w:afterAutospacing="1"/>
        <w:outlineLvl w:val="3"/>
        <w:rPr>
          <w:b/>
          <w:bCs/>
          <w:highlight w:val="yellow"/>
        </w:rPr>
      </w:pPr>
    </w:p>
    <w:p w14:paraId="311B2994" w14:textId="5F21B0DB" w:rsidR="00EC780E" w:rsidRPr="00311E9D" w:rsidRDefault="006820E8" w:rsidP="00EC780E">
      <w:pPr>
        <w:spacing w:before="100" w:beforeAutospacing="1" w:after="100" w:afterAutospacing="1"/>
        <w:outlineLvl w:val="3"/>
        <w:rPr>
          <w:b/>
          <w:bCs/>
          <w:highlight w:val="yellow"/>
        </w:rPr>
      </w:pPr>
      <w:r w:rsidRPr="00311E9D">
        <w:rPr>
          <w:b/>
          <w:bCs/>
          <w:highlight w:val="yellow"/>
        </w:rPr>
        <w:lastRenderedPageBreak/>
        <w:t>AI</w:t>
      </w:r>
      <w:r w:rsidRPr="00311E9D">
        <w:rPr>
          <w:rFonts w:hint="eastAsia"/>
          <w:b/>
          <w:bCs/>
          <w:highlight w:val="yellow"/>
        </w:rPr>
        <w:t>类题目：</w:t>
      </w:r>
      <w:r w:rsidRPr="00311E9D">
        <w:rPr>
          <w:b/>
          <w:bCs/>
          <w:highlight w:val="yellow"/>
        </w:rPr>
        <w:t>限制瑞典政府对公民使用人工智能和算法。</w:t>
      </w:r>
    </w:p>
    <w:p w14:paraId="319E6487" w14:textId="00A75E6A" w:rsidR="002A03DF" w:rsidRDefault="002A03DF" w:rsidP="00EC780E">
      <w:pPr>
        <w:spacing w:before="100" w:beforeAutospacing="1" w:after="100" w:afterAutospacing="1"/>
        <w:outlineLvl w:val="3"/>
        <w:rPr>
          <w:rFonts w:hint="eastAsia"/>
          <w:b/>
          <w:bCs/>
        </w:rPr>
      </w:pPr>
      <w:r w:rsidRPr="00311E9D">
        <w:rPr>
          <w:rFonts w:hint="eastAsia"/>
          <w:b/>
          <w:bCs/>
          <w:highlight w:val="yellow"/>
        </w:rPr>
        <w:t>什么是个人数据，暴露隐私是禁止的，</w:t>
      </w:r>
      <w:r w:rsidRPr="00311E9D">
        <w:rPr>
          <w:b/>
          <w:bCs/>
          <w:highlight w:val="yellow"/>
        </w:rPr>
        <w:t>匿名和重新识别</w:t>
      </w:r>
      <w:r w:rsidRPr="00311E9D">
        <w:rPr>
          <w:rFonts w:hint="eastAsia"/>
          <w:b/>
          <w:bCs/>
          <w:highlight w:val="yellow"/>
        </w:rPr>
        <w:t>，针对低收入人群的反歧视</w:t>
      </w:r>
    </w:p>
    <w:p w14:paraId="76849A5D" w14:textId="77777777" w:rsidR="002A03DF" w:rsidRPr="002A03DF" w:rsidRDefault="002A03DF" w:rsidP="002A03DF">
      <w:pPr>
        <w:spacing w:before="100" w:beforeAutospacing="1" w:after="100" w:afterAutospacing="1"/>
        <w:outlineLvl w:val="2"/>
        <w:rPr>
          <w:b/>
          <w:bCs/>
          <w:sz w:val="27"/>
          <w:szCs w:val="27"/>
        </w:rPr>
      </w:pPr>
      <w:r w:rsidRPr="002A03DF">
        <w:rPr>
          <w:b/>
          <w:bCs/>
          <w:sz w:val="27"/>
          <w:szCs w:val="27"/>
        </w:rPr>
        <w:t>Background</w:t>
      </w:r>
    </w:p>
    <w:p w14:paraId="5822CA75" w14:textId="77777777" w:rsidR="002A03DF" w:rsidRPr="002A03DF" w:rsidRDefault="002A03DF" w:rsidP="002A03DF">
      <w:pPr>
        <w:spacing w:before="100" w:beforeAutospacing="1" w:after="100" w:afterAutospacing="1"/>
      </w:pPr>
      <w:r w:rsidRPr="002A03DF">
        <w:t>The System Risk Indicator (SRI), implemented by the Swedish Ministry of Social Affairs in 2020, was designed to detect potential benefit fraud by analyzing 17 categories of government data, including tax records, land registry files, and vehicle registrations. The tool was applied in specific neighborhoods with significant low-income and immigrant populations. Civil society groups raised concerns about discrimination and lack of transparency, leading to a case in the Stockholm District Court by the Center for Justice, seeking to limit the government's use of AI and algorithms on citizens.</w:t>
      </w:r>
    </w:p>
    <w:p w14:paraId="49BDE144" w14:textId="77777777" w:rsidR="002A03DF" w:rsidRPr="002A03DF" w:rsidRDefault="00F81BAE" w:rsidP="002A03DF">
      <w:r w:rsidRPr="002A03DF">
        <w:rPr>
          <w:noProof/>
        </w:rPr>
        <w:pict w14:anchorId="69F97D62">
          <v:rect id="_x0000_i1307" alt="" style="width:415.3pt;height:.05pt;mso-width-percent:0;mso-height-percent:0;mso-width-percent:0;mso-height-percent:0" o:hralign="center" o:hrstd="t" o:hr="t" fillcolor="#a0a0a0" stroked="f"/>
        </w:pict>
      </w:r>
    </w:p>
    <w:p w14:paraId="1477C3B9" w14:textId="77777777" w:rsidR="002A03DF" w:rsidRPr="002A03DF" w:rsidRDefault="002A03DF" w:rsidP="002A03DF">
      <w:pPr>
        <w:spacing w:before="100" w:beforeAutospacing="1" w:after="100" w:afterAutospacing="1"/>
        <w:outlineLvl w:val="2"/>
        <w:rPr>
          <w:b/>
          <w:bCs/>
          <w:sz w:val="27"/>
          <w:szCs w:val="27"/>
        </w:rPr>
      </w:pPr>
      <w:r w:rsidRPr="002A03DF">
        <w:rPr>
          <w:b/>
          <w:bCs/>
          <w:sz w:val="27"/>
          <w:szCs w:val="27"/>
        </w:rPr>
        <w:t>Legal Issues</w:t>
      </w:r>
    </w:p>
    <w:p w14:paraId="519C57C3" w14:textId="77777777" w:rsidR="002A03DF" w:rsidRPr="002A03DF" w:rsidRDefault="002A03DF" w:rsidP="002A03DF">
      <w:pPr>
        <w:spacing w:before="100" w:beforeAutospacing="1" w:after="100" w:afterAutospacing="1"/>
      </w:pPr>
      <w:r w:rsidRPr="002A03DF">
        <w:t>The case raises critical questions about data protection, discrimination, and algorithmic accountability under Swedish and EU law. Below, I outline relevant legal provisions, their application to the case, and the reasons for their applicability.</w:t>
      </w:r>
    </w:p>
    <w:p w14:paraId="75DFBF95" w14:textId="77777777" w:rsidR="002A03DF" w:rsidRPr="002A03DF" w:rsidRDefault="00F81BAE" w:rsidP="002A03DF">
      <w:r w:rsidRPr="002A03DF">
        <w:rPr>
          <w:noProof/>
        </w:rPr>
        <w:pict w14:anchorId="5D2BE4C9">
          <v:rect id="_x0000_i1306" alt="" style="width:415.3pt;height:.05pt;mso-width-percent:0;mso-height-percent:0;mso-width-percent:0;mso-height-percent:0" o:hralign="center" o:hrstd="t" o:hr="t" fillcolor="#a0a0a0" stroked="f"/>
        </w:pict>
      </w:r>
    </w:p>
    <w:p w14:paraId="23C5BEFA" w14:textId="77777777" w:rsidR="002A03DF" w:rsidRPr="002A03DF" w:rsidRDefault="002A03DF" w:rsidP="002A03DF">
      <w:pPr>
        <w:spacing w:before="100" w:beforeAutospacing="1" w:after="100" w:afterAutospacing="1"/>
        <w:outlineLvl w:val="2"/>
        <w:rPr>
          <w:b/>
          <w:bCs/>
          <w:sz w:val="27"/>
          <w:szCs w:val="27"/>
        </w:rPr>
      </w:pPr>
      <w:r w:rsidRPr="002A03DF">
        <w:rPr>
          <w:b/>
          <w:bCs/>
          <w:sz w:val="27"/>
          <w:szCs w:val="27"/>
        </w:rPr>
        <w:t>1. Data Protection and Privacy (数据保护与隐私)</w:t>
      </w:r>
    </w:p>
    <w:p w14:paraId="743C3C6E" w14:textId="77777777" w:rsidR="002A03DF" w:rsidRPr="002A03DF" w:rsidRDefault="002A03DF" w:rsidP="002A03DF">
      <w:pPr>
        <w:spacing w:before="100" w:beforeAutospacing="1" w:after="100" w:afterAutospacing="1"/>
        <w:outlineLvl w:val="3"/>
        <w:rPr>
          <w:b/>
          <w:bCs/>
        </w:rPr>
      </w:pPr>
      <w:r w:rsidRPr="002A03DF">
        <w:rPr>
          <w:b/>
          <w:bCs/>
        </w:rPr>
        <w:t>General Data Protection Regulation (GDPR)</w:t>
      </w:r>
    </w:p>
    <w:p w14:paraId="45E75055" w14:textId="77777777" w:rsidR="002A03DF" w:rsidRPr="002A03DF" w:rsidRDefault="002A03DF" w:rsidP="002A03DF">
      <w:pPr>
        <w:numPr>
          <w:ilvl w:val="0"/>
          <w:numId w:val="50"/>
        </w:numPr>
        <w:spacing w:before="100" w:beforeAutospacing="1" w:after="100" w:afterAutospacing="1"/>
      </w:pPr>
      <w:r w:rsidRPr="002A03DF">
        <w:rPr>
          <w:b/>
          <w:bCs/>
        </w:rPr>
        <w:t>Article 2: Material Scope (适用范围)</w:t>
      </w:r>
    </w:p>
    <w:p w14:paraId="560196D5" w14:textId="77777777" w:rsidR="002A03DF" w:rsidRPr="002A03DF" w:rsidRDefault="002A03DF" w:rsidP="002A03DF">
      <w:pPr>
        <w:numPr>
          <w:ilvl w:val="1"/>
          <w:numId w:val="50"/>
        </w:numPr>
        <w:spacing w:before="100" w:beforeAutospacing="1" w:after="100" w:afterAutospacing="1"/>
      </w:pPr>
      <w:r w:rsidRPr="002A03DF">
        <w:rPr>
          <w:b/>
          <w:bCs/>
        </w:rPr>
        <w:t>English:</w:t>
      </w:r>
      <w:r w:rsidRPr="002A03DF">
        <w:t xml:space="preserve"> "This Regulation applies to the processing of personal data wholly or partly by automated means and to the processing other than by automated means of personal data which form part of a filing system or are intended to form part of a filing system."</w:t>
      </w:r>
    </w:p>
    <w:p w14:paraId="16044DF0" w14:textId="77777777" w:rsidR="002A03DF" w:rsidRPr="002A03DF" w:rsidRDefault="002A03DF" w:rsidP="002A03DF">
      <w:pPr>
        <w:numPr>
          <w:ilvl w:val="1"/>
          <w:numId w:val="50"/>
        </w:numPr>
        <w:spacing w:before="100" w:beforeAutospacing="1" w:after="100" w:afterAutospacing="1"/>
      </w:pPr>
      <w:r w:rsidRPr="002A03DF">
        <w:rPr>
          <w:b/>
          <w:bCs/>
        </w:rPr>
        <w:t>中文：</w:t>
      </w:r>
      <w:r w:rsidRPr="002A03DF">
        <w:t xml:space="preserve"> "本条例适用于全部或部分通过自动化手段处理的个人数据，以及构成或意图构成文件系统一部分的个人数据的非自动化手段处理。"</w:t>
      </w:r>
    </w:p>
    <w:p w14:paraId="3E2E9A86" w14:textId="77777777" w:rsidR="002A03DF" w:rsidRPr="002A03DF" w:rsidRDefault="002A03DF" w:rsidP="002A03DF">
      <w:pPr>
        <w:numPr>
          <w:ilvl w:val="1"/>
          <w:numId w:val="50"/>
        </w:numPr>
        <w:spacing w:before="100" w:beforeAutospacing="1" w:after="100" w:afterAutospacing="1"/>
        <w:rPr>
          <w:highlight w:val="yellow"/>
        </w:rPr>
      </w:pPr>
      <w:r w:rsidRPr="002A03DF">
        <w:rPr>
          <w:b/>
          <w:bCs/>
          <w:highlight w:val="yellow"/>
        </w:rPr>
        <w:lastRenderedPageBreak/>
        <w:t>Applicability:</w:t>
      </w:r>
      <w:r w:rsidRPr="002A03DF">
        <w:rPr>
          <w:highlight w:val="yellow"/>
        </w:rPr>
        <w:t xml:space="preserve"> The SRI system processes personal data using automated means, making GDPR applicable to ensure the data is lawfully and </w:t>
      </w:r>
      <w:proofErr w:type="gramStart"/>
      <w:r w:rsidRPr="002A03DF">
        <w:rPr>
          <w:highlight w:val="yellow"/>
        </w:rPr>
        <w:t>fairly processed</w:t>
      </w:r>
      <w:proofErr w:type="gramEnd"/>
      <w:r w:rsidRPr="002A03DF">
        <w:rPr>
          <w:highlight w:val="yellow"/>
        </w:rPr>
        <w:t>.</w:t>
      </w:r>
    </w:p>
    <w:p w14:paraId="1CEAD236" w14:textId="77777777" w:rsidR="002A03DF" w:rsidRPr="002A03DF" w:rsidRDefault="002A03DF" w:rsidP="002A03DF">
      <w:pPr>
        <w:numPr>
          <w:ilvl w:val="0"/>
          <w:numId w:val="50"/>
        </w:numPr>
        <w:spacing w:before="100" w:beforeAutospacing="1" w:after="100" w:afterAutospacing="1"/>
      </w:pPr>
      <w:r w:rsidRPr="002A03DF">
        <w:rPr>
          <w:b/>
          <w:bCs/>
        </w:rPr>
        <w:t>Article 4(1): Definition of Personal Data (个人数据定义)</w:t>
      </w:r>
    </w:p>
    <w:p w14:paraId="778F18B0" w14:textId="77777777" w:rsidR="002A03DF" w:rsidRPr="002A03DF" w:rsidRDefault="002A03DF" w:rsidP="002A03DF">
      <w:pPr>
        <w:numPr>
          <w:ilvl w:val="1"/>
          <w:numId w:val="50"/>
        </w:numPr>
        <w:spacing w:before="100" w:beforeAutospacing="1" w:after="100" w:afterAutospacing="1"/>
      </w:pPr>
      <w:r w:rsidRPr="002A03DF">
        <w:rPr>
          <w:b/>
          <w:bCs/>
        </w:rPr>
        <w:t>English:</w:t>
      </w:r>
      <w:r w:rsidRPr="002A03DF">
        <w:t xml:space="preserve"> "'Personal data' means any information relating to an identified or identifiable natural person ('data subject'); an identifiable natural person is one who can be identified, directly or indirectly, by reference to identifiers such as name, identification number, location data, or online identifiers."</w:t>
      </w:r>
    </w:p>
    <w:p w14:paraId="47B3052F" w14:textId="77777777" w:rsidR="002A03DF" w:rsidRPr="002A03DF" w:rsidRDefault="002A03DF" w:rsidP="002A03DF">
      <w:pPr>
        <w:numPr>
          <w:ilvl w:val="1"/>
          <w:numId w:val="50"/>
        </w:numPr>
        <w:spacing w:before="100" w:beforeAutospacing="1" w:after="100" w:afterAutospacing="1"/>
      </w:pPr>
      <w:r w:rsidRPr="002A03DF">
        <w:rPr>
          <w:b/>
          <w:bCs/>
        </w:rPr>
        <w:t>中文：</w:t>
      </w:r>
      <w:r w:rsidRPr="002A03DF">
        <w:t xml:space="preserve"> "‘个人数据’是指与已识别或可识别的自然人相关的任何信息，包括直接或间接通过姓名、身份证号、位置数据或在线标识符等方式识别。"</w:t>
      </w:r>
    </w:p>
    <w:p w14:paraId="39DAAF78" w14:textId="77777777" w:rsidR="002A03DF" w:rsidRPr="002A03DF" w:rsidRDefault="002A03DF" w:rsidP="002A03DF">
      <w:pPr>
        <w:numPr>
          <w:ilvl w:val="1"/>
          <w:numId w:val="50"/>
        </w:numPr>
        <w:spacing w:before="100" w:beforeAutospacing="1" w:after="100" w:afterAutospacing="1"/>
        <w:rPr>
          <w:highlight w:val="yellow"/>
        </w:rPr>
      </w:pPr>
      <w:r w:rsidRPr="002A03DF">
        <w:rPr>
          <w:b/>
          <w:bCs/>
          <w:highlight w:val="yellow"/>
        </w:rPr>
        <w:t>Applicability:</w:t>
      </w:r>
      <w:r w:rsidRPr="002A03DF">
        <w:rPr>
          <w:highlight w:val="yellow"/>
        </w:rPr>
        <w:t xml:space="preserve"> Since the SRI system uses data that can identify individuals, such as tax records and vehicle registrations, it must comply with GDPR requirements on personal data.</w:t>
      </w:r>
    </w:p>
    <w:p w14:paraId="158A6ECE" w14:textId="77777777" w:rsidR="002A03DF" w:rsidRPr="002A03DF" w:rsidRDefault="002A03DF" w:rsidP="002A03DF">
      <w:pPr>
        <w:numPr>
          <w:ilvl w:val="0"/>
          <w:numId w:val="50"/>
        </w:numPr>
        <w:spacing w:before="100" w:beforeAutospacing="1" w:after="100" w:afterAutospacing="1"/>
      </w:pPr>
      <w:r w:rsidRPr="002A03DF">
        <w:rPr>
          <w:b/>
          <w:bCs/>
        </w:rPr>
        <w:t>Article 5: Principles Relating to Processing of Personal Data (处理个人数据的原则)</w:t>
      </w:r>
    </w:p>
    <w:p w14:paraId="7AC99100" w14:textId="77777777" w:rsidR="002A03DF" w:rsidRPr="002A03DF" w:rsidRDefault="002A03DF" w:rsidP="002A03DF">
      <w:pPr>
        <w:numPr>
          <w:ilvl w:val="1"/>
          <w:numId w:val="50"/>
        </w:numPr>
        <w:spacing w:before="100" w:beforeAutospacing="1" w:after="100" w:afterAutospacing="1"/>
      </w:pPr>
      <w:r w:rsidRPr="002A03DF">
        <w:rPr>
          <w:b/>
          <w:bCs/>
        </w:rPr>
        <w:t>English:</w:t>
      </w:r>
      <w:r w:rsidRPr="002A03DF">
        <w:t xml:space="preserve"> Personal data shall be processed lawfully, fairly, and transparently.</w:t>
      </w:r>
    </w:p>
    <w:p w14:paraId="21CCA7BC" w14:textId="77777777" w:rsidR="002A03DF" w:rsidRPr="002A03DF" w:rsidRDefault="002A03DF" w:rsidP="002A03DF">
      <w:pPr>
        <w:numPr>
          <w:ilvl w:val="1"/>
          <w:numId w:val="50"/>
        </w:numPr>
        <w:spacing w:before="100" w:beforeAutospacing="1" w:after="100" w:afterAutospacing="1"/>
      </w:pPr>
      <w:r w:rsidRPr="002A03DF">
        <w:rPr>
          <w:b/>
          <w:bCs/>
        </w:rPr>
        <w:t>中文：</w:t>
      </w:r>
      <w:r w:rsidRPr="002A03DF">
        <w:t xml:space="preserve"> 个人数据应以合法、公正和透明的方式处理。</w:t>
      </w:r>
    </w:p>
    <w:p w14:paraId="434B9F01" w14:textId="77777777" w:rsidR="002A03DF" w:rsidRPr="002A03DF" w:rsidRDefault="002A03DF" w:rsidP="002A03DF">
      <w:pPr>
        <w:numPr>
          <w:ilvl w:val="1"/>
          <w:numId w:val="50"/>
        </w:numPr>
        <w:spacing w:before="100" w:beforeAutospacing="1" w:after="100" w:afterAutospacing="1"/>
        <w:rPr>
          <w:highlight w:val="yellow"/>
        </w:rPr>
      </w:pPr>
      <w:r w:rsidRPr="002A03DF">
        <w:rPr>
          <w:b/>
          <w:bCs/>
          <w:highlight w:val="yellow"/>
        </w:rPr>
        <w:t>Applicability:</w:t>
      </w:r>
      <w:r w:rsidRPr="002A03DF">
        <w:rPr>
          <w:highlight w:val="yellow"/>
        </w:rPr>
        <w:t xml:space="preserve"> This ensures that the SRI system does not process data in a manner that violates individuals’ rights to privacy and transparency.</w:t>
      </w:r>
    </w:p>
    <w:p w14:paraId="471FBCAF" w14:textId="77777777" w:rsidR="002A03DF" w:rsidRPr="002A03DF" w:rsidRDefault="002A03DF" w:rsidP="002A03DF">
      <w:pPr>
        <w:numPr>
          <w:ilvl w:val="0"/>
          <w:numId w:val="50"/>
        </w:numPr>
        <w:spacing w:before="100" w:beforeAutospacing="1" w:after="100" w:afterAutospacing="1"/>
      </w:pPr>
      <w:r w:rsidRPr="002A03DF">
        <w:rPr>
          <w:b/>
          <w:bCs/>
        </w:rPr>
        <w:t>Article 9: Processing of Special Categories of Personal Data (特殊类别个人数据的处理)</w:t>
      </w:r>
    </w:p>
    <w:p w14:paraId="27965ED1" w14:textId="77777777" w:rsidR="002A03DF" w:rsidRPr="002A03DF" w:rsidRDefault="002A03DF" w:rsidP="002A03DF">
      <w:pPr>
        <w:numPr>
          <w:ilvl w:val="1"/>
          <w:numId w:val="50"/>
        </w:numPr>
        <w:spacing w:before="100" w:beforeAutospacing="1" w:after="100" w:afterAutospacing="1"/>
      </w:pPr>
      <w:r w:rsidRPr="002A03DF">
        <w:rPr>
          <w:b/>
          <w:bCs/>
        </w:rPr>
        <w:t>English:</w:t>
      </w:r>
      <w:r w:rsidRPr="002A03DF">
        <w:t xml:space="preserve"> Processing of personal data revealing racial or ethnic origin is prohibited unless exceptions apply.</w:t>
      </w:r>
    </w:p>
    <w:p w14:paraId="4EC03837" w14:textId="77777777" w:rsidR="002A03DF" w:rsidRPr="002A03DF" w:rsidRDefault="002A03DF" w:rsidP="002A03DF">
      <w:pPr>
        <w:numPr>
          <w:ilvl w:val="1"/>
          <w:numId w:val="50"/>
        </w:numPr>
        <w:spacing w:before="100" w:beforeAutospacing="1" w:after="100" w:afterAutospacing="1"/>
      </w:pPr>
      <w:r w:rsidRPr="002A03DF">
        <w:rPr>
          <w:b/>
          <w:bCs/>
        </w:rPr>
        <w:t>中文：</w:t>
      </w:r>
      <w:r w:rsidRPr="002A03DF">
        <w:t xml:space="preserve"> 曝露种族或民族出身的个人数据处理是被禁止的，除非存在例外情况。</w:t>
      </w:r>
    </w:p>
    <w:p w14:paraId="3F3969FA" w14:textId="77777777" w:rsidR="002A03DF" w:rsidRPr="002A03DF" w:rsidRDefault="002A03DF" w:rsidP="002A03DF">
      <w:pPr>
        <w:numPr>
          <w:ilvl w:val="1"/>
          <w:numId w:val="50"/>
        </w:numPr>
        <w:spacing w:before="100" w:beforeAutospacing="1" w:after="100" w:afterAutospacing="1"/>
        <w:rPr>
          <w:highlight w:val="yellow"/>
        </w:rPr>
      </w:pPr>
      <w:r w:rsidRPr="002A03DF">
        <w:rPr>
          <w:b/>
          <w:bCs/>
          <w:highlight w:val="yellow"/>
        </w:rPr>
        <w:t>Applicability:</w:t>
      </w:r>
      <w:r w:rsidRPr="002A03DF">
        <w:rPr>
          <w:highlight w:val="yellow"/>
        </w:rPr>
        <w:t xml:space="preserve"> The targeting of immigrant communities may involve processing sensitive data, raising potential violations of GDPR Article 9.</w:t>
      </w:r>
    </w:p>
    <w:p w14:paraId="18A3670D" w14:textId="77777777" w:rsidR="002A03DF" w:rsidRPr="002A03DF" w:rsidRDefault="002A03DF" w:rsidP="002A03DF">
      <w:pPr>
        <w:numPr>
          <w:ilvl w:val="0"/>
          <w:numId w:val="50"/>
        </w:numPr>
        <w:spacing w:before="100" w:beforeAutospacing="1" w:after="100" w:afterAutospacing="1"/>
      </w:pPr>
      <w:r w:rsidRPr="002A03DF">
        <w:rPr>
          <w:b/>
          <w:bCs/>
        </w:rPr>
        <w:t>Article 26: Anonymization and Re-identification (匿名化与重新识别)</w:t>
      </w:r>
    </w:p>
    <w:p w14:paraId="4FB51F49" w14:textId="77777777" w:rsidR="002A03DF" w:rsidRPr="002A03DF" w:rsidRDefault="002A03DF" w:rsidP="002A03DF">
      <w:pPr>
        <w:numPr>
          <w:ilvl w:val="1"/>
          <w:numId w:val="50"/>
        </w:numPr>
        <w:spacing w:before="100" w:beforeAutospacing="1" w:after="100" w:afterAutospacing="1"/>
      </w:pPr>
      <w:r w:rsidRPr="002A03DF">
        <w:rPr>
          <w:b/>
          <w:bCs/>
        </w:rPr>
        <w:t>English:</w:t>
      </w:r>
      <w:r w:rsidRPr="002A03DF">
        <w:t xml:space="preserve"> "Data protection principles apply to any information concerning an identified or identifiable person. Pseudonymized data can still be considered personal data if re-identification is possible."</w:t>
      </w:r>
    </w:p>
    <w:p w14:paraId="727E0AE2" w14:textId="77777777" w:rsidR="002A03DF" w:rsidRPr="002A03DF" w:rsidRDefault="002A03DF" w:rsidP="002A03DF">
      <w:pPr>
        <w:numPr>
          <w:ilvl w:val="1"/>
          <w:numId w:val="50"/>
        </w:numPr>
        <w:spacing w:before="100" w:beforeAutospacing="1" w:after="100" w:afterAutospacing="1"/>
      </w:pPr>
      <w:r w:rsidRPr="002A03DF">
        <w:rPr>
          <w:b/>
          <w:bCs/>
        </w:rPr>
        <w:t>中文：</w:t>
      </w:r>
      <w:r w:rsidRPr="002A03DF">
        <w:t xml:space="preserve"> "数据保护原则适用于任何具有识别性的个人信息。假名化数据若可重新识别，仍应视为个人数据。"</w:t>
      </w:r>
    </w:p>
    <w:p w14:paraId="6874785C" w14:textId="77777777" w:rsidR="002A03DF" w:rsidRPr="002A03DF" w:rsidRDefault="002A03DF" w:rsidP="002A03DF">
      <w:pPr>
        <w:numPr>
          <w:ilvl w:val="1"/>
          <w:numId w:val="50"/>
        </w:numPr>
        <w:spacing w:before="100" w:beforeAutospacing="1" w:after="100" w:afterAutospacing="1"/>
      </w:pPr>
      <w:r w:rsidRPr="002A03DF">
        <w:rPr>
          <w:b/>
          <w:bCs/>
        </w:rPr>
        <w:t>Applicability:</w:t>
      </w:r>
      <w:r w:rsidRPr="002A03DF">
        <w:t xml:space="preserve"> </w:t>
      </w:r>
      <w:r w:rsidRPr="002A03DF">
        <w:rPr>
          <w:highlight w:val="yellow"/>
        </w:rPr>
        <w:t>Even if SRI uses pseudonymized data, GDPR remains applicable if re-identification is possible.</w:t>
      </w:r>
    </w:p>
    <w:p w14:paraId="573A4FCA" w14:textId="77777777" w:rsidR="002A03DF" w:rsidRPr="002A03DF" w:rsidRDefault="00F81BAE" w:rsidP="002A03DF">
      <w:r w:rsidRPr="002A03DF">
        <w:rPr>
          <w:noProof/>
        </w:rPr>
        <w:lastRenderedPageBreak/>
        <w:pict w14:anchorId="4ABD8A55">
          <v:rect id="_x0000_i1305" alt="" style="width:415.3pt;height:.05pt;mso-width-percent:0;mso-height-percent:0;mso-width-percent:0;mso-height-percent:0" o:hralign="center" o:hrstd="t" o:hr="t" fillcolor="#a0a0a0" stroked="f"/>
        </w:pict>
      </w:r>
    </w:p>
    <w:p w14:paraId="7313E793" w14:textId="77777777" w:rsidR="002A03DF" w:rsidRPr="002A03DF" w:rsidRDefault="002A03DF" w:rsidP="002A03DF">
      <w:pPr>
        <w:spacing w:before="100" w:beforeAutospacing="1" w:after="100" w:afterAutospacing="1"/>
        <w:outlineLvl w:val="2"/>
        <w:rPr>
          <w:b/>
          <w:bCs/>
          <w:sz w:val="27"/>
          <w:szCs w:val="27"/>
        </w:rPr>
      </w:pPr>
      <w:r w:rsidRPr="002A03DF">
        <w:rPr>
          <w:b/>
          <w:bCs/>
          <w:sz w:val="27"/>
          <w:szCs w:val="27"/>
        </w:rPr>
        <w:t>2. Non-discrimination and Targeting of Marginalized Communities (反歧视与弱势社区的针对)</w:t>
      </w:r>
    </w:p>
    <w:p w14:paraId="5DA7E185" w14:textId="77777777" w:rsidR="002A03DF" w:rsidRPr="002A03DF" w:rsidRDefault="002A03DF" w:rsidP="002A03DF">
      <w:pPr>
        <w:spacing w:before="100" w:beforeAutospacing="1" w:after="100" w:afterAutospacing="1"/>
        <w:outlineLvl w:val="3"/>
        <w:rPr>
          <w:b/>
          <w:bCs/>
        </w:rPr>
      </w:pPr>
      <w:r w:rsidRPr="002A03DF">
        <w:rPr>
          <w:b/>
          <w:bCs/>
        </w:rPr>
        <w:t>Charter of Fundamental Rights of the European Union (欧盟基本权利宪章)</w:t>
      </w:r>
    </w:p>
    <w:p w14:paraId="0C83938C" w14:textId="77777777" w:rsidR="002A03DF" w:rsidRPr="002A03DF" w:rsidRDefault="002A03DF" w:rsidP="002A03DF">
      <w:pPr>
        <w:numPr>
          <w:ilvl w:val="0"/>
          <w:numId w:val="51"/>
        </w:numPr>
        <w:spacing w:before="100" w:beforeAutospacing="1" w:after="100" w:afterAutospacing="1"/>
      </w:pPr>
      <w:r w:rsidRPr="002A03DF">
        <w:rPr>
          <w:b/>
          <w:bCs/>
        </w:rPr>
        <w:t>Article 21: Non-discrimination (反歧视)</w:t>
      </w:r>
    </w:p>
    <w:p w14:paraId="2EC00860" w14:textId="77777777" w:rsidR="002A03DF" w:rsidRPr="002A03DF" w:rsidRDefault="002A03DF" w:rsidP="002A03DF">
      <w:pPr>
        <w:numPr>
          <w:ilvl w:val="1"/>
          <w:numId w:val="51"/>
        </w:numPr>
        <w:spacing w:before="100" w:beforeAutospacing="1" w:after="100" w:afterAutospacing="1"/>
      </w:pPr>
      <w:r w:rsidRPr="002A03DF">
        <w:rPr>
          <w:b/>
          <w:bCs/>
        </w:rPr>
        <w:t>English:</w:t>
      </w:r>
      <w:r w:rsidRPr="002A03DF">
        <w:t xml:space="preserve"> "Any discrimination based on grounds such as sex, race, color, ethnic or social origin, genetic features, language, religion, or belief shall be prohibited."</w:t>
      </w:r>
    </w:p>
    <w:p w14:paraId="180E0C4A" w14:textId="77777777" w:rsidR="002A03DF" w:rsidRPr="002A03DF" w:rsidRDefault="002A03DF" w:rsidP="002A03DF">
      <w:pPr>
        <w:numPr>
          <w:ilvl w:val="1"/>
          <w:numId w:val="51"/>
        </w:numPr>
        <w:spacing w:before="100" w:beforeAutospacing="1" w:after="100" w:afterAutospacing="1"/>
      </w:pPr>
      <w:r w:rsidRPr="002A03DF">
        <w:rPr>
          <w:b/>
          <w:bCs/>
        </w:rPr>
        <w:t>中文：</w:t>
      </w:r>
      <w:r w:rsidRPr="002A03DF">
        <w:t xml:space="preserve"> "基于性别、种族、肤色、民族或社会出身、遗传特征、语言、宗教或信仰的任何歧视均应被禁止。"</w:t>
      </w:r>
    </w:p>
    <w:p w14:paraId="6DFA3C4F" w14:textId="77777777" w:rsidR="002A03DF" w:rsidRPr="002A03DF" w:rsidRDefault="002A03DF" w:rsidP="002A03DF">
      <w:pPr>
        <w:numPr>
          <w:ilvl w:val="1"/>
          <w:numId w:val="51"/>
        </w:numPr>
        <w:spacing w:before="100" w:beforeAutospacing="1" w:after="100" w:afterAutospacing="1"/>
      </w:pPr>
      <w:r w:rsidRPr="002A03DF">
        <w:rPr>
          <w:b/>
          <w:bCs/>
        </w:rPr>
        <w:t>Applicability:</w:t>
      </w:r>
      <w:r w:rsidRPr="002A03DF">
        <w:t xml:space="preserve"> The SRI's focus on low-income and immigrant neighborhoods may lead to indirect discrimination, violating anti-discrimination provisions under EU law.</w:t>
      </w:r>
    </w:p>
    <w:p w14:paraId="33E8A334" w14:textId="77777777" w:rsidR="002A03DF" w:rsidRPr="002A03DF" w:rsidRDefault="002A03DF" w:rsidP="002A03DF">
      <w:pPr>
        <w:numPr>
          <w:ilvl w:val="0"/>
          <w:numId w:val="51"/>
        </w:numPr>
        <w:spacing w:before="100" w:beforeAutospacing="1" w:after="100" w:afterAutospacing="1"/>
        <w:rPr>
          <w:highlight w:val="yellow"/>
        </w:rPr>
      </w:pPr>
      <w:r w:rsidRPr="002A03DF">
        <w:rPr>
          <w:b/>
          <w:bCs/>
          <w:highlight w:val="yellow"/>
        </w:rPr>
        <w:t>Relevant Issue:</w:t>
      </w:r>
      <w:r w:rsidRPr="002A03DF">
        <w:rPr>
          <w:highlight w:val="yellow"/>
        </w:rPr>
        <w:t xml:space="preserve"> The use of SRI disproportionately targets low-income and immigrant communities, potentially violating anti-discrimination laws.</w:t>
      </w:r>
    </w:p>
    <w:p w14:paraId="7EC9C925" w14:textId="77777777" w:rsidR="002A03DF" w:rsidRPr="002A03DF" w:rsidRDefault="00F81BAE" w:rsidP="002A03DF">
      <w:r w:rsidRPr="002A03DF">
        <w:rPr>
          <w:noProof/>
        </w:rPr>
        <w:pict w14:anchorId="4234111B">
          <v:rect id="_x0000_i1304" alt="" style="width:415.3pt;height:.05pt;mso-width-percent:0;mso-height-percent:0;mso-width-percent:0;mso-height-percent:0" o:hralign="center" o:hrstd="t" o:hr="t" fillcolor="#a0a0a0" stroked="f"/>
        </w:pict>
      </w:r>
    </w:p>
    <w:p w14:paraId="1E3686AE" w14:textId="77777777" w:rsidR="002A03DF" w:rsidRPr="002A03DF" w:rsidRDefault="002A03DF" w:rsidP="002A03DF">
      <w:pPr>
        <w:spacing w:before="100" w:beforeAutospacing="1" w:after="100" w:afterAutospacing="1"/>
        <w:outlineLvl w:val="2"/>
        <w:rPr>
          <w:b/>
          <w:bCs/>
          <w:sz w:val="27"/>
          <w:szCs w:val="27"/>
        </w:rPr>
      </w:pPr>
      <w:r w:rsidRPr="002A03DF">
        <w:rPr>
          <w:b/>
          <w:bCs/>
          <w:sz w:val="27"/>
          <w:szCs w:val="27"/>
        </w:rPr>
        <w:t>3. Transparency and Accountability in Algorithmic Decision-Making (算法决策的透明性与问责制)</w:t>
      </w:r>
    </w:p>
    <w:p w14:paraId="2CD98CD1" w14:textId="77777777" w:rsidR="002A03DF" w:rsidRPr="002A03DF" w:rsidRDefault="002A03DF" w:rsidP="002A03DF">
      <w:pPr>
        <w:spacing w:before="100" w:beforeAutospacing="1" w:after="100" w:afterAutospacing="1"/>
        <w:outlineLvl w:val="3"/>
        <w:rPr>
          <w:b/>
          <w:bCs/>
        </w:rPr>
      </w:pPr>
      <w:r w:rsidRPr="002A03DF">
        <w:rPr>
          <w:b/>
          <w:bCs/>
        </w:rPr>
        <w:t>GDPR Article 22: Automated Decision-Making (自动化决策)</w:t>
      </w:r>
    </w:p>
    <w:p w14:paraId="30FBEBF8" w14:textId="77777777" w:rsidR="002A03DF" w:rsidRPr="002A03DF" w:rsidRDefault="002A03DF" w:rsidP="002A03DF">
      <w:pPr>
        <w:numPr>
          <w:ilvl w:val="0"/>
          <w:numId w:val="52"/>
        </w:numPr>
        <w:spacing w:before="100" w:beforeAutospacing="1" w:after="100" w:afterAutospacing="1"/>
      </w:pPr>
      <w:r w:rsidRPr="002A03DF">
        <w:rPr>
          <w:b/>
          <w:bCs/>
        </w:rPr>
        <w:t>English:</w:t>
      </w:r>
      <w:r w:rsidRPr="002A03DF">
        <w:t xml:space="preserve"> "The data subject shall have the right not to be subject to a decision based solely on automated processing, including profiling, which produces legal effects concerning them or significantly affects them."</w:t>
      </w:r>
    </w:p>
    <w:p w14:paraId="4B984BDB" w14:textId="77777777" w:rsidR="002A03DF" w:rsidRPr="002A03DF" w:rsidRDefault="002A03DF" w:rsidP="002A03DF">
      <w:pPr>
        <w:numPr>
          <w:ilvl w:val="1"/>
          <w:numId w:val="52"/>
        </w:numPr>
        <w:spacing w:before="100" w:beforeAutospacing="1" w:after="100" w:afterAutospacing="1"/>
      </w:pPr>
      <w:r w:rsidRPr="002A03DF">
        <w:rPr>
          <w:b/>
          <w:bCs/>
        </w:rPr>
        <w:t>中文：</w:t>
      </w:r>
      <w:r w:rsidRPr="002A03DF">
        <w:t xml:space="preserve"> "数据主体有权不受单纯基于自动化处理（包括分类）的决策影响，尤其是对其产生法律效力或重大影响的决策。"</w:t>
      </w:r>
    </w:p>
    <w:p w14:paraId="2CA2E454" w14:textId="77777777" w:rsidR="002A03DF" w:rsidRPr="002A03DF" w:rsidRDefault="002A03DF" w:rsidP="002A03DF">
      <w:pPr>
        <w:numPr>
          <w:ilvl w:val="1"/>
          <w:numId w:val="52"/>
        </w:numPr>
        <w:spacing w:before="100" w:beforeAutospacing="1" w:after="100" w:afterAutospacing="1"/>
      </w:pPr>
      <w:r w:rsidRPr="002A03DF">
        <w:rPr>
          <w:b/>
          <w:bCs/>
        </w:rPr>
        <w:t>Applicability:</w:t>
      </w:r>
      <w:r w:rsidRPr="002A03DF">
        <w:t xml:space="preserve"> Since SRI uses automated profiling that may affect individuals' access to benefits, it must comply with Article 22 to ensure transparency and provide safeguards.</w:t>
      </w:r>
    </w:p>
    <w:p w14:paraId="001E4735" w14:textId="77777777" w:rsidR="002A03DF" w:rsidRPr="002A03DF" w:rsidRDefault="002A03DF" w:rsidP="002A03DF">
      <w:pPr>
        <w:spacing w:before="100" w:beforeAutospacing="1" w:after="100" w:afterAutospacing="1"/>
        <w:outlineLvl w:val="3"/>
        <w:rPr>
          <w:b/>
          <w:bCs/>
        </w:rPr>
      </w:pPr>
      <w:r w:rsidRPr="002A03DF">
        <w:rPr>
          <w:b/>
          <w:bCs/>
        </w:rPr>
        <w:lastRenderedPageBreak/>
        <w:t>AI Act Proposal by the European Union (欧盟人工智能法案提案)</w:t>
      </w:r>
    </w:p>
    <w:p w14:paraId="249E63D1" w14:textId="77777777" w:rsidR="002A03DF" w:rsidRPr="002A03DF" w:rsidRDefault="002A03DF" w:rsidP="002A03DF">
      <w:pPr>
        <w:numPr>
          <w:ilvl w:val="0"/>
          <w:numId w:val="53"/>
        </w:numPr>
        <w:spacing w:before="100" w:beforeAutospacing="1" w:after="100" w:afterAutospacing="1"/>
      </w:pPr>
      <w:r w:rsidRPr="002A03DF">
        <w:rPr>
          <w:b/>
          <w:bCs/>
        </w:rPr>
        <w:t>Article 13: Transparency and Information (透明性与信息披露)</w:t>
      </w:r>
    </w:p>
    <w:p w14:paraId="6B681F2B" w14:textId="77777777" w:rsidR="002A03DF" w:rsidRPr="002A03DF" w:rsidRDefault="002A03DF" w:rsidP="002A03DF">
      <w:pPr>
        <w:numPr>
          <w:ilvl w:val="1"/>
          <w:numId w:val="53"/>
        </w:numPr>
        <w:spacing w:before="100" w:beforeAutospacing="1" w:after="100" w:afterAutospacing="1"/>
      </w:pPr>
      <w:r w:rsidRPr="002A03DF">
        <w:rPr>
          <w:b/>
          <w:bCs/>
        </w:rPr>
        <w:t>English:</w:t>
      </w:r>
      <w:r w:rsidRPr="002A03DF">
        <w:t xml:space="preserve"> High-risk AI systems must provide clear and comprehensible information about their functioning and purpose to ensure public trust and accountability.</w:t>
      </w:r>
    </w:p>
    <w:p w14:paraId="14809F79" w14:textId="77777777" w:rsidR="002A03DF" w:rsidRPr="002A03DF" w:rsidRDefault="002A03DF" w:rsidP="002A03DF">
      <w:pPr>
        <w:numPr>
          <w:ilvl w:val="1"/>
          <w:numId w:val="53"/>
        </w:numPr>
        <w:spacing w:before="100" w:beforeAutospacing="1" w:after="100" w:afterAutospacing="1"/>
      </w:pPr>
      <w:r w:rsidRPr="002A03DF">
        <w:rPr>
          <w:b/>
          <w:bCs/>
        </w:rPr>
        <w:t>中文：</w:t>
      </w:r>
      <w:r w:rsidRPr="002A03DF">
        <w:t xml:space="preserve"> 高风险人工智能系统必须提供明确且易懂的信息，说明其功能和目的，以确保公众信任和问责。</w:t>
      </w:r>
    </w:p>
    <w:p w14:paraId="2572992F" w14:textId="77777777" w:rsidR="002A03DF" w:rsidRPr="002A03DF" w:rsidRDefault="002A03DF" w:rsidP="002A03DF">
      <w:pPr>
        <w:numPr>
          <w:ilvl w:val="1"/>
          <w:numId w:val="53"/>
        </w:numPr>
        <w:spacing w:before="100" w:beforeAutospacing="1" w:after="100" w:afterAutospacing="1"/>
      </w:pPr>
      <w:r w:rsidRPr="002A03DF">
        <w:rPr>
          <w:b/>
          <w:bCs/>
        </w:rPr>
        <w:t>Applicability:</w:t>
      </w:r>
      <w:r w:rsidRPr="002A03DF">
        <w:t xml:space="preserve"> SRI qualifies as a high-risk system due to its societal impact, requiring transparency in its design and application.</w:t>
      </w:r>
    </w:p>
    <w:p w14:paraId="386B6AB4" w14:textId="77777777" w:rsidR="002A03DF" w:rsidRPr="002A03DF" w:rsidRDefault="002A03DF" w:rsidP="002A03DF">
      <w:pPr>
        <w:numPr>
          <w:ilvl w:val="0"/>
          <w:numId w:val="53"/>
        </w:numPr>
        <w:spacing w:before="100" w:beforeAutospacing="1" w:after="100" w:afterAutospacing="1"/>
      </w:pPr>
      <w:r w:rsidRPr="002A03DF">
        <w:rPr>
          <w:b/>
          <w:bCs/>
        </w:rPr>
        <w:t>Article 14: Human Oversight (人类监督)</w:t>
      </w:r>
    </w:p>
    <w:p w14:paraId="0BE951F0" w14:textId="77777777" w:rsidR="002A03DF" w:rsidRPr="002A03DF" w:rsidRDefault="002A03DF" w:rsidP="002A03DF">
      <w:pPr>
        <w:numPr>
          <w:ilvl w:val="1"/>
          <w:numId w:val="53"/>
        </w:numPr>
        <w:spacing w:before="100" w:beforeAutospacing="1" w:after="100" w:afterAutospacing="1"/>
      </w:pPr>
      <w:r w:rsidRPr="002A03DF">
        <w:rPr>
          <w:b/>
          <w:bCs/>
        </w:rPr>
        <w:t>English:</w:t>
      </w:r>
      <w:r w:rsidRPr="002A03DF">
        <w:t xml:space="preserve"> High-risk AI systems must allow for effective human oversight to intervene and correct errors or biases in decisions.</w:t>
      </w:r>
    </w:p>
    <w:p w14:paraId="10F90FCD" w14:textId="77777777" w:rsidR="002A03DF" w:rsidRPr="002A03DF" w:rsidRDefault="002A03DF" w:rsidP="002A03DF">
      <w:pPr>
        <w:numPr>
          <w:ilvl w:val="1"/>
          <w:numId w:val="53"/>
        </w:numPr>
        <w:spacing w:before="100" w:beforeAutospacing="1" w:after="100" w:afterAutospacing="1"/>
      </w:pPr>
      <w:r w:rsidRPr="002A03DF">
        <w:rPr>
          <w:b/>
          <w:bCs/>
        </w:rPr>
        <w:t>中文：</w:t>
      </w:r>
      <w:r w:rsidRPr="002A03DF">
        <w:t xml:space="preserve"> 高风险人工智能系统必须允许有效的人类监督，以纠正决策中的错误或偏见。</w:t>
      </w:r>
    </w:p>
    <w:p w14:paraId="3DDFD402" w14:textId="77777777" w:rsidR="002A03DF" w:rsidRPr="002A03DF" w:rsidRDefault="002A03DF" w:rsidP="002A03DF">
      <w:pPr>
        <w:numPr>
          <w:ilvl w:val="1"/>
          <w:numId w:val="53"/>
        </w:numPr>
        <w:spacing w:before="100" w:beforeAutospacing="1" w:after="100" w:afterAutospacing="1"/>
      </w:pPr>
      <w:r w:rsidRPr="002A03DF">
        <w:rPr>
          <w:b/>
          <w:bCs/>
        </w:rPr>
        <w:t>Applicability:</w:t>
      </w:r>
      <w:r w:rsidRPr="002A03DF">
        <w:t xml:space="preserve"> To prevent errors and biases in SRI's algorithmic decision-making, human oversight is essential.</w:t>
      </w:r>
    </w:p>
    <w:p w14:paraId="4ED534D5" w14:textId="77777777" w:rsidR="002A03DF" w:rsidRPr="002A03DF" w:rsidRDefault="00F81BAE" w:rsidP="002A03DF">
      <w:r w:rsidRPr="002A03DF">
        <w:rPr>
          <w:noProof/>
        </w:rPr>
        <w:pict w14:anchorId="0132E522">
          <v:rect id="_x0000_i1303" alt="" style="width:415.3pt;height:.05pt;mso-width-percent:0;mso-height-percent:0;mso-width-percent:0;mso-height-percent:0" o:hralign="center" o:hrstd="t" o:hr="t" fillcolor="#a0a0a0" stroked="f"/>
        </w:pict>
      </w:r>
    </w:p>
    <w:p w14:paraId="64589CA1" w14:textId="77777777" w:rsidR="002A03DF" w:rsidRPr="002A03DF" w:rsidRDefault="002A03DF" w:rsidP="002A03DF">
      <w:pPr>
        <w:spacing w:before="100" w:beforeAutospacing="1" w:after="100" w:afterAutospacing="1"/>
        <w:outlineLvl w:val="2"/>
        <w:rPr>
          <w:b/>
          <w:bCs/>
          <w:sz w:val="27"/>
          <w:szCs w:val="27"/>
        </w:rPr>
      </w:pPr>
      <w:r w:rsidRPr="002A03DF">
        <w:rPr>
          <w:b/>
          <w:bCs/>
          <w:sz w:val="27"/>
          <w:szCs w:val="27"/>
        </w:rPr>
        <w:t>Counterfactual Explanations (反事实解释)</w:t>
      </w:r>
    </w:p>
    <w:p w14:paraId="367DB0BE" w14:textId="77777777" w:rsidR="002A03DF" w:rsidRPr="002A03DF" w:rsidRDefault="002A03DF" w:rsidP="002A03DF">
      <w:pPr>
        <w:spacing w:before="100" w:beforeAutospacing="1" w:after="100" w:afterAutospacing="1"/>
      </w:pPr>
      <w:r w:rsidRPr="002A03DF">
        <w:t>This legal framework supports counterfactual explanations, clarifying how minimal changes in data could alter an automated decision. Such explanations are essential for ensuring algorithmic transparency and fairness, particularly in systems like SRI that have significant societal impacts.</w:t>
      </w:r>
    </w:p>
    <w:p w14:paraId="0EF24437" w14:textId="77777777" w:rsidR="002A03DF" w:rsidRPr="002A03DF" w:rsidRDefault="00F81BAE" w:rsidP="002A03DF">
      <w:r w:rsidRPr="002A03DF">
        <w:rPr>
          <w:noProof/>
        </w:rPr>
        <w:pict w14:anchorId="0D8A9AE7">
          <v:rect id="_x0000_i1302" alt="" style="width:415.3pt;height:.05pt;mso-width-percent:0;mso-height-percent:0;mso-width-percent:0;mso-height-percent:0" o:hralign="center" o:hrstd="t" o:hr="t" fillcolor="#a0a0a0" stroked="f"/>
        </w:pict>
      </w:r>
    </w:p>
    <w:p w14:paraId="7F2FA7A0" w14:textId="77777777" w:rsidR="002A03DF" w:rsidRPr="002A03DF" w:rsidRDefault="002A03DF" w:rsidP="002A03DF">
      <w:pPr>
        <w:spacing w:before="100" w:beforeAutospacing="1" w:after="100" w:afterAutospacing="1"/>
        <w:outlineLvl w:val="2"/>
        <w:rPr>
          <w:b/>
          <w:bCs/>
          <w:sz w:val="27"/>
          <w:szCs w:val="27"/>
        </w:rPr>
      </w:pPr>
      <w:r w:rsidRPr="002A03DF">
        <w:rPr>
          <w:b/>
          <w:bCs/>
          <w:sz w:val="27"/>
          <w:szCs w:val="27"/>
        </w:rPr>
        <w:t>Conclusion and Recommendation (结论与建议)</w:t>
      </w:r>
    </w:p>
    <w:p w14:paraId="623EA76C" w14:textId="77777777" w:rsidR="002A03DF" w:rsidRPr="002A03DF" w:rsidRDefault="002A03DF" w:rsidP="002A03DF">
      <w:pPr>
        <w:spacing w:before="100" w:beforeAutospacing="1" w:after="100" w:afterAutospacing="1"/>
      </w:pPr>
      <w:r w:rsidRPr="002A03DF">
        <w:t xml:space="preserve">The deployment of SRI raises significant concerns regarding data protection, discrimination, and transparency. The Stockholm District Court should carefully </w:t>
      </w:r>
      <w:r w:rsidRPr="002A03DF">
        <w:rPr>
          <w:highlight w:val="yellow"/>
        </w:rPr>
        <w:t>evaluate the legality of using such tools under GDPR, EU non-discrimination law, and transparency obligations. The government must justify the necessity and proportionality of SRI’s deployment while safeguarding fundamental rights.</w:t>
      </w:r>
      <w:r w:rsidRPr="002A03DF">
        <w:t xml:space="preserve"> The inclusion of robust safeguards, including human oversight and clear </w:t>
      </w:r>
      <w:r w:rsidRPr="002A03DF">
        <w:lastRenderedPageBreak/>
        <w:t>transparency measures, is essential to ensure compliance with legal standards.</w:t>
      </w:r>
    </w:p>
    <w:p w14:paraId="18A9D5A5" w14:textId="77777777" w:rsidR="002A03DF" w:rsidRPr="002A03DF" w:rsidRDefault="00F81BAE" w:rsidP="002A03DF">
      <w:r w:rsidRPr="002A03DF">
        <w:rPr>
          <w:noProof/>
        </w:rPr>
        <w:pict w14:anchorId="52ABA3AF">
          <v:rect id="_x0000_i1301" alt="" style="width:415.3pt;height:.05pt;mso-width-percent:0;mso-height-percent:0;mso-width-percent:0;mso-height-percent:0" o:hralign="center" o:hrstd="t" o:hr="t" fillcolor="#a0a0a0" stroked="f"/>
        </w:pict>
      </w:r>
    </w:p>
    <w:p w14:paraId="3AAF7191" w14:textId="77777777" w:rsidR="00EC780E" w:rsidRDefault="00EC780E" w:rsidP="00EC780E">
      <w:pPr>
        <w:spacing w:before="100" w:beforeAutospacing="1" w:after="100" w:afterAutospacing="1"/>
        <w:outlineLvl w:val="3"/>
        <w:rPr>
          <w:b/>
          <w:bCs/>
        </w:rPr>
      </w:pPr>
    </w:p>
    <w:p w14:paraId="75494096" w14:textId="036612EA" w:rsidR="00EC3F1F" w:rsidRDefault="00EC3F1F" w:rsidP="00EC780E">
      <w:pPr>
        <w:spacing w:before="100" w:beforeAutospacing="1" w:after="100" w:afterAutospacing="1"/>
        <w:outlineLvl w:val="3"/>
        <w:rPr>
          <w:rFonts w:hint="eastAsia"/>
          <w:b/>
          <w:bCs/>
        </w:rPr>
      </w:pPr>
      <w:r w:rsidRPr="00EC3F1F">
        <w:rPr>
          <w:rFonts w:hint="eastAsia"/>
          <w:b/>
          <w:bCs/>
          <w:highlight w:val="cyan"/>
        </w:rPr>
        <w:t>AI和知识产权</w:t>
      </w:r>
    </w:p>
    <w:p w14:paraId="0851F3B8" w14:textId="77777777" w:rsidR="00EC3F1F" w:rsidRDefault="00EC3F1F" w:rsidP="00EC3F1F">
      <w:pPr>
        <w:pStyle w:val="3"/>
        <w:rPr>
          <w:rFonts w:ascii="宋体" w:eastAsia="宋体" w:hAnsi="宋体" w:cs="宋体"/>
          <w:sz w:val="27"/>
        </w:rPr>
      </w:pPr>
      <w:r>
        <w:rPr>
          <w:rStyle w:val="ae"/>
          <w:b w:val="0"/>
          <w:bCs w:val="0"/>
        </w:rPr>
        <w:t xml:space="preserve">Concerns Regarding AI Innovations Using Biometric Data </w:t>
      </w:r>
      <w:proofErr w:type="gramStart"/>
      <w:r>
        <w:rPr>
          <w:rStyle w:val="ae"/>
          <w:b w:val="0"/>
          <w:bCs w:val="0"/>
        </w:rPr>
        <w:t>in Light of</w:t>
      </w:r>
      <w:proofErr w:type="gramEnd"/>
      <w:r>
        <w:rPr>
          <w:rStyle w:val="ae"/>
          <w:b w:val="0"/>
          <w:bCs w:val="0"/>
        </w:rPr>
        <w:t xml:space="preserve"> Data Privacy and Security Laws</w:t>
      </w:r>
    </w:p>
    <w:p w14:paraId="4AFF7BF0" w14:textId="77777777" w:rsidR="00EC3F1F" w:rsidRDefault="00EC3F1F" w:rsidP="00EC3F1F">
      <w:pPr>
        <w:pStyle w:val="af"/>
      </w:pPr>
      <w:r>
        <w:t>AI innovations involving biometric data, such as facial recognition or fingerprint scanning, have immense potential in various industries. However, the collection, processing, and storage of biometric data raise significant legal and ethical concerns under existing and developing data privacy and security regulations. Below, key concerns and relevant legal provisions are analyzed.</w:t>
      </w:r>
    </w:p>
    <w:p w14:paraId="46427277" w14:textId="77777777" w:rsidR="00EC3F1F" w:rsidRDefault="00F81BAE" w:rsidP="00EC3F1F">
      <w:r>
        <w:rPr>
          <w:noProof/>
        </w:rPr>
        <w:pict w14:anchorId="3D9E6203">
          <v:rect id="_x0000_i1300" alt="" style="width:415.3pt;height:.05pt;mso-width-percent:0;mso-height-percent:0;mso-width-percent:0;mso-height-percent:0" o:hralign="center" o:hrstd="t" o:hr="t" fillcolor="#a0a0a0" stroked="f"/>
        </w:pict>
      </w:r>
    </w:p>
    <w:p w14:paraId="7E2E159F" w14:textId="77777777" w:rsidR="00EC3F1F" w:rsidRDefault="00EC3F1F" w:rsidP="00EC3F1F">
      <w:pPr>
        <w:pStyle w:val="3"/>
      </w:pPr>
      <w:r>
        <w:rPr>
          <w:rStyle w:val="ae"/>
          <w:b w:val="0"/>
          <w:bCs w:val="0"/>
        </w:rPr>
        <w:t>1. Key Concerns with Biometric Data in AI Innovations</w:t>
      </w:r>
    </w:p>
    <w:p w14:paraId="49005F29" w14:textId="77777777" w:rsidR="00EC3F1F" w:rsidRDefault="00EC3F1F" w:rsidP="00EC3F1F">
      <w:pPr>
        <w:pStyle w:val="4"/>
      </w:pPr>
      <w:r>
        <w:rPr>
          <w:rStyle w:val="ae"/>
          <w:b w:val="0"/>
          <w:bCs w:val="0"/>
        </w:rPr>
        <w:t>1.1 Data Minimization and Purpose Limitation</w:t>
      </w:r>
    </w:p>
    <w:p w14:paraId="2E4F7F0A" w14:textId="77777777" w:rsidR="00EC3F1F" w:rsidRDefault="00EC3F1F" w:rsidP="00EC3F1F">
      <w:pPr>
        <w:pStyle w:val="af"/>
      </w:pPr>
      <w:r>
        <w:t>Biometric data is highly sensitive and often classified as "special category data" under privacy laws. Collecting more data than necessary or using it for purposes beyond those initially disclosed violates the principle of data minimization and purpose limitation.</w:t>
      </w:r>
    </w:p>
    <w:p w14:paraId="3AC95FA0" w14:textId="77777777" w:rsidR="00EC3F1F" w:rsidRDefault="00EC3F1F" w:rsidP="00EC3F1F">
      <w:pPr>
        <w:numPr>
          <w:ilvl w:val="0"/>
          <w:numId w:val="95"/>
        </w:numPr>
        <w:spacing w:before="100" w:beforeAutospacing="1" w:after="100" w:afterAutospacing="1"/>
      </w:pPr>
      <w:r>
        <w:rPr>
          <w:rStyle w:val="ae"/>
        </w:rPr>
        <w:t>Relevant Provision (GDPR, Article 5(1)(b) &amp; (c))</w:t>
      </w:r>
      <w:r>
        <w:t>:</w:t>
      </w:r>
    </w:p>
    <w:p w14:paraId="5A66516B" w14:textId="77777777" w:rsidR="00EC3F1F" w:rsidRDefault="00EC3F1F" w:rsidP="00EC3F1F">
      <w:pPr>
        <w:numPr>
          <w:ilvl w:val="1"/>
          <w:numId w:val="95"/>
        </w:numPr>
        <w:spacing w:before="100" w:beforeAutospacing="1" w:after="100" w:afterAutospacing="1"/>
      </w:pPr>
      <w:r>
        <w:rPr>
          <w:rStyle w:val="af0"/>
        </w:rPr>
        <w:t>English</w:t>
      </w:r>
      <w:r>
        <w:t>: “Personal data shall be collected for specified, explicit and legitimate purposes and not further processed in a manner that is incompatible with those purposes.”</w:t>
      </w:r>
    </w:p>
    <w:p w14:paraId="224E5CF9" w14:textId="77777777" w:rsidR="00EC3F1F" w:rsidRDefault="00EC3F1F" w:rsidP="00EC3F1F">
      <w:pPr>
        <w:numPr>
          <w:ilvl w:val="1"/>
          <w:numId w:val="95"/>
        </w:numPr>
        <w:spacing w:before="100" w:beforeAutospacing="1" w:after="100" w:afterAutospacing="1"/>
      </w:pPr>
      <w:r>
        <w:rPr>
          <w:rStyle w:val="af0"/>
        </w:rPr>
        <w:t>中文</w:t>
      </w:r>
      <w:r>
        <w:t>：“个人数据的收集应具有明确、具体和合法的目的，并不得以与这些目的不相符的方式进一步处理。”</w:t>
      </w:r>
    </w:p>
    <w:p w14:paraId="335193E6" w14:textId="77777777" w:rsidR="00EC3F1F" w:rsidRDefault="00EC3F1F" w:rsidP="00EC3F1F">
      <w:pPr>
        <w:pStyle w:val="4"/>
      </w:pPr>
      <w:r>
        <w:rPr>
          <w:rStyle w:val="ae"/>
          <w:b w:val="0"/>
          <w:bCs w:val="0"/>
        </w:rPr>
        <w:lastRenderedPageBreak/>
        <w:t>1.2 Informed Consent</w:t>
      </w:r>
    </w:p>
    <w:p w14:paraId="5BA3B76B" w14:textId="77777777" w:rsidR="00EC3F1F" w:rsidRDefault="00EC3F1F" w:rsidP="00EC3F1F">
      <w:pPr>
        <w:pStyle w:val="af"/>
      </w:pPr>
      <w:r>
        <w:t>AI systems using biometric data must obtain explicit consent from individuals before collecting and processing their data. Failure to do so can lead to legal challenges.</w:t>
      </w:r>
    </w:p>
    <w:p w14:paraId="32C06E0C" w14:textId="77777777" w:rsidR="00EC3F1F" w:rsidRDefault="00EC3F1F" w:rsidP="00EC3F1F">
      <w:pPr>
        <w:numPr>
          <w:ilvl w:val="0"/>
          <w:numId w:val="96"/>
        </w:numPr>
        <w:spacing w:before="100" w:beforeAutospacing="1" w:after="100" w:afterAutospacing="1"/>
      </w:pPr>
      <w:r>
        <w:rPr>
          <w:rStyle w:val="ae"/>
        </w:rPr>
        <w:t>Relevant Provision (GDPR, Article 9(2)(a))</w:t>
      </w:r>
      <w:r>
        <w:t>:</w:t>
      </w:r>
    </w:p>
    <w:p w14:paraId="1B4A8499" w14:textId="77777777" w:rsidR="00EC3F1F" w:rsidRDefault="00EC3F1F" w:rsidP="00EC3F1F">
      <w:pPr>
        <w:numPr>
          <w:ilvl w:val="1"/>
          <w:numId w:val="96"/>
        </w:numPr>
        <w:spacing w:before="100" w:beforeAutospacing="1" w:after="100" w:afterAutospacing="1"/>
      </w:pPr>
      <w:r>
        <w:rPr>
          <w:rStyle w:val="af0"/>
        </w:rPr>
        <w:t>English</w:t>
      </w:r>
      <w:r>
        <w:t>: “Processing of biometric data shall be lawful only if the data subject has given explicit consent to the processing of those personal data for one or more specified purposes.”</w:t>
      </w:r>
    </w:p>
    <w:p w14:paraId="14CDAAF1" w14:textId="77777777" w:rsidR="00EC3F1F" w:rsidRDefault="00EC3F1F" w:rsidP="00EC3F1F">
      <w:pPr>
        <w:numPr>
          <w:ilvl w:val="1"/>
          <w:numId w:val="96"/>
        </w:numPr>
        <w:spacing w:before="100" w:beforeAutospacing="1" w:after="100" w:afterAutospacing="1"/>
      </w:pPr>
      <w:r>
        <w:rPr>
          <w:rStyle w:val="af0"/>
        </w:rPr>
        <w:t>中文</w:t>
      </w:r>
      <w:r>
        <w:t>：“只有在数据主体明确同意的情况下，处理生物特征数据才是合法的。”</w:t>
      </w:r>
    </w:p>
    <w:p w14:paraId="31238C5C" w14:textId="77777777" w:rsidR="00EC3F1F" w:rsidRDefault="00EC3F1F" w:rsidP="00EC3F1F">
      <w:pPr>
        <w:pStyle w:val="4"/>
      </w:pPr>
      <w:r>
        <w:rPr>
          <w:rStyle w:val="ae"/>
          <w:b w:val="0"/>
          <w:bCs w:val="0"/>
        </w:rPr>
        <w:t>1.3 Data Security and Risk of Breach</w:t>
      </w:r>
    </w:p>
    <w:p w14:paraId="3BCC70BA" w14:textId="77777777" w:rsidR="00EC3F1F" w:rsidRDefault="00EC3F1F" w:rsidP="00EC3F1F">
      <w:pPr>
        <w:pStyle w:val="af"/>
      </w:pPr>
      <w:r>
        <w:t>Biometric data, once compromised, cannot be changed like a password. AI innovations must implement strong security measures to prevent data breaches.</w:t>
      </w:r>
    </w:p>
    <w:p w14:paraId="2D0D581A" w14:textId="77777777" w:rsidR="00EC3F1F" w:rsidRDefault="00EC3F1F" w:rsidP="00EC3F1F">
      <w:pPr>
        <w:numPr>
          <w:ilvl w:val="0"/>
          <w:numId w:val="97"/>
        </w:numPr>
        <w:spacing w:before="100" w:beforeAutospacing="1" w:after="100" w:afterAutospacing="1"/>
      </w:pPr>
      <w:r>
        <w:rPr>
          <w:rStyle w:val="ae"/>
        </w:rPr>
        <w:t>Relevant Provision (GDPR, Article 32)</w:t>
      </w:r>
      <w:r>
        <w:t>:</w:t>
      </w:r>
    </w:p>
    <w:p w14:paraId="73F9B0B0" w14:textId="77777777" w:rsidR="00EC3F1F" w:rsidRDefault="00EC3F1F" w:rsidP="00EC3F1F">
      <w:pPr>
        <w:numPr>
          <w:ilvl w:val="1"/>
          <w:numId w:val="97"/>
        </w:numPr>
        <w:spacing w:before="100" w:beforeAutospacing="1" w:after="100" w:afterAutospacing="1"/>
      </w:pPr>
      <w:r>
        <w:rPr>
          <w:rStyle w:val="af0"/>
        </w:rPr>
        <w:t>English</w:t>
      </w:r>
      <w:r>
        <w:t>: “The controller and the processor shall implement appropriate technical and organizational measures to ensure a level of security appropriate to the risk.”</w:t>
      </w:r>
    </w:p>
    <w:p w14:paraId="4CFC4892" w14:textId="77777777" w:rsidR="00EC3F1F" w:rsidRDefault="00EC3F1F" w:rsidP="00EC3F1F">
      <w:pPr>
        <w:numPr>
          <w:ilvl w:val="1"/>
          <w:numId w:val="97"/>
        </w:numPr>
        <w:spacing w:before="100" w:beforeAutospacing="1" w:after="100" w:afterAutospacing="1"/>
      </w:pPr>
      <w:r>
        <w:rPr>
          <w:rStyle w:val="af0"/>
        </w:rPr>
        <w:t>中文</w:t>
      </w:r>
      <w:r>
        <w:t>：“数据控制者和处理者应实施适当的技术和组织措施，以确保与风险相适应的安全水平。”</w:t>
      </w:r>
    </w:p>
    <w:p w14:paraId="0578F3D1" w14:textId="77777777" w:rsidR="00EC3F1F" w:rsidRDefault="00EC3F1F" w:rsidP="00EC3F1F">
      <w:pPr>
        <w:pStyle w:val="4"/>
      </w:pPr>
      <w:r>
        <w:rPr>
          <w:rStyle w:val="ae"/>
          <w:b w:val="0"/>
          <w:bCs w:val="0"/>
        </w:rPr>
        <w:t>1.4 Data Retention and Deletion</w:t>
      </w:r>
    </w:p>
    <w:p w14:paraId="0C2E4630" w14:textId="77777777" w:rsidR="00EC3F1F" w:rsidRDefault="00EC3F1F" w:rsidP="00EC3F1F">
      <w:pPr>
        <w:pStyle w:val="af"/>
      </w:pPr>
      <w:r>
        <w:t>Biometric data should not be retained longer than necessary. Prolonged storage without a valid reason increases the risk of misuse or breach.</w:t>
      </w:r>
    </w:p>
    <w:p w14:paraId="664747D2" w14:textId="77777777" w:rsidR="00EC3F1F" w:rsidRDefault="00EC3F1F" w:rsidP="00EC3F1F">
      <w:pPr>
        <w:numPr>
          <w:ilvl w:val="0"/>
          <w:numId w:val="98"/>
        </w:numPr>
        <w:spacing w:before="100" w:beforeAutospacing="1" w:after="100" w:afterAutospacing="1"/>
      </w:pPr>
      <w:r>
        <w:rPr>
          <w:rStyle w:val="ae"/>
        </w:rPr>
        <w:t>Relevant Provision (GDPR, Article 5(1)(e))</w:t>
      </w:r>
      <w:r>
        <w:t>:</w:t>
      </w:r>
    </w:p>
    <w:p w14:paraId="579B3FD2" w14:textId="77777777" w:rsidR="00EC3F1F" w:rsidRDefault="00EC3F1F" w:rsidP="00EC3F1F">
      <w:pPr>
        <w:numPr>
          <w:ilvl w:val="1"/>
          <w:numId w:val="98"/>
        </w:numPr>
        <w:spacing w:before="100" w:beforeAutospacing="1" w:after="100" w:afterAutospacing="1"/>
      </w:pPr>
      <w:r>
        <w:rPr>
          <w:rStyle w:val="af0"/>
        </w:rPr>
        <w:t>English</w:t>
      </w:r>
      <w:r>
        <w:t>: “Personal data shall be kept in a form which permits identification of data subjects for no longer than is necessary for the purposes for which the data are processed.”</w:t>
      </w:r>
    </w:p>
    <w:p w14:paraId="79EC30C7" w14:textId="77777777" w:rsidR="00EC3F1F" w:rsidRDefault="00EC3F1F" w:rsidP="00EC3F1F">
      <w:pPr>
        <w:numPr>
          <w:ilvl w:val="1"/>
          <w:numId w:val="98"/>
        </w:numPr>
        <w:spacing w:before="100" w:beforeAutospacing="1" w:after="100" w:afterAutospacing="1"/>
      </w:pPr>
      <w:r>
        <w:rPr>
          <w:rStyle w:val="af0"/>
        </w:rPr>
        <w:t>中文</w:t>
      </w:r>
      <w:r>
        <w:t>：“个人数据的存储时间不应超过其处理目的所必需的期限。”</w:t>
      </w:r>
    </w:p>
    <w:p w14:paraId="75184C28" w14:textId="77777777" w:rsidR="00EC3F1F" w:rsidRDefault="00EC3F1F" w:rsidP="00EC3F1F">
      <w:pPr>
        <w:pStyle w:val="4"/>
      </w:pPr>
      <w:r>
        <w:rPr>
          <w:rStyle w:val="ae"/>
          <w:b w:val="0"/>
          <w:bCs w:val="0"/>
        </w:rPr>
        <w:lastRenderedPageBreak/>
        <w:t>1.5 Cross-border Data Transfers</w:t>
      </w:r>
    </w:p>
    <w:p w14:paraId="402EA320" w14:textId="77777777" w:rsidR="00EC3F1F" w:rsidRDefault="00EC3F1F" w:rsidP="00EC3F1F">
      <w:pPr>
        <w:pStyle w:val="af"/>
      </w:pPr>
      <w:r>
        <w:t>Biometric data used in AI systems is often processed in different countries. Transferring such data across borders without adequate protection mechanisms can lead to legal violations.</w:t>
      </w:r>
    </w:p>
    <w:p w14:paraId="5834E18F" w14:textId="77777777" w:rsidR="00EC3F1F" w:rsidRDefault="00EC3F1F" w:rsidP="00EC3F1F">
      <w:pPr>
        <w:numPr>
          <w:ilvl w:val="0"/>
          <w:numId w:val="99"/>
        </w:numPr>
        <w:spacing w:before="100" w:beforeAutospacing="1" w:after="100" w:afterAutospacing="1"/>
      </w:pPr>
      <w:r>
        <w:rPr>
          <w:rStyle w:val="ae"/>
        </w:rPr>
        <w:t>Relevant Provision (GDPR, Chapter V, Article 46)</w:t>
      </w:r>
      <w:r>
        <w:t>:</w:t>
      </w:r>
    </w:p>
    <w:p w14:paraId="7FBE0A1B" w14:textId="77777777" w:rsidR="00EC3F1F" w:rsidRDefault="00EC3F1F" w:rsidP="00EC3F1F">
      <w:pPr>
        <w:numPr>
          <w:ilvl w:val="1"/>
          <w:numId w:val="99"/>
        </w:numPr>
        <w:spacing w:before="100" w:beforeAutospacing="1" w:after="100" w:afterAutospacing="1"/>
      </w:pPr>
      <w:r>
        <w:rPr>
          <w:rStyle w:val="af0"/>
        </w:rPr>
        <w:t>English</w:t>
      </w:r>
      <w:r>
        <w:t>: “Appropriate safeguards must be implemented for cross-border transfers of personal data, such as standard contractual clauses or binding corporate rules.”</w:t>
      </w:r>
    </w:p>
    <w:p w14:paraId="3896A1E0" w14:textId="77777777" w:rsidR="00EC3F1F" w:rsidRDefault="00EC3F1F" w:rsidP="00EC3F1F">
      <w:pPr>
        <w:numPr>
          <w:ilvl w:val="1"/>
          <w:numId w:val="99"/>
        </w:numPr>
        <w:spacing w:before="100" w:beforeAutospacing="1" w:after="100" w:afterAutospacing="1"/>
      </w:pPr>
      <w:r>
        <w:rPr>
          <w:rStyle w:val="af0"/>
        </w:rPr>
        <w:t>中文</w:t>
      </w:r>
      <w:r>
        <w:t>：“跨境传输个人数据时，必须实施适当的保护措施，例如标准合同条款或具有约束力的企业规则。”</w:t>
      </w:r>
    </w:p>
    <w:p w14:paraId="05CCCFCB" w14:textId="77777777" w:rsidR="00EC3F1F" w:rsidRDefault="00F81BAE" w:rsidP="00EC3F1F">
      <w:r>
        <w:rPr>
          <w:noProof/>
        </w:rPr>
        <w:pict w14:anchorId="0022E3A3">
          <v:rect id="_x0000_i1299" alt="" style="width:415.3pt;height:.05pt;mso-width-percent:0;mso-height-percent:0;mso-width-percent:0;mso-height-percent:0" o:hralign="center" o:hrstd="t" o:hr="t" fillcolor="#a0a0a0" stroked="f"/>
        </w:pict>
      </w:r>
    </w:p>
    <w:p w14:paraId="1D4C41D1" w14:textId="77777777" w:rsidR="00EC3F1F" w:rsidRDefault="00EC3F1F" w:rsidP="00EC3F1F">
      <w:pPr>
        <w:pStyle w:val="3"/>
      </w:pPr>
      <w:r>
        <w:rPr>
          <w:rStyle w:val="ae"/>
          <w:b w:val="0"/>
          <w:bCs w:val="0"/>
        </w:rPr>
        <w:t>2. Examples of Biometric Data Misuse and Legal Risks</w:t>
      </w:r>
    </w:p>
    <w:p w14:paraId="1185A2B4" w14:textId="77777777" w:rsidR="00EC3F1F" w:rsidRDefault="00EC3F1F" w:rsidP="00EC3F1F">
      <w:pPr>
        <w:pStyle w:val="4"/>
      </w:pPr>
      <w:r>
        <w:rPr>
          <w:rStyle w:val="ae"/>
          <w:b w:val="0"/>
          <w:bCs w:val="0"/>
        </w:rPr>
        <w:t>2.1 Unauthorized Use of Biometric Data</w:t>
      </w:r>
    </w:p>
    <w:p w14:paraId="4EBF9A92" w14:textId="77777777" w:rsidR="00EC3F1F" w:rsidRDefault="00EC3F1F" w:rsidP="00EC3F1F">
      <w:pPr>
        <w:pStyle w:val="af"/>
      </w:pPr>
      <w:r>
        <w:t>Cases have emerged where companies use facial recognition without proper user consent, leading to hefty fines and reputational damage.</w:t>
      </w:r>
    </w:p>
    <w:p w14:paraId="2799C24F" w14:textId="77777777" w:rsidR="00EC3F1F" w:rsidRDefault="00EC3F1F" w:rsidP="00EC3F1F">
      <w:pPr>
        <w:numPr>
          <w:ilvl w:val="0"/>
          <w:numId w:val="100"/>
        </w:numPr>
        <w:spacing w:before="100" w:beforeAutospacing="1" w:after="100" w:afterAutospacing="1"/>
      </w:pPr>
      <w:r>
        <w:rPr>
          <w:rStyle w:val="ae"/>
        </w:rPr>
        <w:t>Case Example</w:t>
      </w:r>
      <w:r>
        <w:t>: In 2021, Clearview AI faced legal action for scraping billions of images from the web without obtaining consent, violating privacy laws.</w:t>
      </w:r>
    </w:p>
    <w:p w14:paraId="50C0206C" w14:textId="77777777" w:rsidR="00EC3F1F" w:rsidRDefault="00EC3F1F" w:rsidP="00EC3F1F">
      <w:pPr>
        <w:pStyle w:val="4"/>
      </w:pPr>
      <w:r>
        <w:rPr>
          <w:rStyle w:val="ae"/>
          <w:b w:val="0"/>
          <w:bCs w:val="0"/>
        </w:rPr>
        <w:t>2.2 Profiling and Discrimination</w:t>
      </w:r>
    </w:p>
    <w:p w14:paraId="75A8B343" w14:textId="77777777" w:rsidR="00EC3F1F" w:rsidRDefault="00EC3F1F" w:rsidP="00EC3F1F">
      <w:pPr>
        <w:pStyle w:val="af"/>
      </w:pPr>
      <w:r>
        <w:t>AI systems using biometric data may unintentionally lead to biased profiling or discrimination, which could violate anti-discrimination laws.</w:t>
      </w:r>
    </w:p>
    <w:p w14:paraId="63F1FDFC" w14:textId="77777777" w:rsidR="00EC3F1F" w:rsidRDefault="00EC3F1F" w:rsidP="00EC3F1F">
      <w:pPr>
        <w:numPr>
          <w:ilvl w:val="0"/>
          <w:numId w:val="101"/>
        </w:numPr>
        <w:spacing w:before="100" w:beforeAutospacing="1" w:after="100" w:afterAutospacing="1"/>
      </w:pPr>
      <w:r>
        <w:rPr>
          <w:rStyle w:val="ae"/>
        </w:rPr>
        <w:t>Relevant Provision (GDPR, Article 22)</w:t>
      </w:r>
      <w:r>
        <w:t>:</w:t>
      </w:r>
    </w:p>
    <w:p w14:paraId="55A994EC" w14:textId="77777777" w:rsidR="00EC3F1F" w:rsidRDefault="00EC3F1F" w:rsidP="00EC3F1F">
      <w:pPr>
        <w:numPr>
          <w:ilvl w:val="1"/>
          <w:numId w:val="101"/>
        </w:numPr>
        <w:spacing w:before="100" w:beforeAutospacing="1" w:after="100" w:afterAutospacing="1"/>
      </w:pPr>
      <w:r>
        <w:rPr>
          <w:rStyle w:val="af0"/>
        </w:rPr>
        <w:t>English</w:t>
      </w:r>
      <w:r>
        <w:t>: “The data subject shall have the right not to be subject to a decision based solely on automated processing, including profiling, which produces legal effects concerning him or her.”</w:t>
      </w:r>
    </w:p>
    <w:p w14:paraId="65C2FC8C" w14:textId="77777777" w:rsidR="00EC3F1F" w:rsidRDefault="00EC3F1F" w:rsidP="00EC3F1F">
      <w:pPr>
        <w:numPr>
          <w:ilvl w:val="1"/>
          <w:numId w:val="101"/>
        </w:numPr>
        <w:spacing w:before="100" w:beforeAutospacing="1" w:after="100" w:afterAutospacing="1"/>
      </w:pPr>
      <w:r>
        <w:rPr>
          <w:rStyle w:val="af0"/>
        </w:rPr>
        <w:t>中文</w:t>
      </w:r>
      <w:r>
        <w:t>：“数据主体有权不受基于自动化处理（包括分析）的决定的影响，该决定对其具有法律效力。”</w:t>
      </w:r>
    </w:p>
    <w:p w14:paraId="045F6666" w14:textId="77777777" w:rsidR="00EC3F1F" w:rsidRDefault="00F81BAE" w:rsidP="00EC3F1F">
      <w:r>
        <w:rPr>
          <w:noProof/>
        </w:rPr>
        <w:pict w14:anchorId="55838FD2">
          <v:rect id="_x0000_i1298" alt="" style="width:415.3pt;height:.05pt;mso-width-percent:0;mso-height-percent:0;mso-width-percent:0;mso-height-percent:0" o:hralign="center" o:hrstd="t" o:hr="t" fillcolor="#a0a0a0" stroked="f"/>
        </w:pict>
      </w:r>
    </w:p>
    <w:p w14:paraId="5AE7FADE" w14:textId="77777777" w:rsidR="00EC3F1F" w:rsidRDefault="00EC3F1F" w:rsidP="00EC3F1F">
      <w:pPr>
        <w:pStyle w:val="3"/>
      </w:pPr>
      <w:r>
        <w:rPr>
          <w:rStyle w:val="ae"/>
          <w:b w:val="0"/>
          <w:bCs w:val="0"/>
        </w:rPr>
        <w:lastRenderedPageBreak/>
        <w:t>3. Legal Frameworks Governing Biometric Data in AI</w:t>
      </w:r>
    </w:p>
    <w:p w14:paraId="1090101C" w14:textId="77777777" w:rsidR="00EC3F1F" w:rsidRDefault="00EC3F1F" w:rsidP="00EC3F1F">
      <w:pPr>
        <w:pStyle w:val="4"/>
      </w:pPr>
      <w:r>
        <w:rPr>
          <w:rStyle w:val="ae"/>
          <w:b w:val="0"/>
          <w:bCs w:val="0"/>
        </w:rPr>
        <w:t>3.1 General Data Protection Regulation (GDPR)</w:t>
      </w:r>
    </w:p>
    <w:p w14:paraId="01C6C683" w14:textId="77777777" w:rsidR="00EC3F1F" w:rsidRDefault="00EC3F1F" w:rsidP="00EC3F1F">
      <w:pPr>
        <w:pStyle w:val="af"/>
      </w:pPr>
      <w:r>
        <w:t>The GDPR provides a comprehensive framework for the lawful processing of biometric data within the EU, emphasizing consent, data minimization, and security measures.</w:t>
      </w:r>
    </w:p>
    <w:p w14:paraId="41BA35E1" w14:textId="77777777" w:rsidR="00EC3F1F" w:rsidRDefault="00EC3F1F" w:rsidP="00EC3F1F">
      <w:pPr>
        <w:pStyle w:val="4"/>
      </w:pPr>
      <w:r>
        <w:rPr>
          <w:rStyle w:val="ae"/>
          <w:b w:val="0"/>
          <w:bCs w:val="0"/>
        </w:rPr>
        <w:t>3.2 California Consumer Privacy Act (CCPA)</w:t>
      </w:r>
    </w:p>
    <w:p w14:paraId="1FB1CB9D" w14:textId="77777777" w:rsidR="00EC3F1F" w:rsidRDefault="00EC3F1F" w:rsidP="00EC3F1F">
      <w:pPr>
        <w:pStyle w:val="af"/>
      </w:pPr>
      <w:r>
        <w:t>In the U.S., the CCPA provides specific rights for California residents, including the right to know, access, and delete personal information, which extends to biometric data.</w:t>
      </w:r>
    </w:p>
    <w:p w14:paraId="02DD0C79" w14:textId="77777777" w:rsidR="00EC3F1F" w:rsidRDefault="00EC3F1F" w:rsidP="00EC3F1F">
      <w:pPr>
        <w:numPr>
          <w:ilvl w:val="0"/>
          <w:numId w:val="102"/>
        </w:numPr>
        <w:spacing w:before="100" w:beforeAutospacing="1" w:after="100" w:afterAutospacing="1"/>
      </w:pPr>
      <w:r>
        <w:rPr>
          <w:rStyle w:val="ae"/>
        </w:rPr>
        <w:t>Relevant Provision (CCPA, Section 1798.100(b))</w:t>
      </w:r>
      <w:r>
        <w:t>:</w:t>
      </w:r>
    </w:p>
    <w:p w14:paraId="7534278A" w14:textId="77777777" w:rsidR="00EC3F1F" w:rsidRDefault="00EC3F1F" w:rsidP="00EC3F1F">
      <w:pPr>
        <w:numPr>
          <w:ilvl w:val="1"/>
          <w:numId w:val="102"/>
        </w:numPr>
        <w:spacing w:before="100" w:beforeAutospacing="1" w:after="100" w:afterAutospacing="1"/>
      </w:pPr>
      <w:r>
        <w:rPr>
          <w:rStyle w:val="af0"/>
        </w:rPr>
        <w:t>English</w:t>
      </w:r>
      <w:r>
        <w:t>: “A business that collects a consumer’s personal information shall, at or before the point of collection, inform consumers about the categories of personal information to be collected and the purposes for which the categories of personal information shall be used.”</w:t>
      </w:r>
    </w:p>
    <w:p w14:paraId="6CDDD211" w14:textId="77777777" w:rsidR="00EC3F1F" w:rsidRDefault="00EC3F1F" w:rsidP="00EC3F1F">
      <w:pPr>
        <w:numPr>
          <w:ilvl w:val="1"/>
          <w:numId w:val="102"/>
        </w:numPr>
        <w:spacing w:before="100" w:beforeAutospacing="1" w:after="100" w:afterAutospacing="1"/>
      </w:pPr>
      <w:r>
        <w:rPr>
          <w:rStyle w:val="af0"/>
        </w:rPr>
        <w:t>中文</w:t>
      </w:r>
      <w:r>
        <w:t>：“收集消费者个人信息的企业应在收集之前或收集时告知消费者将收集的信息类别及其使用目的。”</w:t>
      </w:r>
    </w:p>
    <w:p w14:paraId="14D0CD64" w14:textId="77777777" w:rsidR="00EC3F1F" w:rsidRDefault="00EC3F1F" w:rsidP="00EC3F1F">
      <w:pPr>
        <w:pStyle w:val="4"/>
      </w:pPr>
      <w:r>
        <w:rPr>
          <w:rStyle w:val="ae"/>
          <w:b w:val="0"/>
          <w:bCs w:val="0"/>
        </w:rPr>
        <w:t>3.3 Biometric Information Privacy Act (BIPA)</w:t>
      </w:r>
    </w:p>
    <w:p w14:paraId="29642881" w14:textId="77777777" w:rsidR="00EC3F1F" w:rsidRDefault="00EC3F1F" w:rsidP="00EC3F1F">
      <w:pPr>
        <w:pStyle w:val="af"/>
      </w:pPr>
      <w:r>
        <w:t>BIPA, enacted in Illinois, specifically addresses the collection and storage of biometric data, requiring informed consent and imposing strict liability for breaches.</w:t>
      </w:r>
    </w:p>
    <w:p w14:paraId="0272B907" w14:textId="77777777" w:rsidR="00EC3F1F" w:rsidRDefault="00EC3F1F" w:rsidP="00EC3F1F">
      <w:pPr>
        <w:numPr>
          <w:ilvl w:val="0"/>
          <w:numId w:val="103"/>
        </w:numPr>
        <w:spacing w:before="100" w:beforeAutospacing="1" w:after="100" w:afterAutospacing="1"/>
      </w:pPr>
      <w:r>
        <w:rPr>
          <w:rStyle w:val="ae"/>
        </w:rPr>
        <w:t>Relevant Provision (BIPA, Section 15(b))</w:t>
      </w:r>
      <w:r>
        <w:t>:</w:t>
      </w:r>
    </w:p>
    <w:p w14:paraId="0631050F" w14:textId="77777777" w:rsidR="00EC3F1F" w:rsidRDefault="00EC3F1F" w:rsidP="00EC3F1F">
      <w:pPr>
        <w:numPr>
          <w:ilvl w:val="1"/>
          <w:numId w:val="103"/>
        </w:numPr>
        <w:spacing w:before="100" w:beforeAutospacing="1" w:after="100" w:afterAutospacing="1"/>
      </w:pPr>
      <w:r>
        <w:rPr>
          <w:rStyle w:val="af0"/>
        </w:rPr>
        <w:t>English</w:t>
      </w:r>
      <w:r>
        <w:t>: “No private entity may collect, capture, purchase, or otherwise obtain a person’s biometric identifier without informing the subject and obtaining their written consent.”</w:t>
      </w:r>
    </w:p>
    <w:p w14:paraId="219BB6D1" w14:textId="77777777" w:rsidR="00EC3F1F" w:rsidRDefault="00EC3F1F" w:rsidP="00EC3F1F">
      <w:pPr>
        <w:numPr>
          <w:ilvl w:val="1"/>
          <w:numId w:val="103"/>
        </w:numPr>
        <w:spacing w:before="100" w:beforeAutospacing="1" w:after="100" w:afterAutospacing="1"/>
      </w:pPr>
      <w:r>
        <w:rPr>
          <w:rStyle w:val="af0"/>
        </w:rPr>
        <w:t>中文</w:t>
      </w:r>
      <w:r>
        <w:t>：“未经告知数据主体并获得书面同意，任何私人实体不得收集、获取、购买或以其他方式获取个人的生物识别标识。”</w:t>
      </w:r>
    </w:p>
    <w:p w14:paraId="6DC13A66" w14:textId="77777777" w:rsidR="00EC3F1F" w:rsidRDefault="00F81BAE" w:rsidP="00EC3F1F">
      <w:r>
        <w:rPr>
          <w:noProof/>
        </w:rPr>
        <w:pict w14:anchorId="3331608E">
          <v:rect id="_x0000_i1297" alt="" style="width:415.3pt;height:.05pt;mso-width-percent:0;mso-height-percent:0;mso-width-percent:0;mso-height-percent:0" o:hralign="center" o:hrstd="t" o:hr="t" fillcolor="#a0a0a0" stroked="f"/>
        </w:pict>
      </w:r>
    </w:p>
    <w:p w14:paraId="28EA4262" w14:textId="77777777" w:rsidR="00EC3F1F" w:rsidRDefault="00EC3F1F" w:rsidP="00EC3F1F">
      <w:pPr>
        <w:pStyle w:val="3"/>
      </w:pPr>
      <w:r>
        <w:rPr>
          <w:rStyle w:val="ae"/>
          <w:b w:val="0"/>
          <w:bCs w:val="0"/>
        </w:rPr>
        <w:lastRenderedPageBreak/>
        <w:t>4. Conclusion</w:t>
      </w:r>
    </w:p>
    <w:p w14:paraId="3E016FA9" w14:textId="77777777" w:rsidR="00EC3F1F" w:rsidRDefault="00EC3F1F" w:rsidP="00EC3F1F">
      <w:pPr>
        <w:pStyle w:val="af"/>
      </w:pPr>
      <w:r>
        <w:t>AI innovations utilizing biometric data offer significant potential but come with substantial legal risks, particularly under data privacy and security laws like GDPR, CCPA, and BIPA. Businesses must ensure compliance with these laws by obtaining explicit consent, implementing robust security measures, and limiting data use to its original purpose. Failure to do so can result in severe financial and reputational penalties.</w:t>
      </w:r>
    </w:p>
    <w:p w14:paraId="218B2984" w14:textId="77777777" w:rsidR="00EC3F1F" w:rsidRDefault="00EC3F1F" w:rsidP="00EC3F1F">
      <w:pPr>
        <w:pStyle w:val="3"/>
        <w:rPr>
          <w:rFonts w:ascii="宋体" w:eastAsia="宋体" w:hAnsi="宋体" w:cs="宋体"/>
          <w:sz w:val="27"/>
        </w:rPr>
      </w:pPr>
      <w:r>
        <w:rPr>
          <w:rStyle w:val="ae"/>
          <w:b w:val="0"/>
          <w:bCs w:val="0"/>
        </w:rPr>
        <w:t>人工智能（AI）技术使用生物特征数据的法律问题总结</w:t>
      </w:r>
    </w:p>
    <w:p w14:paraId="72C4764E" w14:textId="77777777" w:rsidR="00EC3F1F" w:rsidRDefault="00EC3F1F" w:rsidP="00EC3F1F">
      <w:pPr>
        <w:pStyle w:val="af"/>
      </w:pPr>
      <w:r>
        <w:t>随着AI技术的普及，涉及生物特征数据的创新如人脸识别、指纹扫描等逐渐增多。这些技术虽然具有广泛的商业潜力，但在数据隐私与安全法律日益完善的背景下，也引发了诸多法律和伦理问题。以下是主要关注点及相关法律条文的总结：</w:t>
      </w:r>
    </w:p>
    <w:p w14:paraId="75FB87DE" w14:textId="77777777" w:rsidR="00EC3F1F" w:rsidRDefault="00F81BAE" w:rsidP="00EC3F1F">
      <w:r>
        <w:rPr>
          <w:noProof/>
        </w:rPr>
        <w:pict w14:anchorId="229D48F4">
          <v:rect id="_x0000_i1296" alt="" style="width:415.3pt;height:.05pt;mso-width-percent:0;mso-height-percent:0;mso-width-percent:0;mso-height-percent:0" o:hralign="center" o:hrstd="t" o:hr="t" fillcolor="#a0a0a0" stroked="f"/>
        </w:pict>
      </w:r>
    </w:p>
    <w:p w14:paraId="4D984150" w14:textId="77777777" w:rsidR="00EC3F1F" w:rsidRDefault="00EC3F1F" w:rsidP="00EC3F1F">
      <w:pPr>
        <w:pStyle w:val="3"/>
      </w:pPr>
      <w:r>
        <w:rPr>
          <w:rStyle w:val="ae"/>
          <w:b w:val="0"/>
          <w:bCs w:val="0"/>
        </w:rPr>
        <w:t>1. 生物特征数据使用中的主要法律问题</w:t>
      </w:r>
    </w:p>
    <w:p w14:paraId="650E8908" w14:textId="77777777" w:rsidR="00EC3F1F" w:rsidRDefault="00EC3F1F" w:rsidP="00EC3F1F">
      <w:pPr>
        <w:pStyle w:val="4"/>
      </w:pPr>
      <w:r>
        <w:rPr>
          <w:rStyle w:val="ae"/>
          <w:b w:val="0"/>
          <w:bCs w:val="0"/>
        </w:rPr>
        <w:t>1.1 数据最小化与目的限制</w:t>
      </w:r>
    </w:p>
    <w:p w14:paraId="79ABD21E" w14:textId="77777777" w:rsidR="00EC3F1F" w:rsidRDefault="00EC3F1F" w:rsidP="00EC3F1F">
      <w:pPr>
        <w:pStyle w:val="af"/>
      </w:pPr>
      <w:r>
        <w:t>收集的数据不得超过必要范围，且必须用于明确的合法目的。</w:t>
      </w:r>
    </w:p>
    <w:p w14:paraId="4FA8BD69" w14:textId="77777777" w:rsidR="00EC3F1F" w:rsidRDefault="00EC3F1F" w:rsidP="00EC3F1F">
      <w:pPr>
        <w:numPr>
          <w:ilvl w:val="0"/>
          <w:numId w:val="104"/>
        </w:numPr>
        <w:spacing w:before="100" w:beforeAutospacing="1" w:after="100" w:afterAutospacing="1"/>
      </w:pPr>
      <w:r>
        <w:rPr>
          <w:rStyle w:val="ae"/>
        </w:rPr>
        <w:t>相关法律条文（GDPR第5条第1款b、c项）</w:t>
      </w:r>
      <w:r>
        <w:t>：</w:t>
      </w:r>
    </w:p>
    <w:p w14:paraId="1777505F" w14:textId="77777777" w:rsidR="00EC3F1F" w:rsidRDefault="00EC3F1F" w:rsidP="00EC3F1F">
      <w:pPr>
        <w:numPr>
          <w:ilvl w:val="1"/>
          <w:numId w:val="104"/>
        </w:numPr>
        <w:spacing w:before="100" w:beforeAutospacing="1" w:after="100" w:afterAutospacing="1"/>
      </w:pPr>
      <w:r>
        <w:rPr>
          <w:rStyle w:val="af0"/>
        </w:rPr>
        <w:t>英文</w:t>
      </w:r>
      <w:r>
        <w:t>：“Personal data shall be collected for specified, explicit and legitimate purposes and not further processed in a manner that is incompatible with those purposes.”</w:t>
      </w:r>
    </w:p>
    <w:p w14:paraId="5752FD37" w14:textId="77777777" w:rsidR="00EC3F1F" w:rsidRDefault="00EC3F1F" w:rsidP="00EC3F1F">
      <w:pPr>
        <w:numPr>
          <w:ilvl w:val="1"/>
          <w:numId w:val="104"/>
        </w:numPr>
        <w:spacing w:before="100" w:beforeAutospacing="1" w:after="100" w:afterAutospacing="1"/>
      </w:pPr>
      <w:r>
        <w:rPr>
          <w:rStyle w:val="af0"/>
        </w:rPr>
        <w:t>中文</w:t>
      </w:r>
      <w:r>
        <w:t>：“个人数据的收集应具有明确、具体和合法的目的，并不得以与这些目的不相符的方式进一步处理。”</w:t>
      </w:r>
    </w:p>
    <w:p w14:paraId="25C9035E" w14:textId="77777777" w:rsidR="00EC3F1F" w:rsidRDefault="00EC3F1F" w:rsidP="00EC3F1F">
      <w:pPr>
        <w:pStyle w:val="4"/>
      </w:pPr>
      <w:r>
        <w:rPr>
          <w:rStyle w:val="ae"/>
          <w:b w:val="0"/>
          <w:bCs w:val="0"/>
        </w:rPr>
        <w:t>1.2 明确同意</w:t>
      </w:r>
    </w:p>
    <w:p w14:paraId="2B930591" w14:textId="77777777" w:rsidR="00EC3F1F" w:rsidRDefault="00EC3F1F" w:rsidP="00EC3F1F">
      <w:pPr>
        <w:pStyle w:val="af"/>
      </w:pPr>
      <w:r>
        <w:t>在收集和处理生物特征数据之前，必须获得数据主体的明确同意。</w:t>
      </w:r>
    </w:p>
    <w:p w14:paraId="42494C0A" w14:textId="77777777" w:rsidR="00EC3F1F" w:rsidRDefault="00EC3F1F" w:rsidP="00EC3F1F">
      <w:pPr>
        <w:numPr>
          <w:ilvl w:val="0"/>
          <w:numId w:val="105"/>
        </w:numPr>
        <w:spacing w:before="100" w:beforeAutospacing="1" w:after="100" w:afterAutospacing="1"/>
      </w:pPr>
      <w:r>
        <w:rPr>
          <w:rStyle w:val="ae"/>
        </w:rPr>
        <w:t>相关法律条文（GDPR第9条第2款a项）</w:t>
      </w:r>
      <w:r>
        <w:t>：</w:t>
      </w:r>
    </w:p>
    <w:p w14:paraId="10F6F699" w14:textId="77777777" w:rsidR="00EC3F1F" w:rsidRDefault="00EC3F1F" w:rsidP="00EC3F1F">
      <w:pPr>
        <w:numPr>
          <w:ilvl w:val="1"/>
          <w:numId w:val="105"/>
        </w:numPr>
        <w:spacing w:before="100" w:beforeAutospacing="1" w:after="100" w:afterAutospacing="1"/>
      </w:pPr>
      <w:r>
        <w:rPr>
          <w:rStyle w:val="af0"/>
        </w:rPr>
        <w:t>英文</w:t>
      </w:r>
      <w:r>
        <w:t>：“Processing of biometric data shall be lawful only if the data subject has given explicit consent.”</w:t>
      </w:r>
    </w:p>
    <w:p w14:paraId="6D5F12B0" w14:textId="77777777" w:rsidR="00EC3F1F" w:rsidRDefault="00EC3F1F" w:rsidP="00EC3F1F">
      <w:pPr>
        <w:numPr>
          <w:ilvl w:val="1"/>
          <w:numId w:val="105"/>
        </w:numPr>
        <w:spacing w:before="100" w:beforeAutospacing="1" w:after="100" w:afterAutospacing="1"/>
      </w:pPr>
      <w:r>
        <w:rPr>
          <w:rStyle w:val="af0"/>
        </w:rPr>
        <w:lastRenderedPageBreak/>
        <w:t>中文</w:t>
      </w:r>
      <w:r>
        <w:t>：“只有在数据主体明确同意的情况下，处理生物特征数据才是合法的。”</w:t>
      </w:r>
    </w:p>
    <w:p w14:paraId="735CD23C" w14:textId="77777777" w:rsidR="00EC3F1F" w:rsidRDefault="00EC3F1F" w:rsidP="00EC3F1F">
      <w:pPr>
        <w:pStyle w:val="4"/>
      </w:pPr>
      <w:r>
        <w:rPr>
          <w:rStyle w:val="ae"/>
          <w:b w:val="0"/>
          <w:bCs w:val="0"/>
        </w:rPr>
        <w:t>1.3 数据安全与泄露风险</w:t>
      </w:r>
    </w:p>
    <w:p w14:paraId="4AFA4201" w14:textId="77777777" w:rsidR="00EC3F1F" w:rsidRDefault="00EC3F1F" w:rsidP="00EC3F1F">
      <w:pPr>
        <w:pStyle w:val="af"/>
      </w:pPr>
      <w:r>
        <w:t>生物特征数据一旦泄露，无法像密码一样更改。因此，强有力的安全措施是必要的。</w:t>
      </w:r>
    </w:p>
    <w:p w14:paraId="7DC30417" w14:textId="77777777" w:rsidR="00EC3F1F" w:rsidRDefault="00EC3F1F" w:rsidP="00EC3F1F">
      <w:pPr>
        <w:numPr>
          <w:ilvl w:val="0"/>
          <w:numId w:val="106"/>
        </w:numPr>
        <w:spacing w:before="100" w:beforeAutospacing="1" w:after="100" w:afterAutospacing="1"/>
      </w:pPr>
      <w:r>
        <w:rPr>
          <w:rStyle w:val="ae"/>
        </w:rPr>
        <w:t>相关法律条文（GDPR第32条）</w:t>
      </w:r>
      <w:r>
        <w:t>：</w:t>
      </w:r>
    </w:p>
    <w:p w14:paraId="3D80DD7E" w14:textId="77777777" w:rsidR="00EC3F1F" w:rsidRDefault="00EC3F1F" w:rsidP="00EC3F1F">
      <w:pPr>
        <w:numPr>
          <w:ilvl w:val="1"/>
          <w:numId w:val="106"/>
        </w:numPr>
        <w:spacing w:before="100" w:beforeAutospacing="1" w:after="100" w:afterAutospacing="1"/>
      </w:pPr>
      <w:r>
        <w:rPr>
          <w:rStyle w:val="af0"/>
        </w:rPr>
        <w:t>英文</w:t>
      </w:r>
      <w:r>
        <w:t>：“The controller and the processor shall implement appropriate technical and organizational measures to ensure a level of security appropriate to the risk.”</w:t>
      </w:r>
    </w:p>
    <w:p w14:paraId="13BDFD46" w14:textId="77777777" w:rsidR="00EC3F1F" w:rsidRDefault="00EC3F1F" w:rsidP="00EC3F1F">
      <w:pPr>
        <w:numPr>
          <w:ilvl w:val="1"/>
          <w:numId w:val="106"/>
        </w:numPr>
        <w:spacing w:before="100" w:beforeAutospacing="1" w:after="100" w:afterAutospacing="1"/>
      </w:pPr>
      <w:r>
        <w:rPr>
          <w:rStyle w:val="af0"/>
        </w:rPr>
        <w:t>中文</w:t>
      </w:r>
      <w:r>
        <w:t>：“数据控制者和处理者应实施适当的技术和组织措施，以确保与风险相适应的安全水平。”</w:t>
      </w:r>
    </w:p>
    <w:p w14:paraId="7AAA1961" w14:textId="77777777" w:rsidR="00EC3F1F" w:rsidRDefault="00EC3F1F" w:rsidP="00EC3F1F">
      <w:pPr>
        <w:pStyle w:val="4"/>
      </w:pPr>
      <w:r>
        <w:rPr>
          <w:rStyle w:val="ae"/>
          <w:b w:val="0"/>
          <w:bCs w:val="0"/>
        </w:rPr>
        <w:t>1.4 数据存储与删除</w:t>
      </w:r>
    </w:p>
    <w:p w14:paraId="6A9C8BDB" w14:textId="77777777" w:rsidR="00EC3F1F" w:rsidRDefault="00EC3F1F" w:rsidP="00EC3F1F">
      <w:pPr>
        <w:pStyle w:val="af"/>
      </w:pPr>
      <w:r>
        <w:t>生物特征数据的存储时间不得超过处理目的所需的期限。</w:t>
      </w:r>
    </w:p>
    <w:p w14:paraId="12AE46E0" w14:textId="77777777" w:rsidR="00EC3F1F" w:rsidRDefault="00EC3F1F" w:rsidP="00EC3F1F">
      <w:pPr>
        <w:numPr>
          <w:ilvl w:val="0"/>
          <w:numId w:val="107"/>
        </w:numPr>
        <w:spacing w:before="100" w:beforeAutospacing="1" w:after="100" w:afterAutospacing="1"/>
      </w:pPr>
      <w:r>
        <w:rPr>
          <w:rStyle w:val="ae"/>
        </w:rPr>
        <w:t>相关法律条文（GDPR第5条第1款e项）</w:t>
      </w:r>
      <w:r>
        <w:t>：</w:t>
      </w:r>
    </w:p>
    <w:p w14:paraId="42E1AB95" w14:textId="77777777" w:rsidR="00EC3F1F" w:rsidRDefault="00EC3F1F" w:rsidP="00EC3F1F">
      <w:pPr>
        <w:numPr>
          <w:ilvl w:val="1"/>
          <w:numId w:val="107"/>
        </w:numPr>
        <w:spacing w:before="100" w:beforeAutospacing="1" w:after="100" w:afterAutospacing="1"/>
      </w:pPr>
      <w:r>
        <w:rPr>
          <w:rStyle w:val="af0"/>
        </w:rPr>
        <w:t>英文</w:t>
      </w:r>
      <w:r>
        <w:t>：“Personal data shall be kept for no longer than is necessary for the purposes for which the data are processed.”</w:t>
      </w:r>
    </w:p>
    <w:p w14:paraId="66805369" w14:textId="77777777" w:rsidR="00EC3F1F" w:rsidRDefault="00EC3F1F" w:rsidP="00EC3F1F">
      <w:pPr>
        <w:numPr>
          <w:ilvl w:val="1"/>
          <w:numId w:val="107"/>
        </w:numPr>
        <w:spacing w:before="100" w:beforeAutospacing="1" w:after="100" w:afterAutospacing="1"/>
      </w:pPr>
      <w:r>
        <w:rPr>
          <w:rStyle w:val="af0"/>
        </w:rPr>
        <w:t>中文</w:t>
      </w:r>
      <w:r>
        <w:t>：“个人数据的存储时间不应超过其处理目的所必需的期限。”</w:t>
      </w:r>
    </w:p>
    <w:p w14:paraId="640CCCA4" w14:textId="77777777" w:rsidR="00EC3F1F" w:rsidRDefault="00EC3F1F" w:rsidP="00EC3F1F">
      <w:pPr>
        <w:pStyle w:val="4"/>
      </w:pPr>
      <w:r>
        <w:rPr>
          <w:rStyle w:val="ae"/>
          <w:b w:val="0"/>
          <w:bCs w:val="0"/>
        </w:rPr>
        <w:t>1.5 跨境数据传输</w:t>
      </w:r>
    </w:p>
    <w:p w14:paraId="5A13A630" w14:textId="77777777" w:rsidR="00EC3F1F" w:rsidRDefault="00EC3F1F" w:rsidP="00EC3F1F">
      <w:pPr>
        <w:pStyle w:val="af"/>
      </w:pPr>
      <w:r>
        <w:t>将生物特征数据传输到其他国家时，必须采取适当的保护措施。</w:t>
      </w:r>
    </w:p>
    <w:p w14:paraId="3EDB6DE2" w14:textId="77777777" w:rsidR="00EC3F1F" w:rsidRDefault="00EC3F1F" w:rsidP="00EC3F1F">
      <w:pPr>
        <w:numPr>
          <w:ilvl w:val="0"/>
          <w:numId w:val="108"/>
        </w:numPr>
        <w:spacing w:before="100" w:beforeAutospacing="1" w:after="100" w:afterAutospacing="1"/>
      </w:pPr>
      <w:r>
        <w:rPr>
          <w:rStyle w:val="ae"/>
        </w:rPr>
        <w:t>相关法律条文（GDPR第46条）</w:t>
      </w:r>
      <w:r>
        <w:t>：</w:t>
      </w:r>
    </w:p>
    <w:p w14:paraId="031346E7" w14:textId="77777777" w:rsidR="00EC3F1F" w:rsidRDefault="00EC3F1F" w:rsidP="00EC3F1F">
      <w:pPr>
        <w:numPr>
          <w:ilvl w:val="1"/>
          <w:numId w:val="108"/>
        </w:numPr>
        <w:spacing w:before="100" w:beforeAutospacing="1" w:after="100" w:afterAutospacing="1"/>
      </w:pPr>
      <w:r>
        <w:rPr>
          <w:rStyle w:val="af0"/>
        </w:rPr>
        <w:t>英文</w:t>
      </w:r>
      <w:r>
        <w:t>：“Appropriate safeguards must be implemented for cross-border transfers of personal data.”</w:t>
      </w:r>
    </w:p>
    <w:p w14:paraId="1593D08E" w14:textId="77777777" w:rsidR="00EC3F1F" w:rsidRDefault="00EC3F1F" w:rsidP="00EC3F1F">
      <w:pPr>
        <w:numPr>
          <w:ilvl w:val="1"/>
          <w:numId w:val="108"/>
        </w:numPr>
        <w:spacing w:before="100" w:beforeAutospacing="1" w:after="100" w:afterAutospacing="1"/>
      </w:pPr>
      <w:r>
        <w:rPr>
          <w:rStyle w:val="af0"/>
        </w:rPr>
        <w:t>中文</w:t>
      </w:r>
      <w:r>
        <w:t>：“跨境传输个人数据时，必须实施适当的保护措施。”</w:t>
      </w:r>
    </w:p>
    <w:p w14:paraId="62B499C0" w14:textId="77777777" w:rsidR="00EC3F1F" w:rsidRDefault="00F81BAE" w:rsidP="00EC3F1F">
      <w:r>
        <w:rPr>
          <w:noProof/>
        </w:rPr>
        <w:pict w14:anchorId="07049016">
          <v:rect id="_x0000_i1295" alt="" style="width:415.3pt;height:.05pt;mso-width-percent:0;mso-height-percent:0;mso-width-percent:0;mso-height-percent:0" o:hralign="center" o:hrstd="t" o:hr="t" fillcolor="#a0a0a0" stroked="f"/>
        </w:pict>
      </w:r>
    </w:p>
    <w:p w14:paraId="457B3424" w14:textId="77777777" w:rsidR="00EC3F1F" w:rsidRDefault="00EC3F1F" w:rsidP="00EC3F1F">
      <w:pPr>
        <w:pStyle w:val="3"/>
      </w:pPr>
      <w:r>
        <w:rPr>
          <w:rStyle w:val="ae"/>
          <w:b w:val="0"/>
          <w:bCs w:val="0"/>
        </w:rPr>
        <w:lastRenderedPageBreak/>
        <w:t>2. 数据滥用与法律风险</w:t>
      </w:r>
    </w:p>
    <w:p w14:paraId="228C174E" w14:textId="77777777" w:rsidR="00EC3F1F" w:rsidRDefault="00EC3F1F" w:rsidP="00EC3F1F">
      <w:pPr>
        <w:pStyle w:val="4"/>
      </w:pPr>
      <w:r>
        <w:rPr>
          <w:rStyle w:val="ae"/>
          <w:b w:val="0"/>
          <w:bCs w:val="0"/>
        </w:rPr>
        <w:t>2.1 未经授权的数据使用</w:t>
      </w:r>
    </w:p>
    <w:p w14:paraId="7366D716" w14:textId="77777777" w:rsidR="00EC3F1F" w:rsidRDefault="00EC3F1F" w:rsidP="00EC3F1F">
      <w:pPr>
        <w:pStyle w:val="af"/>
      </w:pPr>
      <w:r>
        <w:t>例如，一些公司未经用户同意使用人脸识别技术，可能面临巨额罚款和声誉损失。</w:t>
      </w:r>
    </w:p>
    <w:p w14:paraId="4B565955" w14:textId="77777777" w:rsidR="00EC3F1F" w:rsidRDefault="00EC3F1F" w:rsidP="00EC3F1F">
      <w:pPr>
        <w:pStyle w:val="4"/>
      </w:pPr>
      <w:r>
        <w:rPr>
          <w:rStyle w:val="ae"/>
          <w:b w:val="0"/>
          <w:bCs w:val="0"/>
        </w:rPr>
        <w:t>2.2 偏见与歧视</w:t>
      </w:r>
    </w:p>
    <w:p w14:paraId="4AADF2C3" w14:textId="77777777" w:rsidR="00EC3F1F" w:rsidRDefault="00EC3F1F" w:rsidP="00EC3F1F">
      <w:pPr>
        <w:pStyle w:val="af"/>
      </w:pPr>
      <w:r>
        <w:t>AI系统可能因数据偏差导致不公平的个人画像或歧视，违反反歧视法规。</w:t>
      </w:r>
    </w:p>
    <w:p w14:paraId="0E46F75D" w14:textId="77777777" w:rsidR="00EC3F1F" w:rsidRDefault="00EC3F1F" w:rsidP="00EC3F1F">
      <w:pPr>
        <w:numPr>
          <w:ilvl w:val="0"/>
          <w:numId w:val="109"/>
        </w:numPr>
        <w:spacing w:before="100" w:beforeAutospacing="1" w:after="100" w:afterAutospacing="1"/>
      </w:pPr>
      <w:r>
        <w:rPr>
          <w:rStyle w:val="ae"/>
        </w:rPr>
        <w:t>相关法律条文（GDPR第22条）</w:t>
      </w:r>
      <w:r>
        <w:t>：</w:t>
      </w:r>
    </w:p>
    <w:p w14:paraId="538C5A10" w14:textId="77777777" w:rsidR="00EC3F1F" w:rsidRDefault="00EC3F1F" w:rsidP="00EC3F1F">
      <w:pPr>
        <w:numPr>
          <w:ilvl w:val="1"/>
          <w:numId w:val="109"/>
        </w:numPr>
        <w:spacing w:before="100" w:beforeAutospacing="1" w:after="100" w:afterAutospacing="1"/>
      </w:pPr>
      <w:r>
        <w:rPr>
          <w:rStyle w:val="af0"/>
        </w:rPr>
        <w:t>英文</w:t>
      </w:r>
      <w:r>
        <w:t>：“The data subject shall have the right not to be subject to a decision based solely on automated processing, including profiling.”</w:t>
      </w:r>
    </w:p>
    <w:p w14:paraId="4A680941" w14:textId="77777777" w:rsidR="00EC3F1F" w:rsidRDefault="00EC3F1F" w:rsidP="00EC3F1F">
      <w:pPr>
        <w:numPr>
          <w:ilvl w:val="1"/>
          <w:numId w:val="109"/>
        </w:numPr>
        <w:spacing w:before="100" w:beforeAutospacing="1" w:after="100" w:afterAutospacing="1"/>
      </w:pPr>
      <w:r>
        <w:rPr>
          <w:rStyle w:val="af0"/>
        </w:rPr>
        <w:t>中文</w:t>
      </w:r>
      <w:r>
        <w:t>：“数据主体有权不受基于自动化处理（包括分析）的决定影响。”</w:t>
      </w:r>
    </w:p>
    <w:p w14:paraId="1437DC9B" w14:textId="77777777" w:rsidR="00EC3F1F" w:rsidRDefault="00F81BAE" w:rsidP="00EC3F1F">
      <w:r>
        <w:rPr>
          <w:noProof/>
        </w:rPr>
        <w:pict w14:anchorId="55184E7E">
          <v:rect id="_x0000_i1294" alt="" style="width:415.3pt;height:.05pt;mso-width-percent:0;mso-height-percent:0;mso-width-percent:0;mso-height-percent:0" o:hralign="center" o:hrstd="t" o:hr="t" fillcolor="#a0a0a0" stroked="f"/>
        </w:pict>
      </w:r>
    </w:p>
    <w:p w14:paraId="3E16DF8E" w14:textId="77777777" w:rsidR="00EC3F1F" w:rsidRDefault="00EC3F1F" w:rsidP="00EC3F1F">
      <w:pPr>
        <w:pStyle w:val="3"/>
      </w:pPr>
      <w:r>
        <w:rPr>
          <w:rStyle w:val="ae"/>
          <w:b w:val="0"/>
          <w:bCs w:val="0"/>
        </w:rPr>
        <w:t>3. 相关法律框架</w:t>
      </w:r>
    </w:p>
    <w:p w14:paraId="0E8B1BBD" w14:textId="77777777" w:rsidR="00EC3F1F" w:rsidRDefault="00EC3F1F" w:rsidP="00EC3F1F">
      <w:pPr>
        <w:pStyle w:val="4"/>
      </w:pPr>
      <w:r>
        <w:rPr>
          <w:rStyle w:val="ae"/>
          <w:b w:val="0"/>
          <w:bCs w:val="0"/>
        </w:rPr>
        <w:t>3.1 通用数据保护条例（GDPR）</w:t>
      </w:r>
    </w:p>
    <w:p w14:paraId="09B3CA46" w14:textId="77777777" w:rsidR="00EC3F1F" w:rsidRDefault="00EC3F1F" w:rsidP="00EC3F1F">
      <w:pPr>
        <w:pStyle w:val="af"/>
      </w:pPr>
      <w:r>
        <w:t>GDPR为生物特征数据的合法处理提供了全面的法律框架，强调同意、数据最小化和安全措施。</w:t>
      </w:r>
    </w:p>
    <w:p w14:paraId="5163A423" w14:textId="77777777" w:rsidR="00EC3F1F" w:rsidRDefault="00EC3F1F" w:rsidP="00EC3F1F">
      <w:pPr>
        <w:pStyle w:val="4"/>
      </w:pPr>
      <w:r>
        <w:rPr>
          <w:rStyle w:val="ae"/>
          <w:b w:val="0"/>
          <w:bCs w:val="0"/>
        </w:rPr>
        <w:t>3.2 加州消费者隐私法案（CCPA）</w:t>
      </w:r>
    </w:p>
    <w:p w14:paraId="769CC235" w14:textId="77777777" w:rsidR="00EC3F1F" w:rsidRDefault="00EC3F1F" w:rsidP="00EC3F1F">
      <w:pPr>
        <w:pStyle w:val="af"/>
      </w:pPr>
      <w:r>
        <w:t>CCPA赋予加州居民知晓、访问和删除个人信息的权利，涵盖生物特征数据。</w:t>
      </w:r>
    </w:p>
    <w:p w14:paraId="76D34FE1" w14:textId="77777777" w:rsidR="00EC3F1F" w:rsidRDefault="00EC3F1F" w:rsidP="00EC3F1F">
      <w:pPr>
        <w:numPr>
          <w:ilvl w:val="0"/>
          <w:numId w:val="110"/>
        </w:numPr>
        <w:spacing w:before="100" w:beforeAutospacing="1" w:after="100" w:afterAutospacing="1"/>
      </w:pPr>
      <w:r>
        <w:rPr>
          <w:rStyle w:val="ae"/>
        </w:rPr>
        <w:t>相关法律条文（CCPA第1798.100(b)条）</w:t>
      </w:r>
      <w:r>
        <w:t>：</w:t>
      </w:r>
    </w:p>
    <w:p w14:paraId="23AC68D8" w14:textId="77777777" w:rsidR="00EC3F1F" w:rsidRDefault="00EC3F1F" w:rsidP="00EC3F1F">
      <w:pPr>
        <w:numPr>
          <w:ilvl w:val="1"/>
          <w:numId w:val="110"/>
        </w:numPr>
        <w:spacing w:before="100" w:beforeAutospacing="1" w:after="100" w:afterAutospacing="1"/>
      </w:pPr>
      <w:r>
        <w:rPr>
          <w:rStyle w:val="af0"/>
        </w:rPr>
        <w:t>英文</w:t>
      </w:r>
      <w:r>
        <w:t>：“A business that collects a consumer’s personal information shall inform consumers about the categories of personal information to be collected.”</w:t>
      </w:r>
    </w:p>
    <w:p w14:paraId="283EF4EC" w14:textId="77777777" w:rsidR="00EC3F1F" w:rsidRDefault="00EC3F1F" w:rsidP="00EC3F1F">
      <w:pPr>
        <w:numPr>
          <w:ilvl w:val="1"/>
          <w:numId w:val="110"/>
        </w:numPr>
        <w:spacing w:before="100" w:beforeAutospacing="1" w:after="100" w:afterAutospacing="1"/>
      </w:pPr>
      <w:r>
        <w:rPr>
          <w:rStyle w:val="af0"/>
        </w:rPr>
        <w:t>中文</w:t>
      </w:r>
      <w:r>
        <w:t>：“收集消费者个人信息的企业应告知消费者将收集的信息类别。”</w:t>
      </w:r>
    </w:p>
    <w:p w14:paraId="1246BC08" w14:textId="77777777" w:rsidR="00EC3F1F" w:rsidRDefault="00EC3F1F" w:rsidP="00EC3F1F">
      <w:pPr>
        <w:pStyle w:val="4"/>
      </w:pPr>
      <w:r>
        <w:rPr>
          <w:rStyle w:val="ae"/>
          <w:b w:val="0"/>
          <w:bCs w:val="0"/>
        </w:rPr>
        <w:lastRenderedPageBreak/>
        <w:t>3.3 生物特征信息隐私法案（BIPA）</w:t>
      </w:r>
    </w:p>
    <w:p w14:paraId="3EA83E85" w14:textId="77777777" w:rsidR="00EC3F1F" w:rsidRDefault="00EC3F1F" w:rsidP="00EC3F1F">
      <w:pPr>
        <w:pStyle w:val="af"/>
      </w:pPr>
      <w:r>
        <w:t>BIPA要求在收集生物特征数据前必须获得书面同意，并对泄露承担严格责任。</w:t>
      </w:r>
    </w:p>
    <w:p w14:paraId="57735652" w14:textId="77777777" w:rsidR="00EC3F1F" w:rsidRDefault="00EC3F1F" w:rsidP="00EC3F1F">
      <w:pPr>
        <w:numPr>
          <w:ilvl w:val="0"/>
          <w:numId w:val="111"/>
        </w:numPr>
        <w:spacing w:before="100" w:beforeAutospacing="1" w:after="100" w:afterAutospacing="1"/>
      </w:pPr>
      <w:r>
        <w:rPr>
          <w:rStyle w:val="ae"/>
        </w:rPr>
        <w:t>相关法律条文（BIPA第15条b款）</w:t>
      </w:r>
      <w:r>
        <w:t>：</w:t>
      </w:r>
    </w:p>
    <w:p w14:paraId="7EC3781A" w14:textId="77777777" w:rsidR="00EC3F1F" w:rsidRDefault="00EC3F1F" w:rsidP="00EC3F1F">
      <w:pPr>
        <w:numPr>
          <w:ilvl w:val="1"/>
          <w:numId w:val="111"/>
        </w:numPr>
        <w:spacing w:before="100" w:beforeAutospacing="1" w:after="100" w:afterAutospacing="1"/>
      </w:pPr>
      <w:r>
        <w:rPr>
          <w:rStyle w:val="af0"/>
        </w:rPr>
        <w:t>英文</w:t>
      </w:r>
      <w:r>
        <w:t>：“No private entity may collect a person’s biometric identifier without informing the subject and obtaining their written consent.”</w:t>
      </w:r>
    </w:p>
    <w:p w14:paraId="2BE3885D" w14:textId="77777777" w:rsidR="00EC3F1F" w:rsidRDefault="00EC3F1F" w:rsidP="00EC3F1F">
      <w:pPr>
        <w:numPr>
          <w:ilvl w:val="1"/>
          <w:numId w:val="111"/>
        </w:numPr>
        <w:spacing w:before="100" w:beforeAutospacing="1" w:after="100" w:afterAutospacing="1"/>
      </w:pPr>
      <w:r>
        <w:rPr>
          <w:rStyle w:val="af0"/>
        </w:rPr>
        <w:t>中文</w:t>
      </w:r>
      <w:r>
        <w:t>：“未经告知数据主体并获得书面同意，任何私人实体不得收集个人的生物特征标识。”</w:t>
      </w:r>
    </w:p>
    <w:p w14:paraId="52F3287B" w14:textId="77777777" w:rsidR="00EC3F1F" w:rsidRDefault="00F81BAE" w:rsidP="00EC3F1F">
      <w:r>
        <w:rPr>
          <w:noProof/>
        </w:rPr>
        <w:pict w14:anchorId="208821F3">
          <v:rect id="_x0000_i1293" alt="" style="width:415.3pt;height:.05pt;mso-width-percent:0;mso-height-percent:0;mso-width-percent:0;mso-height-percent:0" o:hralign="center" o:hrstd="t" o:hr="t" fillcolor="#a0a0a0" stroked="f"/>
        </w:pict>
      </w:r>
    </w:p>
    <w:p w14:paraId="5564E893" w14:textId="77777777" w:rsidR="00EC3F1F" w:rsidRDefault="00EC3F1F" w:rsidP="00EC3F1F">
      <w:pPr>
        <w:pStyle w:val="3"/>
      </w:pPr>
      <w:r>
        <w:rPr>
          <w:rStyle w:val="ae"/>
          <w:b w:val="0"/>
          <w:bCs w:val="0"/>
        </w:rPr>
        <w:t>4. 结论</w:t>
      </w:r>
    </w:p>
    <w:p w14:paraId="1B3B2CD7" w14:textId="77777777" w:rsidR="00EC3F1F" w:rsidRDefault="00EC3F1F" w:rsidP="00EC3F1F">
      <w:pPr>
        <w:pStyle w:val="af"/>
      </w:pPr>
      <w:r>
        <w:t>利用生物特征数据的AI技术具有巨大的潜力，但也面临数据隐私与安全方面的重大法律风险。企业必须确保符合GDPR、CCPA和BIPA等法律要求，采取明确同意、强有力的安全措施，并限制数据用途，以避免法律责任和声誉损害。</w:t>
      </w:r>
    </w:p>
    <w:p w14:paraId="7FF22C59" w14:textId="603F57FD" w:rsidR="00293F43" w:rsidRPr="00EC3F1F" w:rsidRDefault="00293F43" w:rsidP="00EC780E">
      <w:pPr>
        <w:spacing w:before="100" w:beforeAutospacing="1" w:after="100" w:afterAutospacing="1"/>
        <w:outlineLvl w:val="3"/>
        <w:rPr>
          <w:b/>
          <w:bCs/>
        </w:rPr>
      </w:pPr>
    </w:p>
    <w:p w14:paraId="791F5E12" w14:textId="77777777" w:rsidR="00293F43" w:rsidRDefault="00293F43">
      <w:pPr>
        <w:rPr>
          <w:b/>
          <w:bCs/>
        </w:rPr>
      </w:pPr>
      <w:r>
        <w:rPr>
          <w:b/>
          <w:bCs/>
        </w:rPr>
        <w:br w:type="page"/>
      </w:r>
    </w:p>
    <w:p w14:paraId="3E01A5B8" w14:textId="598E7899" w:rsidR="00EC780E" w:rsidRDefault="00293F43" w:rsidP="00EC780E">
      <w:pPr>
        <w:spacing w:before="100" w:beforeAutospacing="1" w:after="100" w:afterAutospacing="1"/>
        <w:outlineLvl w:val="3"/>
        <w:rPr>
          <w:b/>
          <w:bCs/>
        </w:rPr>
      </w:pPr>
      <w:r w:rsidRPr="00671A70">
        <w:rPr>
          <w:b/>
          <w:bCs/>
          <w:highlight w:val="yellow"/>
        </w:rPr>
        <w:lastRenderedPageBreak/>
        <w:t>Relationship</w:t>
      </w:r>
      <w:r w:rsidRPr="00671A70">
        <w:rPr>
          <w:rFonts w:hint="eastAsia"/>
          <w:b/>
          <w:bCs/>
          <w:highlight w:val="yellow"/>
        </w:rPr>
        <w:t>题目</w:t>
      </w:r>
    </w:p>
    <w:p w14:paraId="23B77B60" w14:textId="77777777" w:rsidR="00293F43" w:rsidRPr="007D1574" w:rsidRDefault="00293F43" w:rsidP="00293F43">
      <w:pPr>
        <w:spacing w:before="100" w:beforeAutospacing="1" w:after="100" w:afterAutospacing="1"/>
        <w:outlineLvl w:val="3"/>
        <w:rPr>
          <w:b/>
          <w:bCs/>
          <w:highlight w:val="cyan"/>
        </w:rPr>
      </w:pPr>
      <w:r w:rsidRPr="007D1574">
        <w:rPr>
          <w:b/>
          <w:bCs/>
          <w:highlight w:val="cyan"/>
        </w:rPr>
        <w:t>There is a relationship between data, market power and privacy. Provide arguments for or against this position.</w:t>
      </w:r>
    </w:p>
    <w:p w14:paraId="5104C7D3" w14:textId="77777777" w:rsidR="00293F43" w:rsidRPr="007D1574" w:rsidRDefault="00293F43" w:rsidP="00293F43">
      <w:pPr>
        <w:spacing w:before="100" w:beforeAutospacing="1" w:after="100" w:afterAutospacing="1"/>
        <w:outlineLvl w:val="2"/>
        <w:rPr>
          <w:b/>
          <w:bCs/>
          <w:sz w:val="27"/>
          <w:szCs w:val="27"/>
        </w:rPr>
      </w:pPr>
      <w:r w:rsidRPr="007D1574">
        <w:rPr>
          <w:b/>
          <w:bCs/>
          <w:sz w:val="27"/>
          <w:szCs w:val="27"/>
        </w:rPr>
        <w:t>Position: There is a Strong Relationship Between Data, Market Power, and Privacy</w:t>
      </w:r>
    </w:p>
    <w:p w14:paraId="3F72BB1A" w14:textId="77777777" w:rsidR="00293F43" w:rsidRPr="007D1574" w:rsidRDefault="00293F43" w:rsidP="00293F43">
      <w:pPr>
        <w:spacing w:before="100" w:beforeAutospacing="1" w:after="100" w:afterAutospacing="1"/>
      </w:pPr>
      <w:r w:rsidRPr="007D1574">
        <w:t xml:space="preserve">The relationship between data, market power, and privacy is evident, particularly in the digital economy, where data-driven business models dominate. Below are arguments supporting this position, including specific references to the </w:t>
      </w:r>
      <w:r w:rsidRPr="007D1574">
        <w:rPr>
          <w:b/>
          <w:bCs/>
        </w:rPr>
        <w:t>General Data Protection Regulation (GDPR)</w:t>
      </w:r>
      <w:r w:rsidRPr="007D1574">
        <w:t>.</w:t>
      </w:r>
    </w:p>
    <w:p w14:paraId="2F8098EE" w14:textId="77777777" w:rsidR="00293F43" w:rsidRPr="007D1574" w:rsidRDefault="00F81BAE" w:rsidP="00293F43">
      <w:r w:rsidRPr="007D1574">
        <w:rPr>
          <w:noProof/>
        </w:rPr>
        <w:pict w14:anchorId="53A8C8C6">
          <v:rect id="_x0000_i1292" alt="" style="width:415.3pt;height:.05pt;mso-width-percent:0;mso-height-percent:0;mso-width-percent:0;mso-height-percent:0" o:hralign="center" o:hrstd="t" o:hr="t" fillcolor="#a0a0a0" stroked="f"/>
        </w:pict>
      </w:r>
    </w:p>
    <w:p w14:paraId="7377BD0C" w14:textId="77777777" w:rsidR="00293F43" w:rsidRPr="007D1574" w:rsidRDefault="00293F43" w:rsidP="00293F43">
      <w:pPr>
        <w:spacing w:before="100" w:beforeAutospacing="1" w:after="100" w:afterAutospacing="1"/>
        <w:outlineLvl w:val="3"/>
        <w:rPr>
          <w:rFonts w:hint="eastAsia"/>
          <w:b/>
          <w:bCs/>
        </w:rPr>
      </w:pPr>
      <w:r w:rsidRPr="007D1574">
        <w:rPr>
          <w:b/>
          <w:bCs/>
        </w:rPr>
        <w:t>1. Data as a Source of Market Power</w:t>
      </w:r>
      <w:r>
        <w:rPr>
          <w:rFonts w:hint="eastAsia"/>
          <w:b/>
          <w:bCs/>
        </w:rPr>
        <w:t xml:space="preserve"> </w:t>
      </w:r>
      <w:r w:rsidRPr="007D1574">
        <w:rPr>
          <w:b/>
          <w:bCs/>
        </w:rPr>
        <w:t>数据作为市场力量的来源</w:t>
      </w:r>
    </w:p>
    <w:p w14:paraId="539C665A" w14:textId="77777777" w:rsidR="00293F43" w:rsidRPr="007D1574" w:rsidRDefault="00293F43" w:rsidP="00293F43">
      <w:pPr>
        <w:numPr>
          <w:ilvl w:val="0"/>
          <w:numId w:val="36"/>
        </w:numPr>
        <w:spacing w:before="100" w:beforeAutospacing="1" w:after="100" w:afterAutospacing="1"/>
      </w:pPr>
      <w:r w:rsidRPr="007D1574">
        <w:rPr>
          <w:b/>
          <w:bCs/>
        </w:rPr>
        <w:t>Data as a Competitive Advantage</w:t>
      </w:r>
      <w:r w:rsidRPr="007D1574">
        <w:t>:</w:t>
      </w:r>
      <w:r w:rsidRPr="007D1574">
        <w:br/>
        <w:t>Large companies like Google, Meta, and Amazon leverage vast amounts of user data to enhance algorithms, deliver personalized services, and improve targeting in advertisements. This reinforces their market dominance, creating significant barriers for smaller competitors who lack similar data access.</w:t>
      </w:r>
    </w:p>
    <w:p w14:paraId="320F613D" w14:textId="77777777" w:rsidR="00293F43" w:rsidRPr="007D1574" w:rsidRDefault="00293F43" w:rsidP="00293F43">
      <w:pPr>
        <w:numPr>
          <w:ilvl w:val="1"/>
          <w:numId w:val="36"/>
        </w:numPr>
        <w:spacing w:before="100" w:beforeAutospacing="1" w:after="100" w:afterAutospacing="1"/>
      </w:pPr>
      <w:r w:rsidRPr="007D1574">
        <w:rPr>
          <w:b/>
          <w:bCs/>
        </w:rPr>
        <w:t>GDPR Reference</w:t>
      </w:r>
      <w:r w:rsidRPr="007D1574">
        <w:t>:</w:t>
      </w:r>
    </w:p>
    <w:p w14:paraId="13123323" w14:textId="77777777" w:rsidR="00293F43" w:rsidRPr="007D1574" w:rsidRDefault="00293F43" w:rsidP="00293F43">
      <w:pPr>
        <w:numPr>
          <w:ilvl w:val="2"/>
          <w:numId w:val="36"/>
        </w:numPr>
        <w:spacing w:before="100" w:beforeAutospacing="1" w:after="100" w:afterAutospacing="1"/>
      </w:pPr>
      <w:r w:rsidRPr="007D1574">
        <w:rPr>
          <w:b/>
          <w:bCs/>
        </w:rPr>
        <w:t>Recital 6 GDPR</w:t>
      </w:r>
      <w:r w:rsidRPr="007D1574">
        <w:t>: Acknowledges that rapid technological developments increase the processing of personal data and its value as a competitive asset.</w:t>
      </w:r>
    </w:p>
    <w:p w14:paraId="3C406E40" w14:textId="77777777" w:rsidR="00293F43" w:rsidRPr="007D1574" w:rsidRDefault="00293F43" w:rsidP="00293F43">
      <w:pPr>
        <w:numPr>
          <w:ilvl w:val="0"/>
          <w:numId w:val="36"/>
        </w:numPr>
        <w:spacing w:before="100" w:beforeAutospacing="1" w:after="100" w:afterAutospacing="1"/>
      </w:pPr>
      <w:r w:rsidRPr="007D1574">
        <w:rPr>
          <w:b/>
          <w:bCs/>
        </w:rPr>
        <w:t>Network Effects and Data Concentration</w:t>
      </w:r>
      <w:r w:rsidRPr="007D1574">
        <w:t>:</w:t>
      </w:r>
      <w:r w:rsidRPr="007D1574">
        <w:br/>
        <w:t>The more data a company collects, the better its services, attracting more users. This feedback loop strengthens market power, as seen in social media platforms and search engines.</w:t>
      </w:r>
    </w:p>
    <w:p w14:paraId="0ED2715C" w14:textId="77777777" w:rsidR="00293F43" w:rsidRPr="007D1574" w:rsidRDefault="00F81BAE" w:rsidP="00293F43">
      <w:r w:rsidRPr="007D1574">
        <w:rPr>
          <w:noProof/>
        </w:rPr>
        <w:pict w14:anchorId="1D068BF1">
          <v:rect id="_x0000_i1291" alt="" style="width:415.3pt;height:.05pt;mso-width-percent:0;mso-height-percent:0;mso-width-percent:0;mso-height-percent:0" o:hralign="center" o:hrstd="t" o:hr="t" fillcolor="#a0a0a0" stroked="f"/>
        </w:pict>
      </w:r>
    </w:p>
    <w:p w14:paraId="3A537D4F" w14:textId="77777777" w:rsidR="00293F43" w:rsidRPr="007D1574" w:rsidRDefault="00293F43" w:rsidP="00293F43">
      <w:pPr>
        <w:spacing w:before="100" w:beforeAutospacing="1" w:after="100" w:afterAutospacing="1"/>
        <w:outlineLvl w:val="3"/>
        <w:rPr>
          <w:rFonts w:hint="eastAsia"/>
          <w:b/>
          <w:bCs/>
        </w:rPr>
      </w:pPr>
      <w:r w:rsidRPr="007D1574">
        <w:rPr>
          <w:b/>
          <w:bCs/>
        </w:rPr>
        <w:t>2. Privacy Trade-Offs in Data Monetization</w:t>
      </w:r>
      <w:r>
        <w:rPr>
          <w:rFonts w:hint="eastAsia"/>
          <w:b/>
          <w:bCs/>
        </w:rPr>
        <w:t xml:space="preserve"> </w:t>
      </w:r>
      <w:r w:rsidRPr="007D1574">
        <w:rPr>
          <w:b/>
          <w:bCs/>
        </w:rPr>
        <w:t>数据货币化中的隐私权衡</w:t>
      </w:r>
    </w:p>
    <w:p w14:paraId="2FFB23F4" w14:textId="77777777" w:rsidR="00293F43" w:rsidRPr="007D1574" w:rsidRDefault="00293F43" w:rsidP="00293F43">
      <w:pPr>
        <w:numPr>
          <w:ilvl w:val="0"/>
          <w:numId w:val="37"/>
        </w:numPr>
        <w:spacing w:before="100" w:beforeAutospacing="1" w:after="100" w:afterAutospacing="1"/>
      </w:pPr>
      <w:r w:rsidRPr="007D1574">
        <w:rPr>
          <w:b/>
          <w:bCs/>
        </w:rPr>
        <w:t>Exploitation of Personal Data</w:t>
      </w:r>
      <w:r w:rsidRPr="007D1574">
        <w:t>:</w:t>
      </w:r>
      <w:r w:rsidRPr="007D1574">
        <w:br/>
        <w:t xml:space="preserve">Many companies monetize user data through targeted advertising, often requiring users to consent to extensive data collection to access "free" services. This puts users in a vulnerable </w:t>
      </w:r>
      <w:r w:rsidRPr="007D1574">
        <w:lastRenderedPageBreak/>
        <w:t>position where privacy is compromised in exchange for convenience.</w:t>
      </w:r>
    </w:p>
    <w:p w14:paraId="509F22D4" w14:textId="77777777" w:rsidR="00293F43" w:rsidRPr="007D1574" w:rsidRDefault="00293F43" w:rsidP="00293F43">
      <w:pPr>
        <w:numPr>
          <w:ilvl w:val="1"/>
          <w:numId w:val="37"/>
        </w:numPr>
        <w:spacing w:before="100" w:beforeAutospacing="1" w:after="100" w:afterAutospacing="1"/>
      </w:pPr>
      <w:r w:rsidRPr="007D1574">
        <w:rPr>
          <w:b/>
          <w:bCs/>
        </w:rPr>
        <w:t>GDPR Reference</w:t>
      </w:r>
      <w:r w:rsidRPr="007D1574">
        <w:t>:</w:t>
      </w:r>
    </w:p>
    <w:p w14:paraId="0407FB08" w14:textId="77777777" w:rsidR="00293F43" w:rsidRPr="007D1574" w:rsidRDefault="00293F43" w:rsidP="00293F43">
      <w:pPr>
        <w:numPr>
          <w:ilvl w:val="2"/>
          <w:numId w:val="37"/>
        </w:numPr>
        <w:spacing w:before="100" w:beforeAutospacing="1" w:after="100" w:afterAutospacing="1"/>
      </w:pPr>
      <w:r w:rsidRPr="007D1574">
        <w:rPr>
          <w:b/>
          <w:bCs/>
        </w:rPr>
        <w:t>Article 7 GDPR</w:t>
      </w:r>
      <w:r w:rsidRPr="007D1574">
        <w:t>: Requires consent for data processing to be freely given, specific, and informed. However, power imbalances may lead users to feel compelled to consent, undermining true data autonomy.</w:t>
      </w:r>
    </w:p>
    <w:p w14:paraId="4136177B" w14:textId="77777777" w:rsidR="00293F43" w:rsidRPr="007D1574" w:rsidRDefault="00F81BAE" w:rsidP="00293F43">
      <w:r w:rsidRPr="007D1574">
        <w:rPr>
          <w:noProof/>
        </w:rPr>
        <w:pict w14:anchorId="521D0ECA">
          <v:rect id="_x0000_i1290" alt="" style="width:415.3pt;height:.05pt;mso-width-percent:0;mso-height-percent:0;mso-width-percent:0;mso-height-percent:0" o:hralign="center" o:hrstd="t" o:hr="t" fillcolor="#a0a0a0" stroked="f"/>
        </w:pict>
      </w:r>
    </w:p>
    <w:p w14:paraId="532F9EA7" w14:textId="77777777" w:rsidR="00293F43" w:rsidRPr="007D1574" w:rsidRDefault="00293F43" w:rsidP="00293F43">
      <w:pPr>
        <w:spacing w:before="100" w:beforeAutospacing="1" w:after="100" w:afterAutospacing="1"/>
        <w:outlineLvl w:val="3"/>
        <w:rPr>
          <w:rFonts w:hint="eastAsia"/>
          <w:b/>
          <w:bCs/>
        </w:rPr>
      </w:pPr>
      <w:r w:rsidRPr="007D1574">
        <w:rPr>
          <w:b/>
          <w:bCs/>
        </w:rPr>
        <w:t>3. Data Concentration Increases Privacy Risks</w:t>
      </w:r>
      <w:r>
        <w:rPr>
          <w:rFonts w:hint="eastAsia"/>
          <w:b/>
          <w:bCs/>
        </w:rPr>
        <w:t xml:space="preserve"> </w:t>
      </w:r>
      <w:r w:rsidRPr="007D1574">
        <w:rPr>
          <w:b/>
          <w:bCs/>
        </w:rPr>
        <w:t>数据集中增加隐私风险</w:t>
      </w:r>
    </w:p>
    <w:p w14:paraId="64E645C1" w14:textId="77777777" w:rsidR="00293F43" w:rsidRPr="007D1574" w:rsidRDefault="00293F43" w:rsidP="00293F43">
      <w:pPr>
        <w:numPr>
          <w:ilvl w:val="0"/>
          <w:numId w:val="38"/>
        </w:numPr>
        <w:spacing w:before="100" w:beforeAutospacing="1" w:after="100" w:afterAutospacing="1"/>
      </w:pPr>
      <w:r w:rsidRPr="007D1574">
        <w:rPr>
          <w:b/>
          <w:bCs/>
        </w:rPr>
        <w:t>Privacy Risks from Dominant Firms</w:t>
      </w:r>
      <w:r w:rsidRPr="007D1574">
        <w:t>:</w:t>
      </w:r>
      <w:r w:rsidRPr="007D1574">
        <w:br/>
        <w:t>Companies with significant market power concentrate large volumes of data, making them attractive targets for cyberattacks. Breaches can expose sensitive information, harming users on a large scale (e.g., Facebook-Cambridge Analytica scandal).</w:t>
      </w:r>
    </w:p>
    <w:p w14:paraId="710EFC30" w14:textId="77777777" w:rsidR="00293F43" w:rsidRPr="007D1574" w:rsidRDefault="00293F43" w:rsidP="00293F43">
      <w:pPr>
        <w:numPr>
          <w:ilvl w:val="1"/>
          <w:numId w:val="38"/>
        </w:numPr>
        <w:spacing w:before="100" w:beforeAutospacing="1" w:after="100" w:afterAutospacing="1"/>
      </w:pPr>
      <w:r w:rsidRPr="007D1574">
        <w:rPr>
          <w:b/>
          <w:bCs/>
        </w:rPr>
        <w:t>GDPR Reference</w:t>
      </w:r>
      <w:r w:rsidRPr="007D1574">
        <w:t>:</w:t>
      </w:r>
    </w:p>
    <w:p w14:paraId="66EDC009" w14:textId="77777777" w:rsidR="00293F43" w:rsidRPr="007D1574" w:rsidRDefault="00293F43" w:rsidP="00293F43">
      <w:pPr>
        <w:numPr>
          <w:ilvl w:val="2"/>
          <w:numId w:val="38"/>
        </w:numPr>
        <w:spacing w:before="100" w:beforeAutospacing="1" w:after="100" w:afterAutospacing="1"/>
      </w:pPr>
      <w:r w:rsidRPr="007D1574">
        <w:rPr>
          <w:b/>
          <w:bCs/>
        </w:rPr>
        <w:t>Article 32 GDPR</w:t>
      </w:r>
      <w:r w:rsidRPr="007D1574">
        <w:t>: Obligates data controllers to implement appropriate technical and organizational measures to ensure data security. Failure to do so exposes users to increased privacy risks.</w:t>
      </w:r>
    </w:p>
    <w:p w14:paraId="49ED0A30" w14:textId="77777777" w:rsidR="00293F43" w:rsidRPr="007D1574" w:rsidRDefault="00293F43" w:rsidP="00293F43">
      <w:pPr>
        <w:numPr>
          <w:ilvl w:val="0"/>
          <w:numId w:val="38"/>
        </w:numPr>
        <w:spacing w:before="100" w:beforeAutospacing="1" w:after="100" w:afterAutospacing="1"/>
      </w:pPr>
      <w:r w:rsidRPr="007D1574">
        <w:rPr>
          <w:b/>
          <w:bCs/>
        </w:rPr>
        <w:t>Lack of Transparency</w:t>
      </w:r>
      <w:r w:rsidRPr="007D1574">
        <w:t>:</w:t>
      </w:r>
      <w:r w:rsidRPr="007D1574">
        <w:br/>
        <w:t>Dominant firms often use complex privacy policies, limiting user understanding and control over their data.</w:t>
      </w:r>
    </w:p>
    <w:p w14:paraId="25ACA303" w14:textId="77777777" w:rsidR="00293F43" w:rsidRPr="007D1574" w:rsidRDefault="00293F43" w:rsidP="00293F43">
      <w:pPr>
        <w:numPr>
          <w:ilvl w:val="1"/>
          <w:numId w:val="38"/>
        </w:numPr>
        <w:spacing w:before="100" w:beforeAutospacing="1" w:after="100" w:afterAutospacing="1"/>
      </w:pPr>
      <w:r w:rsidRPr="007D1574">
        <w:rPr>
          <w:b/>
          <w:bCs/>
        </w:rPr>
        <w:t>GDPR Reference</w:t>
      </w:r>
      <w:r w:rsidRPr="007D1574">
        <w:t>:</w:t>
      </w:r>
    </w:p>
    <w:p w14:paraId="6AF6802E" w14:textId="77777777" w:rsidR="00293F43" w:rsidRPr="007D1574" w:rsidRDefault="00293F43" w:rsidP="00293F43">
      <w:pPr>
        <w:numPr>
          <w:ilvl w:val="2"/>
          <w:numId w:val="38"/>
        </w:numPr>
        <w:spacing w:before="100" w:beforeAutospacing="1" w:after="100" w:afterAutospacing="1"/>
      </w:pPr>
      <w:r w:rsidRPr="007D1574">
        <w:rPr>
          <w:b/>
          <w:bCs/>
        </w:rPr>
        <w:t>Article 12 GDPR</w:t>
      </w:r>
      <w:r w:rsidRPr="007D1574">
        <w:t>: Mandates clear and transparent communication with users about data processing practices.</w:t>
      </w:r>
    </w:p>
    <w:p w14:paraId="0DA0599A" w14:textId="77777777" w:rsidR="00293F43" w:rsidRPr="007D1574" w:rsidRDefault="00F81BAE" w:rsidP="00293F43">
      <w:r w:rsidRPr="007D1574">
        <w:rPr>
          <w:noProof/>
        </w:rPr>
        <w:pict w14:anchorId="5DD818A0">
          <v:rect id="_x0000_i1289" alt="" style="width:415.3pt;height:.05pt;mso-width-percent:0;mso-height-percent:0;mso-width-percent:0;mso-height-percent:0" o:hralign="center" o:hrstd="t" o:hr="t" fillcolor="#a0a0a0" stroked="f"/>
        </w:pict>
      </w:r>
    </w:p>
    <w:p w14:paraId="5B9A2A35" w14:textId="77777777" w:rsidR="00293F43" w:rsidRPr="007D1574" w:rsidRDefault="00293F43" w:rsidP="00293F43">
      <w:pPr>
        <w:spacing w:before="100" w:beforeAutospacing="1" w:after="100" w:afterAutospacing="1"/>
        <w:outlineLvl w:val="3"/>
        <w:rPr>
          <w:rFonts w:hint="eastAsia"/>
          <w:b/>
          <w:bCs/>
        </w:rPr>
      </w:pPr>
      <w:r w:rsidRPr="007D1574">
        <w:rPr>
          <w:b/>
          <w:bCs/>
        </w:rPr>
        <w:t>4. Regulatory Challenges and Reinforcement of Market Power</w:t>
      </w:r>
      <w:r>
        <w:rPr>
          <w:rFonts w:hint="eastAsia"/>
          <w:b/>
          <w:bCs/>
        </w:rPr>
        <w:t xml:space="preserve"> </w:t>
      </w:r>
      <w:r w:rsidRPr="007D1574">
        <w:rPr>
          <w:b/>
          <w:bCs/>
        </w:rPr>
        <w:t>监管挑战和市场力量的加强</w:t>
      </w:r>
    </w:p>
    <w:p w14:paraId="4452151C" w14:textId="77777777" w:rsidR="00293F43" w:rsidRPr="007D1574" w:rsidRDefault="00293F43" w:rsidP="00293F43">
      <w:pPr>
        <w:numPr>
          <w:ilvl w:val="0"/>
          <w:numId w:val="39"/>
        </w:numPr>
        <w:spacing w:before="100" w:beforeAutospacing="1" w:after="100" w:afterAutospacing="1"/>
      </w:pPr>
      <w:r w:rsidRPr="007D1574">
        <w:rPr>
          <w:b/>
          <w:bCs/>
        </w:rPr>
        <w:t>Regulatory Compliance Favors Large Firms</w:t>
      </w:r>
      <w:r w:rsidRPr="007D1574">
        <w:t>:</w:t>
      </w:r>
      <w:r w:rsidRPr="007D1574">
        <w:br/>
        <w:t>GDPR compliance imposes significant costs, such as implementing data protection measures and conducting audits. While large firms can absorb these costs, smaller competitors may struggle, further entrenching market dominance.</w:t>
      </w:r>
    </w:p>
    <w:p w14:paraId="1C00B58E" w14:textId="77777777" w:rsidR="00293F43" w:rsidRPr="007D1574" w:rsidRDefault="00293F43" w:rsidP="00293F43">
      <w:pPr>
        <w:numPr>
          <w:ilvl w:val="1"/>
          <w:numId w:val="39"/>
        </w:numPr>
        <w:spacing w:before="100" w:beforeAutospacing="1" w:after="100" w:afterAutospacing="1"/>
      </w:pPr>
      <w:r w:rsidRPr="007D1574">
        <w:rPr>
          <w:b/>
          <w:bCs/>
        </w:rPr>
        <w:t>GDPR Reference</w:t>
      </w:r>
      <w:r w:rsidRPr="007D1574">
        <w:t>:</w:t>
      </w:r>
    </w:p>
    <w:p w14:paraId="6241CF04" w14:textId="77777777" w:rsidR="00293F43" w:rsidRPr="007D1574" w:rsidRDefault="00293F43" w:rsidP="00293F43">
      <w:pPr>
        <w:numPr>
          <w:ilvl w:val="2"/>
          <w:numId w:val="39"/>
        </w:numPr>
        <w:spacing w:before="100" w:beforeAutospacing="1" w:after="100" w:afterAutospacing="1"/>
      </w:pPr>
      <w:r w:rsidRPr="007D1574">
        <w:rPr>
          <w:b/>
          <w:bCs/>
        </w:rPr>
        <w:lastRenderedPageBreak/>
        <w:t>Recital 13 GDPR</w:t>
      </w:r>
      <w:r w:rsidRPr="007D1574">
        <w:t>: Acknowledges that the regulation imposes obligations on data controllers to protect personal data effectively.</w:t>
      </w:r>
    </w:p>
    <w:p w14:paraId="11AFC2C5" w14:textId="77777777" w:rsidR="00293F43" w:rsidRPr="007D1574" w:rsidRDefault="00293F43" w:rsidP="00293F43">
      <w:pPr>
        <w:numPr>
          <w:ilvl w:val="0"/>
          <w:numId w:val="39"/>
        </w:numPr>
        <w:spacing w:before="100" w:beforeAutospacing="1" w:after="100" w:afterAutospacing="1"/>
      </w:pPr>
      <w:r w:rsidRPr="007D1574">
        <w:rPr>
          <w:b/>
          <w:bCs/>
        </w:rPr>
        <w:t>Data Portability and Competition</w:t>
      </w:r>
      <w:r w:rsidRPr="007D1574">
        <w:t>:</w:t>
      </w:r>
      <w:r w:rsidRPr="007D1574">
        <w:br/>
        <w:t>Although GDPR provides for data portability, which could reduce market power by enabling users to transfer their data, dominant firms may still benefit from the inertia of established user bases and superior infrastructure.</w:t>
      </w:r>
    </w:p>
    <w:p w14:paraId="1ECFABC7" w14:textId="77777777" w:rsidR="00293F43" w:rsidRPr="007D1574" w:rsidRDefault="00293F43" w:rsidP="00293F43">
      <w:pPr>
        <w:numPr>
          <w:ilvl w:val="1"/>
          <w:numId w:val="39"/>
        </w:numPr>
        <w:spacing w:before="100" w:beforeAutospacing="1" w:after="100" w:afterAutospacing="1"/>
      </w:pPr>
      <w:r w:rsidRPr="007D1574">
        <w:rPr>
          <w:b/>
          <w:bCs/>
        </w:rPr>
        <w:t>Article 20 GDPR</w:t>
      </w:r>
      <w:r w:rsidRPr="007D1574">
        <w:t>: Grants users the right to data portability, potentially fostering competition. However, its impact is limited without interoperability standards.</w:t>
      </w:r>
    </w:p>
    <w:p w14:paraId="1FFDAB37" w14:textId="77777777" w:rsidR="00293F43" w:rsidRPr="007D1574" w:rsidRDefault="00F81BAE" w:rsidP="00293F43">
      <w:r w:rsidRPr="007D1574">
        <w:rPr>
          <w:noProof/>
        </w:rPr>
        <w:pict w14:anchorId="01776D41">
          <v:rect id="_x0000_i1288" alt="" style="width:415.3pt;height:.05pt;mso-width-percent:0;mso-height-percent:0;mso-width-percent:0;mso-height-percent:0" o:hralign="center" o:hrstd="t" o:hr="t" fillcolor="#a0a0a0" stroked="f"/>
        </w:pict>
      </w:r>
    </w:p>
    <w:p w14:paraId="619E201D" w14:textId="77777777" w:rsidR="00293F43" w:rsidRPr="007D1574" w:rsidRDefault="00293F43" w:rsidP="00293F43">
      <w:pPr>
        <w:spacing w:before="100" w:beforeAutospacing="1" w:after="100" w:afterAutospacing="1"/>
        <w:outlineLvl w:val="3"/>
        <w:rPr>
          <w:b/>
          <w:bCs/>
        </w:rPr>
      </w:pPr>
      <w:r w:rsidRPr="007D1574">
        <w:rPr>
          <w:b/>
          <w:bCs/>
        </w:rPr>
        <w:t>5. Consumer Behavior and Limited Alternatives</w:t>
      </w:r>
    </w:p>
    <w:p w14:paraId="0A42EF26" w14:textId="77777777" w:rsidR="00293F43" w:rsidRPr="007D1574" w:rsidRDefault="00293F43" w:rsidP="00293F43">
      <w:pPr>
        <w:numPr>
          <w:ilvl w:val="0"/>
          <w:numId w:val="40"/>
        </w:numPr>
        <w:spacing w:before="100" w:beforeAutospacing="1" w:after="100" w:afterAutospacing="1"/>
      </w:pPr>
      <w:r w:rsidRPr="007D1574">
        <w:rPr>
          <w:b/>
          <w:bCs/>
        </w:rPr>
        <w:t>Limited Choices for Users</w:t>
      </w:r>
      <w:r w:rsidRPr="007D1574">
        <w:t>:</w:t>
      </w:r>
      <w:r w:rsidRPr="007D1574">
        <w:br/>
        <w:t>Despite privacy concerns, users often continue using services from dominant firms due to the lack of viable alternatives, further concentrating market power.</w:t>
      </w:r>
    </w:p>
    <w:p w14:paraId="44DD4CE3" w14:textId="77777777" w:rsidR="00293F43" w:rsidRPr="007D1574" w:rsidRDefault="00293F43" w:rsidP="00293F43">
      <w:pPr>
        <w:numPr>
          <w:ilvl w:val="1"/>
          <w:numId w:val="40"/>
        </w:numPr>
        <w:spacing w:before="100" w:beforeAutospacing="1" w:after="100" w:afterAutospacing="1"/>
      </w:pPr>
      <w:r w:rsidRPr="007D1574">
        <w:rPr>
          <w:b/>
          <w:bCs/>
        </w:rPr>
        <w:t>GDPR Reference</w:t>
      </w:r>
      <w:r w:rsidRPr="007D1574">
        <w:t>:</w:t>
      </w:r>
    </w:p>
    <w:p w14:paraId="78DB7043" w14:textId="77777777" w:rsidR="00293F43" w:rsidRPr="007D1574" w:rsidRDefault="00293F43" w:rsidP="00293F43">
      <w:pPr>
        <w:numPr>
          <w:ilvl w:val="2"/>
          <w:numId w:val="40"/>
        </w:numPr>
        <w:spacing w:before="100" w:beforeAutospacing="1" w:after="100" w:afterAutospacing="1"/>
      </w:pPr>
      <w:r w:rsidRPr="007D1574">
        <w:rPr>
          <w:b/>
          <w:bCs/>
        </w:rPr>
        <w:t>Article 25 GDPR</w:t>
      </w:r>
      <w:r w:rsidRPr="007D1574">
        <w:t>: Emphasizes data protection by design and by default, but widespread adoption remains limited, reducing the effectiveness of user choice in protecting privacy.</w:t>
      </w:r>
    </w:p>
    <w:p w14:paraId="156EA557" w14:textId="77777777" w:rsidR="00293F43" w:rsidRPr="007D1574" w:rsidRDefault="00F81BAE" w:rsidP="00293F43">
      <w:r w:rsidRPr="007D1574">
        <w:rPr>
          <w:noProof/>
        </w:rPr>
        <w:pict w14:anchorId="4537CC2A">
          <v:rect id="_x0000_i1287" alt="" style="width:415.3pt;height:.05pt;mso-width-percent:0;mso-height-percent:0;mso-width-percent:0;mso-height-percent:0" o:hralign="center" o:hrstd="t" o:hr="t" fillcolor="#a0a0a0" stroked="f"/>
        </w:pict>
      </w:r>
    </w:p>
    <w:p w14:paraId="50C9BCC4" w14:textId="77777777" w:rsidR="00293F43" w:rsidRPr="007D1574" w:rsidRDefault="00293F43" w:rsidP="00293F43">
      <w:pPr>
        <w:spacing w:before="100" w:beforeAutospacing="1" w:after="100" w:afterAutospacing="1"/>
        <w:outlineLvl w:val="3"/>
        <w:rPr>
          <w:b/>
          <w:bCs/>
        </w:rPr>
      </w:pPr>
      <w:r w:rsidRPr="007D1574">
        <w:rPr>
          <w:b/>
          <w:bCs/>
        </w:rPr>
        <w:t>Conclusion</w:t>
      </w:r>
    </w:p>
    <w:p w14:paraId="665B93F3" w14:textId="77777777" w:rsidR="00293F43" w:rsidRDefault="00293F43" w:rsidP="00293F43">
      <w:pPr>
        <w:spacing w:before="100" w:beforeAutospacing="1" w:after="100" w:afterAutospacing="1"/>
      </w:pPr>
      <w:r w:rsidRPr="007D1574">
        <w:t>The relationship between data, market power, and privacy is undeniable. Companies gain market power by collecting and leveraging personal data, often at the expense of user privacy. The GDPR addresses some of these challenges, but gaps remain, particularly in mitigating the competitive advantages of data-rich firms. Strengthening data portability and enforcing transparency could help balance market power and privacy.</w:t>
      </w:r>
    </w:p>
    <w:p w14:paraId="6247CEEE" w14:textId="77777777" w:rsidR="00293F43" w:rsidRPr="007D1574" w:rsidRDefault="00293F43" w:rsidP="00293F43">
      <w:pPr>
        <w:spacing w:before="100" w:beforeAutospacing="1" w:after="100" w:afterAutospacing="1"/>
        <w:rPr>
          <w:rFonts w:hint="eastAsia"/>
        </w:rPr>
      </w:pPr>
      <w:r w:rsidRPr="007D1574">
        <w:t>数据、市场力量和隐私之间的关系是不可否认的。公司通过收集和利用个人数据来获得市场力量，通常以牺牲用户隐私为代价。GDPR 解决了其中一些挑战，但仍存在差距，特别是在减轻数据丰富公司的竞争优势方面。加强数据可移植性和加强透明度可以帮助平衡市场力量和隐私。</w:t>
      </w:r>
    </w:p>
    <w:p w14:paraId="77DA71C0" w14:textId="77777777" w:rsidR="00293F43" w:rsidRPr="007D1574" w:rsidRDefault="00293F43" w:rsidP="00293F43">
      <w:pPr>
        <w:spacing w:before="100" w:beforeAutospacing="1" w:after="100" w:afterAutospacing="1"/>
        <w:outlineLvl w:val="2"/>
        <w:rPr>
          <w:b/>
          <w:bCs/>
          <w:sz w:val="27"/>
          <w:szCs w:val="27"/>
        </w:rPr>
      </w:pPr>
      <w:r w:rsidRPr="007D1574">
        <w:rPr>
          <w:b/>
          <w:bCs/>
          <w:sz w:val="27"/>
          <w:szCs w:val="27"/>
        </w:rPr>
        <w:lastRenderedPageBreak/>
        <w:t>Position: There is a Strong Relationship Between Data, Market Power, and Privacy</w:t>
      </w:r>
    </w:p>
    <w:p w14:paraId="124AC52B" w14:textId="77777777" w:rsidR="00293F43" w:rsidRPr="007D1574" w:rsidRDefault="00F81BAE" w:rsidP="00293F43">
      <w:r w:rsidRPr="007D1574">
        <w:rPr>
          <w:noProof/>
        </w:rPr>
        <w:pict w14:anchorId="724FB805">
          <v:rect id="_x0000_i1286" alt="" style="width:415.3pt;height:.05pt;mso-width-percent:0;mso-height-percent:0;mso-width-percent:0;mso-height-percent:0" o:hralign="center" o:hrstd="t" o:hr="t" fillcolor="#a0a0a0" stroked="f"/>
        </w:pict>
      </w:r>
    </w:p>
    <w:p w14:paraId="597AC42F" w14:textId="77777777" w:rsidR="00293F43" w:rsidRPr="007D1574" w:rsidRDefault="00293F43" w:rsidP="00293F43">
      <w:pPr>
        <w:spacing w:before="100" w:beforeAutospacing="1" w:after="100" w:afterAutospacing="1"/>
        <w:outlineLvl w:val="3"/>
        <w:rPr>
          <w:b/>
          <w:bCs/>
        </w:rPr>
      </w:pPr>
      <w:r w:rsidRPr="007D1574">
        <w:rPr>
          <w:b/>
          <w:bCs/>
        </w:rPr>
        <w:t>Arguments Supporting the Relationship</w:t>
      </w:r>
    </w:p>
    <w:p w14:paraId="55C51671" w14:textId="77777777" w:rsidR="00293F43" w:rsidRPr="007D1574" w:rsidRDefault="00293F43" w:rsidP="00293F43">
      <w:pPr>
        <w:numPr>
          <w:ilvl w:val="0"/>
          <w:numId w:val="41"/>
        </w:numPr>
        <w:spacing w:before="100" w:beforeAutospacing="1" w:after="100" w:afterAutospacing="1"/>
      </w:pPr>
      <w:r w:rsidRPr="007D1574">
        <w:rPr>
          <w:b/>
          <w:bCs/>
        </w:rPr>
        <w:t>Data as a Source of Market Power</w:t>
      </w:r>
    </w:p>
    <w:p w14:paraId="04FABEF4" w14:textId="77777777" w:rsidR="00293F43" w:rsidRPr="007D1574" w:rsidRDefault="00293F43" w:rsidP="00293F43">
      <w:pPr>
        <w:numPr>
          <w:ilvl w:val="1"/>
          <w:numId w:val="41"/>
        </w:numPr>
        <w:spacing w:before="100" w:beforeAutospacing="1" w:after="100" w:afterAutospacing="1"/>
      </w:pPr>
      <w:r w:rsidRPr="007D1574">
        <w:rPr>
          <w:b/>
          <w:bCs/>
        </w:rPr>
        <w:t>Economies of Scale in Data Collection</w:t>
      </w:r>
      <w:r w:rsidRPr="007D1574">
        <w:t>: Companies with vast user bases (e.g., Google, Facebook) collect massive amounts of user data, which they leverage to enhance algorithms, target advertisements, and create user-centric products. This leads to a competitive advantage and reinforces their dominance, creating high barriers to entry for smaller players.</w:t>
      </w:r>
    </w:p>
    <w:p w14:paraId="227C3836" w14:textId="77777777" w:rsidR="00293F43" w:rsidRPr="007D1574" w:rsidRDefault="00293F43" w:rsidP="00293F43">
      <w:pPr>
        <w:numPr>
          <w:ilvl w:val="1"/>
          <w:numId w:val="41"/>
        </w:numPr>
        <w:spacing w:before="100" w:beforeAutospacing="1" w:after="100" w:afterAutospacing="1"/>
      </w:pPr>
      <w:r w:rsidRPr="007D1574">
        <w:rPr>
          <w:b/>
          <w:bCs/>
        </w:rPr>
        <w:t>Network Effects</w:t>
      </w:r>
      <w:r w:rsidRPr="007D1574">
        <w:t>: The more data a company collects, the more valuable its services become, attracting more users and further consolidating market power.</w:t>
      </w:r>
    </w:p>
    <w:p w14:paraId="1285317B" w14:textId="77777777" w:rsidR="00293F43" w:rsidRPr="007D1574" w:rsidRDefault="00293F43" w:rsidP="00293F43">
      <w:pPr>
        <w:numPr>
          <w:ilvl w:val="0"/>
          <w:numId w:val="41"/>
        </w:numPr>
        <w:spacing w:before="100" w:beforeAutospacing="1" w:after="100" w:afterAutospacing="1"/>
      </w:pPr>
      <w:r w:rsidRPr="007D1574">
        <w:rPr>
          <w:b/>
          <w:bCs/>
        </w:rPr>
        <w:t>Monetization of Personal Data</w:t>
      </w:r>
    </w:p>
    <w:p w14:paraId="1AC80890" w14:textId="77777777" w:rsidR="00293F43" w:rsidRPr="007D1574" w:rsidRDefault="00293F43" w:rsidP="00293F43">
      <w:pPr>
        <w:numPr>
          <w:ilvl w:val="1"/>
          <w:numId w:val="41"/>
        </w:numPr>
        <w:spacing w:before="100" w:beforeAutospacing="1" w:after="100" w:afterAutospacing="1"/>
      </w:pPr>
      <w:r w:rsidRPr="007D1574">
        <w:t>Companies derive significant revenue from personal data, primarily through targeted advertising. This data-driven business model incentivizes the collection and exploitation of user information, often at the expense of privacy.</w:t>
      </w:r>
    </w:p>
    <w:p w14:paraId="06FD3DBB" w14:textId="77777777" w:rsidR="00293F43" w:rsidRPr="007D1574" w:rsidRDefault="00293F43" w:rsidP="00293F43">
      <w:pPr>
        <w:numPr>
          <w:ilvl w:val="0"/>
          <w:numId w:val="41"/>
        </w:numPr>
        <w:spacing w:before="100" w:beforeAutospacing="1" w:after="100" w:afterAutospacing="1"/>
      </w:pPr>
      <w:r w:rsidRPr="007D1574">
        <w:rPr>
          <w:b/>
          <w:bCs/>
        </w:rPr>
        <w:t>Data Concentration and Privacy Risks</w:t>
      </w:r>
    </w:p>
    <w:p w14:paraId="3C35D200" w14:textId="77777777" w:rsidR="00293F43" w:rsidRPr="007D1574" w:rsidRDefault="00293F43" w:rsidP="00293F43">
      <w:pPr>
        <w:numPr>
          <w:ilvl w:val="1"/>
          <w:numId w:val="41"/>
        </w:numPr>
        <w:spacing w:before="100" w:beforeAutospacing="1" w:after="100" w:afterAutospacing="1"/>
      </w:pPr>
      <w:r w:rsidRPr="007D1574">
        <w:t>Market power allows dominant firms to dictate data collection practices, often offering little transparency or control to users. For example, users might feel compelled to consent to intrusive data collection to access "free" services, reducing their privacy.</w:t>
      </w:r>
    </w:p>
    <w:p w14:paraId="77C62423" w14:textId="77777777" w:rsidR="00293F43" w:rsidRPr="007D1574" w:rsidRDefault="00293F43" w:rsidP="00293F43">
      <w:pPr>
        <w:numPr>
          <w:ilvl w:val="1"/>
          <w:numId w:val="41"/>
        </w:numPr>
        <w:spacing w:before="100" w:beforeAutospacing="1" w:after="100" w:afterAutospacing="1"/>
      </w:pPr>
      <w:r w:rsidRPr="007D1574">
        <w:t>Data breaches in dominant firms (e.g., the Cambridge Analytica scandal involving Facebook) can lead to widespread harm, as the scale of data concentration exacerbates privacy risks.</w:t>
      </w:r>
    </w:p>
    <w:p w14:paraId="07654044" w14:textId="77777777" w:rsidR="00293F43" w:rsidRPr="007D1574" w:rsidRDefault="00293F43" w:rsidP="00293F43">
      <w:pPr>
        <w:numPr>
          <w:ilvl w:val="0"/>
          <w:numId w:val="41"/>
        </w:numPr>
        <w:spacing w:before="100" w:beforeAutospacing="1" w:after="100" w:afterAutospacing="1"/>
      </w:pPr>
      <w:r w:rsidRPr="007D1574">
        <w:rPr>
          <w:b/>
          <w:bCs/>
        </w:rPr>
        <w:t>Regulatory and Legal Implications</w:t>
      </w:r>
    </w:p>
    <w:p w14:paraId="525F133F" w14:textId="77777777" w:rsidR="00293F43" w:rsidRPr="007D1574" w:rsidRDefault="00293F43" w:rsidP="00293F43">
      <w:pPr>
        <w:numPr>
          <w:ilvl w:val="1"/>
          <w:numId w:val="41"/>
        </w:numPr>
        <w:spacing w:before="100" w:beforeAutospacing="1" w:after="100" w:afterAutospacing="1"/>
      </w:pPr>
      <w:r w:rsidRPr="007D1574">
        <w:t xml:space="preserve">Regulatory frameworks like the </w:t>
      </w:r>
      <w:r w:rsidRPr="007D1574">
        <w:rPr>
          <w:b/>
          <w:bCs/>
        </w:rPr>
        <w:t>General Data Protection Regulation (GDPR)</w:t>
      </w:r>
      <w:r w:rsidRPr="007D1574">
        <w:t xml:space="preserve"> aim to address this imbalance by giving users more control over their data. However, compliance costs can further entrench dominant players, as smaller competitors may struggle to meet these requirements, reinforcing the link between data, market power, and privacy.</w:t>
      </w:r>
    </w:p>
    <w:p w14:paraId="2472279D" w14:textId="77777777" w:rsidR="00293F43" w:rsidRPr="007D1574" w:rsidRDefault="00F81BAE" w:rsidP="00293F43">
      <w:r w:rsidRPr="007D1574">
        <w:rPr>
          <w:noProof/>
        </w:rPr>
        <w:lastRenderedPageBreak/>
        <w:pict w14:anchorId="791C7F2C">
          <v:rect id="_x0000_i1285" alt="" style="width:415.3pt;height:.05pt;mso-width-percent:0;mso-height-percent:0;mso-width-percent:0;mso-height-percent:0" o:hralign="center" o:hrstd="t" o:hr="t" fillcolor="#a0a0a0" stroked="f"/>
        </w:pict>
      </w:r>
    </w:p>
    <w:p w14:paraId="4A666FB3" w14:textId="77777777" w:rsidR="00293F43" w:rsidRPr="007D1574" w:rsidRDefault="00293F43" w:rsidP="00293F43">
      <w:pPr>
        <w:spacing w:before="100" w:beforeAutospacing="1" w:after="100" w:afterAutospacing="1"/>
      </w:pPr>
      <w:r w:rsidRPr="007D1574">
        <w:t>While other factors may contribute to market power, data remains a crucial driver in digital markets, creating a strong link between data, market power, and privacy. Dominant firms benefit from extensive data collection, but this often comes at the cost of user privacy, reinforcing the need for robust regulatory frameworks to balance these competing interests.</w:t>
      </w:r>
    </w:p>
    <w:p w14:paraId="56D812AC" w14:textId="77777777" w:rsidR="00293F43" w:rsidRDefault="00293F43" w:rsidP="00293F43">
      <w:pPr>
        <w:spacing w:before="100" w:beforeAutospacing="1" w:after="100" w:afterAutospacing="1"/>
        <w:outlineLvl w:val="3"/>
        <w:rPr>
          <w:b/>
          <w:bCs/>
        </w:rPr>
      </w:pPr>
    </w:p>
    <w:p w14:paraId="3A5138DC" w14:textId="77777777" w:rsidR="00293F43" w:rsidRPr="007D1574" w:rsidRDefault="00293F43" w:rsidP="00293F43">
      <w:pPr>
        <w:spacing w:before="100" w:beforeAutospacing="1" w:after="100" w:afterAutospacing="1"/>
        <w:outlineLvl w:val="3"/>
        <w:rPr>
          <w:rFonts w:hint="eastAsia"/>
          <w:b/>
          <w:bCs/>
        </w:rPr>
      </w:pPr>
      <w:r w:rsidRPr="007D1574">
        <w:rPr>
          <w:b/>
          <w:bCs/>
        </w:rPr>
        <w:t>While other factors may contribute to market power, data remains a crucial driver in digital markets, creating a strong link between data, market power, and privacy. Dominant firms benefit from extensive data collection, but this often comes at the cost of user privacy, reinforcing the need for robust regulatory frameworks to balance these competing interests.</w:t>
      </w:r>
    </w:p>
    <w:p w14:paraId="58FF2ABC" w14:textId="77777777" w:rsidR="00293F43" w:rsidRDefault="00293F43" w:rsidP="00293F43">
      <w:pPr>
        <w:spacing w:before="100" w:beforeAutospacing="1" w:after="100" w:afterAutospacing="1"/>
        <w:outlineLvl w:val="3"/>
        <w:rPr>
          <w:b/>
          <w:bCs/>
        </w:rPr>
      </w:pPr>
      <w:r w:rsidRPr="007D1574">
        <w:rPr>
          <w:b/>
          <w:bCs/>
        </w:rPr>
        <w:t>虽然其他因素也可能影响市场力量，但数据仍然是数字市场的关键驱动因素，从而在数据、市场力量和隐私之间建立了紧密联系。占主导地位的公司受益于广泛的数据收集，但这往往是以牺牲用户隐私为代价的，这进一步凸显了建立健全监管框架以平衡这些相互竞争的利益的必要性。</w:t>
      </w:r>
    </w:p>
    <w:p w14:paraId="1C421CBA" w14:textId="77777777" w:rsidR="00293F43" w:rsidRDefault="00293F43" w:rsidP="00293F43">
      <w:pPr>
        <w:spacing w:before="100" w:beforeAutospacing="1" w:after="100" w:afterAutospacing="1"/>
        <w:outlineLvl w:val="3"/>
        <w:rPr>
          <w:b/>
          <w:bCs/>
        </w:rPr>
      </w:pPr>
    </w:p>
    <w:p w14:paraId="616E5E50" w14:textId="77777777" w:rsidR="00293F43" w:rsidRDefault="00293F43" w:rsidP="00293F43">
      <w:pPr>
        <w:spacing w:before="100" w:beforeAutospacing="1" w:after="100" w:afterAutospacing="1"/>
        <w:outlineLvl w:val="3"/>
        <w:rPr>
          <w:b/>
          <w:bCs/>
        </w:rPr>
      </w:pPr>
    </w:p>
    <w:p w14:paraId="443CEB18" w14:textId="3AC6D3CC" w:rsidR="00293F43" w:rsidRPr="00293F43" w:rsidRDefault="00293F43" w:rsidP="00293F43">
      <w:pPr>
        <w:spacing w:before="100" w:beforeAutospacing="1" w:after="100" w:afterAutospacing="1"/>
        <w:outlineLvl w:val="3"/>
        <w:rPr>
          <w:rFonts w:hint="eastAsia"/>
          <w:b/>
          <w:bCs/>
          <w:highlight w:val="cyan"/>
        </w:rPr>
      </w:pPr>
      <w:r w:rsidRPr="00293F43">
        <w:rPr>
          <w:b/>
          <w:bCs/>
          <w:highlight w:val="cyan"/>
        </w:rPr>
        <w:t>Describe the connection between patents, trade secrets and information security.</w:t>
      </w:r>
    </w:p>
    <w:p w14:paraId="439AD433" w14:textId="77777777" w:rsidR="00293F43" w:rsidRPr="00293F43" w:rsidRDefault="00293F43" w:rsidP="00293F43">
      <w:pPr>
        <w:spacing w:before="100" w:beforeAutospacing="1" w:after="100" w:afterAutospacing="1"/>
        <w:outlineLvl w:val="2"/>
        <w:rPr>
          <w:b/>
          <w:bCs/>
          <w:sz w:val="27"/>
          <w:szCs w:val="27"/>
        </w:rPr>
      </w:pPr>
      <w:r w:rsidRPr="00293F43">
        <w:rPr>
          <w:b/>
          <w:bCs/>
          <w:sz w:val="27"/>
          <w:szCs w:val="27"/>
        </w:rPr>
        <w:t>1. Patents and Information Security | 专利与信息安全</w:t>
      </w:r>
    </w:p>
    <w:p w14:paraId="25CB90E8" w14:textId="77777777" w:rsidR="00293F43" w:rsidRPr="00293F43" w:rsidRDefault="00293F43" w:rsidP="00293F43">
      <w:pPr>
        <w:spacing w:before="100" w:beforeAutospacing="1" w:after="100" w:afterAutospacing="1"/>
        <w:outlineLvl w:val="3"/>
        <w:rPr>
          <w:b/>
          <w:bCs/>
        </w:rPr>
      </w:pPr>
      <w:r w:rsidRPr="00293F43">
        <w:rPr>
          <w:b/>
          <w:bCs/>
        </w:rPr>
        <w:t>Definition and Purpose of Patents | 专利的定义与目的</w:t>
      </w:r>
    </w:p>
    <w:p w14:paraId="0D82C8BC" w14:textId="77777777" w:rsidR="00293F43" w:rsidRPr="00293F43" w:rsidRDefault="00293F43" w:rsidP="00293F43">
      <w:pPr>
        <w:spacing w:before="100" w:beforeAutospacing="1" w:after="100" w:afterAutospacing="1"/>
      </w:pPr>
      <w:r w:rsidRPr="00293F43">
        <w:t>Patents protect technical inventions by granting exclusive rights to the inventor, provided the invention is novel, inventive, and industrially applicable. However, patents require public disclosure of the invention's details.</w:t>
      </w:r>
      <w:r w:rsidRPr="00293F43">
        <w:br/>
        <w:t>专利通过授予发明者独占权来保护技术发明，前提是发明具有新颖性、创造性和工业适用性。然而，专利需要公开发明的详细信息。</w:t>
      </w:r>
    </w:p>
    <w:p w14:paraId="6D5B8D77" w14:textId="77777777" w:rsidR="00293F43" w:rsidRPr="00293F43" w:rsidRDefault="00293F43" w:rsidP="00293F43">
      <w:pPr>
        <w:spacing w:before="100" w:beforeAutospacing="1" w:after="100" w:afterAutospacing="1"/>
        <w:outlineLvl w:val="3"/>
        <w:rPr>
          <w:b/>
          <w:bCs/>
        </w:rPr>
      </w:pPr>
      <w:r w:rsidRPr="00293F43">
        <w:rPr>
          <w:b/>
          <w:bCs/>
        </w:rPr>
        <w:t>Key Legal Provisions | 相关法律条文</w:t>
      </w:r>
    </w:p>
    <w:p w14:paraId="6C4EFEC5" w14:textId="77777777" w:rsidR="00293F43" w:rsidRPr="00293F43" w:rsidRDefault="00293F43" w:rsidP="00293F43">
      <w:pPr>
        <w:numPr>
          <w:ilvl w:val="0"/>
          <w:numId w:val="61"/>
        </w:numPr>
        <w:spacing w:before="100" w:beforeAutospacing="1" w:after="100" w:afterAutospacing="1"/>
      </w:pPr>
      <w:r w:rsidRPr="00293F43">
        <w:rPr>
          <w:b/>
          <w:bCs/>
        </w:rPr>
        <w:lastRenderedPageBreak/>
        <w:t>Article 52, European Patent Convention (EPC) | 《欧洲专利公约》第52条</w:t>
      </w:r>
      <w:r w:rsidRPr="00293F43">
        <w:t>:</w:t>
      </w:r>
    </w:p>
    <w:p w14:paraId="2D90C507" w14:textId="77777777" w:rsidR="00293F43" w:rsidRPr="00293F43" w:rsidRDefault="00293F43" w:rsidP="00293F43">
      <w:pPr>
        <w:numPr>
          <w:ilvl w:val="1"/>
          <w:numId w:val="61"/>
        </w:numPr>
        <w:spacing w:before="100" w:beforeAutospacing="1" w:after="100" w:afterAutospacing="1"/>
      </w:pPr>
      <w:r w:rsidRPr="00293F43">
        <w:rPr>
          <w:i/>
          <w:iCs/>
        </w:rPr>
        <w:t>English</w:t>
      </w:r>
      <w:r w:rsidRPr="00293F43">
        <w:t>: "European patents shall be granted for any inventions, provided they are new, involve an inventive step, and are susceptible of industrial application."</w:t>
      </w:r>
    </w:p>
    <w:p w14:paraId="25E361F4" w14:textId="77777777" w:rsidR="00293F43" w:rsidRPr="00293F43" w:rsidRDefault="00293F43" w:rsidP="00293F43">
      <w:pPr>
        <w:numPr>
          <w:ilvl w:val="1"/>
          <w:numId w:val="61"/>
        </w:numPr>
        <w:spacing w:before="100" w:beforeAutospacing="1" w:after="100" w:afterAutospacing="1"/>
      </w:pPr>
      <w:r w:rsidRPr="00293F43">
        <w:rPr>
          <w:i/>
          <w:iCs/>
        </w:rPr>
        <w:t>中文</w:t>
      </w:r>
      <w:r w:rsidRPr="00293F43">
        <w:t>：“凡具备新颖性、创造性步骤并适于工业应用的发明，均可授予欧洲专利。”</w:t>
      </w:r>
    </w:p>
    <w:p w14:paraId="1F31A143" w14:textId="77777777" w:rsidR="00293F43" w:rsidRPr="00293F43" w:rsidRDefault="00293F43" w:rsidP="00293F43">
      <w:pPr>
        <w:numPr>
          <w:ilvl w:val="0"/>
          <w:numId w:val="61"/>
        </w:numPr>
        <w:spacing w:before="100" w:beforeAutospacing="1" w:after="100" w:afterAutospacing="1"/>
      </w:pPr>
      <w:r w:rsidRPr="00293F43">
        <w:rPr>
          <w:b/>
          <w:bCs/>
        </w:rPr>
        <w:t>Article 63, EPC | 《欧洲专利公约》第63条</w:t>
      </w:r>
      <w:r w:rsidRPr="00293F43">
        <w:t>:</w:t>
      </w:r>
    </w:p>
    <w:p w14:paraId="4E045617" w14:textId="77777777" w:rsidR="00293F43" w:rsidRPr="00293F43" w:rsidRDefault="00293F43" w:rsidP="00293F43">
      <w:pPr>
        <w:numPr>
          <w:ilvl w:val="1"/>
          <w:numId w:val="61"/>
        </w:numPr>
        <w:spacing w:before="100" w:beforeAutospacing="1" w:after="100" w:afterAutospacing="1"/>
      </w:pPr>
      <w:r w:rsidRPr="00293F43">
        <w:rPr>
          <w:i/>
          <w:iCs/>
        </w:rPr>
        <w:t>English</w:t>
      </w:r>
      <w:r w:rsidRPr="00293F43">
        <w:t>: "The term of the European patent shall be 20 years from the date of filing of the application."</w:t>
      </w:r>
    </w:p>
    <w:p w14:paraId="17678687" w14:textId="77777777" w:rsidR="00293F43" w:rsidRPr="00293F43" w:rsidRDefault="00293F43" w:rsidP="00293F43">
      <w:pPr>
        <w:numPr>
          <w:ilvl w:val="1"/>
          <w:numId w:val="61"/>
        </w:numPr>
        <w:spacing w:before="100" w:beforeAutospacing="1" w:after="100" w:afterAutospacing="1"/>
      </w:pPr>
      <w:r w:rsidRPr="00293F43">
        <w:rPr>
          <w:i/>
          <w:iCs/>
        </w:rPr>
        <w:t>中文</w:t>
      </w:r>
      <w:r w:rsidRPr="00293F43">
        <w:t>：“欧洲专利的保护期限自申请日起为20年。”</w:t>
      </w:r>
    </w:p>
    <w:p w14:paraId="79A0982B" w14:textId="77777777" w:rsidR="00293F43" w:rsidRPr="00293F43" w:rsidRDefault="00293F43" w:rsidP="00293F43">
      <w:pPr>
        <w:spacing w:before="100" w:beforeAutospacing="1" w:after="100" w:afterAutospacing="1"/>
        <w:outlineLvl w:val="3"/>
        <w:rPr>
          <w:b/>
          <w:bCs/>
        </w:rPr>
      </w:pPr>
      <w:r w:rsidRPr="00293F43">
        <w:rPr>
          <w:b/>
          <w:bCs/>
        </w:rPr>
        <w:t>Connection to Information Security | 与信息安全的关系</w:t>
      </w:r>
    </w:p>
    <w:p w14:paraId="20FAB37E" w14:textId="77777777" w:rsidR="00293F43" w:rsidRPr="00293F43" w:rsidRDefault="00293F43" w:rsidP="00293F43">
      <w:pPr>
        <w:numPr>
          <w:ilvl w:val="0"/>
          <w:numId w:val="62"/>
        </w:numPr>
        <w:spacing w:before="100" w:beforeAutospacing="1" w:after="100" w:afterAutospacing="1"/>
      </w:pPr>
      <w:r w:rsidRPr="00293F43">
        <w:rPr>
          <w:b/>
          <w:bCs/>
        </w:rPr>
        <w:t>Before Granting the Patent | 专利授予前</w:t>
      </w:r>
      <w:r w:rsidRPr="00293F43">
        <w:t>: Robust information security measures are necessary to prevent unauthorized access to the invention before filing.</w:t>
      </w:r>
      <w:r w:rsidRPr="00293F43">
        <w:br/>
        <w:t>在提交专利申请之前，需要采取强有力的信息安全措施，以防止未授权访问。</w:t>
      </w:r>
    </w:p>
    <w:p w14:paraId="4CC4A4A4" w14:textId="77777777" w:rsidR="00293F43" w:rsidRPr="00293F43" w:rsidRDefault="00293F43" w:rsidP="00293F43">
      <w:pPr>
        <w:numPr>
          <w:ilvl w:val="0"/>
          <w:numId w:val="62"/>
        </w:numPr>
        <w:spacing w:before="100" w:beforeAutospacing="1" w:after="100" w:afterAutospacing="1"/>
      </w:pPr>
      <w:r w:rsidRPr="00293F43">
        <w:rPr>
          <w:b/>
          <w:bCs/>
        </w:rPr>
        <w:t>After Patent Grant | 专利授予后</w:t>
      </w:r>
      <w:r w:rsidRPr="00293F43">
        <w:t>: Even though the invention is publicly disclosed, proprietary technical data used in further innovation must be secured.</w:t>
      </w:r>
      <w:r w:rsidRPr="00293F43">
        <w:br/>
        <w:t>尽管发明已公开，但在进一步创新中使用的专有技术数据仍需保护。</w:t>
      </w:r>
    </w:p>
    <w:p w14:paraId="2EED0670" w14:textId="77777777" w:rsidR="00293F43" w:rsidRPr="00293F43" w:rsidRDefault="00F81BAE" w:rsidP="00293F43">
      <w:r w:rsidRPr="00293F43">
        <w:rPr>
          <w:noProof/>
        </w:rPr>
        <w:pict w14:anchorId="291C91DC">
          <v:rect id="_x0000_i1284" alt="" style="width:415.3pt;height:.05pt;mso-width-percent:0;mso-height-percent:0;mso-width-percent:0;mso-height-percent:0" o:hralign="center" o:hrstd="t" o:hr="t" fillcolor="#a0a0a0" stroked="f"/>
        </w:pict>
      </w:r>
    </w:p>
    <w:p w14:paraId="561CCEE1" w14:textId="77777777" w:rsidR="00293F43" w:rsidRPr="00293F43" w:rsidRDefault="00293F43" w:rsidP="00293F43">
      <w:pPr>
        <w:spacing w:before="100" w:beforeAutospacing="1" w:after="100" w:afterAutospacing="1"/>
        <w:outlineLvl w:val="2"/>
        <w:rPr>
          <w:b/>
          <w:bCs/>
          <w:sz w:val="27"/>
          <w:szCs w:val="27"/>
        </w:rPr>
      </w:pPr>
      <w:r w:rsidRPr="00293F43">
        <w:rPr>
          <w:b/>
          <w:bCs/>
          <w:sz w:val="27"/>
          <w:szCs w:val="27"/>
        </w:rPr>
        <w:t>2. Trade Secrets and Information Security | 商业秘密与信息安全</w:t>
      </w:r>
    </w:p>
    <w:p w14:paraId="2A395F90" w14:textId="77777777" w:rsidR="00293F43" w:rsidRPr="00293F43" w:rsidRDefault="00293F43" w:rsidP="00293F43">
      <w:pPr>
        <w:spacing w:before="100" w:beforeAutospacing="1" w:after="100" w:afterAutospacing="1"/>
        <w:outlineLvl w:val="3"/>
        <w:rPr>
          <w:b/>
          <w:bCs/>
        </w:rPr>
      </w:pPr>
      <w:r w:rsidRPr="00293F43">
        <w:rPr>
          <w:b/>
          <w:bCs/>
        </w:rPr>
        <w:t>Definition and Purpose of Trade Secrets | 商业秘密的定义与目的</w:t>
      </w:r>
    </w:p>
    <w:p w14:paraId="7613D846" w14:textId="77777777" w:rsidR="00293F43" w:rsidRPr="00293F43" w:rsidRDefault="00293F43" w:rsidP="00293F43">
      <w:pPr>
        <w:spacing w:before="100" w:beforeAutospacing="1" w:after="100" w:afterAutospacing="1"/>
      </w:pPr>
      <w:r w:rsidRPr="00293F43">
        <w:t>Trade secrets protect confidential information with commercial value, such as formulas, processes, and business strategies. Unlike patents, trade secrets do not require public disclosure and remain protected as long as secrecy is maintained.</w:t>
      </w:r>
      <w:r w:rsidRPr="00293F43">
        <w:br/>
        <w:t>商业秘密保护具有商业价值的机密信息，例如配方、工艺和商业策略。与专利不同，商业秘密无需公开，只要保密性得以维持，就会受到保护。</w:t>
      </w:r>
    </w:p>
    <w:p w14:paraId="725CE1C6" w14:textId="77777777" w:rsidR="00293F43" w:rsidRPr="00293F43" w:rsidRDefault="00293F43" w:rsidP="00293F43">
      <w:pPr>
        <w:spacing w:before="100" w:beforeAutospacing="1" w:after="100" w:afterAutospacing="1"/>
        <w:outlineLvl w:val="3"/>
        <w:rPr>
          <w:b/>
          <w:bCs/>
        </w:rPr>
      </w:pPr>
      <w:r w:rsidRPr="00293F43">
        <w:rPr>
          <w:b/>
          <w:bCs/>
        </w:rPr>
        <w:t>Key Legal Provisions | 相关法律条文</w:t>
      </w:r>
    </w:p>
    <w:p w14:paraId="704E5BCB" w14:textId="77777777" w:rsidR="00293F43" w:rsidRPr="00293F43" w:rsidRDefault="00293F43" w:rsidP="00293F43">
      <w:pPr>
        <w:numPr>
          <w:ilvl w:val="0"/>
          <w:numId w:val="63"/>
        </w:numPr>
        <w:spacing w:before="100" w:beforeAutospacing="1" w:after="100" w:afterAutospacing="1"/>
      </w:pPr>
      <w:r w:rsidRPr="00293F43">
        <w:rPr>
          <w:b/>
          <w:bCs/>
        </w:rPr>
        <w:t>Directive 2016/943, Article 2 | 《2016/943号指令》第2条</w:t>
      </w:r>
      <w:r w:rsidRPr="00293F43">
        <w:t>:</w:t>
      </w:r>
    </w:p>
    <w:p w14:paraId="0924661F" w14:textId="77777777" w:rsidR="00293F43" w:rsidRPr="00293F43" w:rsidRDefault="00293F43" w:rsidP="00293F43">
      <w:pPr>
        <w:numPr>
          <w:ilvl w:val="1"/>
          <w:numId w:val="63"/>
        </w:numPr>
        <w:spacing w:before="100" w:beforeAutospacing="1" w:after="100" w:afterAutospacing="1"/>
      </w:pPr>
      <w:r w:rsidRPr="00293F43">
        <w:rPr>
          <w:i/>
          <w:iCs/>
        </w:rPr>
        <w:lastRenderedPageBreak/>
        <w:t>English</w:t>
      </w:r>
      <w:r w:rsidRPr="00293F43">
        <w:t xml:space="preserve">: "Trade secret means </w:t>
      </w:r>
      <w:proofErr w:type="gramStart"/>
      <w:r w:rsidRPr="00293F43">
        <w:t>information</w:t>
      </w:r>
      <w:proofErr w:type="gramEnd"/>
      <w:r w:rsidRPr="00293F43">
        <w:t xml:space="preserve"> which is secret, has commercial value because it is secret, and has been subject to reasonable steps to keep it secret."</w:t>
      </w:r>
    </w:p>
    <w:p w14:paraId="546E71FA" w14:textId="77777777" w:rsidR="00293F43" w:rsidRPr="00293F43" w:rsidRDefault="00293F43" w:rsidP="00293F43">
      <w:pPr>
        <w:numPr>
          <w:ilvl w:val="1"/>
          <w:numId w:val="63"/>
        </w:numPr>
        <w:spacing w:before="100" w:beforeAutospacing="1" w:after="100" w:afterAutospacing="1"/>
      </w:pPr>
      <w:r w:rsidRPr="00293F43">
        <w:rPr>
          <w:i/>
          <w:iCs/>
        </w:rPr>
        <w:t>中文</w:t>
      </w:r>
      <w:r w:rsidRPr="00293F43">
        <w:t>：“商业秘密指符合以下条件的信息：秘密的；因其秘密性具有商业价值；已采取合理措施保密。”</w:t>
      </w:r>
    </w:p>
    <w:p w14:paraId="2C175EEF" w14:textId="77777777" w:rsidR="00293F43" w:rsidRPr="00293F43" w:rsidRDefault="00293F43" w:rsidP="00293F43">
      <w:pPr>
        <w:spacing w:before="100" w:beforeAutospacing="1" w:after="100" w:afterAutospacing="1"/>
        <w:outlineLvl w:val="3"/>
        <w:rPr>
          <w:b/>
          <w:bCs/>
        </w:rPr>
      </w:pPr>
      <w:r w:rsidRPr="00293F43">
        <w:rPr>
          <w:b/>
          <w:bCs/>
        </w:rPr>
        <w:t>Connection to Information Security | 与信息安全的关系</w:t>
      </w:r>
    </w:p>
    <w:p w14:paraId="17A1CBDF" w14:textId="77777777" w:rsidR="00293F43" w:rsidRPr="00293F43" w:rsidRDefault="00293F43" w:rsidP="00293F43">
      <w:pPr>
        <w:numPr>
          <w:ilvl w:val="0"/>
          <w:numId w:val="64"/>
        </w:numPr>
        <w:spacing w:before="100" w:beforeAutospacing="1" w:after="100" w:afterAutospacing="1"/>
      </w:pPr>
      <w:r w:rsidRPr="00293F43">
        <w:rPr>
          <w:b/>
          <w:bCs/>
        </w:rPr>
        <w:t>Core Dependency | 核心依赖</w:t>
      </w:r>
      <w:r w:rsidRPr="00293F43">
        <w:t>: Trade secrets rely entirely on information security for protection.</w:t>
      </w:r>
      <w:r w:rsidRPr="00293F43">
        <w:br/>
        <w:t>商业秘密完全依赖信息安全来保护。</w:t>
      </w:r>
    </w:p>
    <w:p w14:paraId="3516E3B5" w14:textId="77777777" w:rsidR="00293F43" w:rsidRPr="00293F43" w:rsidRDefault="00293F43" w:rsidP="00293F43">
      <w:pPr>
        <w:numPr>
          <w:ilvl w:val="0"/>
          <w:numId w:val="64"/>
        </w:numPr>
        <w:spacing w:before="100" w:beforeAutospacing="1" w:after="100" w:afterAutospacing="1"/>
      </w:pPr>
      <w:r w:rsidRPr="00293F43">
        <w:rPr>
          <w:b/>
          <w:bCs/>
        </w:rPr>
        <w:t>Security Measures | 安全措施</w:t>
      </w:r>
      <w:r w:rsidRPr="00293F43">
        <w:t>: Encryption, access controls, and secure storage are essential to prevent unauthorized access or disclosure.</w:t>
      </w:r>
      <w:r w:rsidRPr="00293F43">
        <w:br/>
        <w:t>加密、访问控制和安全存储是防止未授权访问或泄露的关键。</w:t>
      </w:r>
    </w:p>
    <w:p w14:paraId="4A2A6B59" w14:textId="77777777" w:rsidR="00293F43" w:rsidRPr="00293F43" w:rsidRDefault="00293F43" w:rsidP="00293F43">
      <w:pPr>
        <w:numPr>
          <w:ilvl w:val="0"/>
          <w:numId w:val="64"/>
        </w:numPr>
        <w:spacing w:before="100" w:beforeAutospacing="1" w:after="100" w:afterAutospacing="1"/>
      </w:pPr>
      <w:r w:rsidRPr="00293F43">
        <w:rPr>
          <w:b/>
          <w:bCs/>
        </w:rPr>
        <w:t>Risk Mitigation | 风险缓解</w:t>
      </w:r>
      <w:r w:rsidRPr="00293F43">
        <w:t>: A breach of information security could lead to the loss of trade secret protection.</w:t>
      </w:r>
      <w:r w:rsidRPr="00293F43">
        <w:br/>
        <w:t>信息安全的泄露可能导致商业秘密保护的丧失。</w:t>
      </w:r>
    </w:p>
    <w:p w14:paraId="586511F1" w14:textId="77777777" w:rsidR="00293F43" w:rsidRPr="00293F43" w:rsidRDefault="00F81BAE" w:rsidP="00293F43">
      <w:r w:rsidRPr="00293F43">
        <w:rPr>
          <w:noProof/>
        </w:rPr>
        <w:pict w14:anchorId="4C7BAC13">
          <v:rect id="_x0000_i1283" alt="" style="width:415.3pt;height:.05pt;mso-width-percent:0;mso-height-percent:0;mso-width-percent:0;mso-height-percent:0" o:hralign="center" o:hrstd="t" o:hr="t" fillcolor="#a0a0a0" stroked="f"/>
        </w:pict>
      </w:r>
    </w:p>
    <w:p w14:paraId="386E37DF" w14:textId="77777777" w:rsidR="00293F43" w:rsidRPr="00293F43" w:rsidRDefault="00293F43" w:rsidP="00293F43">
      <w:pPr>
        <w:spacing w:before="100" w:beforeAutospacing="1" w:after="100" w:afterAutospacing="1"/>
        <w:outlineLvl w:val="2"/>
        <w:rPr>
          <w:b/>
          <w:bCs/>
          <w:sz w:val="27"/>
          <w:szCs w:val="27"/>
        </w:rPr>
      </w:pPr>
      <w:r w:rsidRPr="00293F43">
        <w:rPr>
          <w:b/>
          <w:bCs/>
          <w:sz w:val="27"/>
          <w:szCs w:val="27"/>
        </w:rPr>
        <w:t>3. Interrelation and Strategic Decision | 相互关系与战略决策</w:t>
      </w:r>
    </w:p>
    <w:p w14:paraId="7762405F" w14:textId="77777777" w:rsidR="00293F43" w:rsidRPr="00293F43" w:rsidRDefault="00293F43" w:rsidP="00293F43">
      <w:pPr>
        <w:spacing w:before="100" w:beforeAutospacing="1" w:after="100" w:afterAutospacing="1"/>
        <w:outlineLvl w:val="3"/>
        <w:rPr>
          <w:b/>
          <w:bCs/>
        </w:rPr>
      </w:pPr>
      <w:r w:rsidRPr="00293F43">
        <w:rPr>
          <w:b/>
          <w:bCs/>
        </w:rPr>
        <w:t>Choosing Between Patents and Trade Secrets | 在专利与商业秘密之间选择</w:t>
      </w:r>
    </w:p>
    <w:p w14:paraId="0F4C7EF7" w14:textId="77777777" w:rsidR="00293F43" w:rsidRPr="00293F43" w:rsidRDefault="00293F43" w:rsidP="00293F43">
      <w:pPr>
        <w:numPr>
          <w:ilvl w:val="0"/>
          <w:numId w:val="65"/>
        </w:numPr>
        <w:spacing w:before="100" w:beforeAutospacing="1" w:after="100" w:afterAutospacing="1"/>
      </w:pPr>
      <w:r w:rsidRPr="00293F43">
        <w:rPr>
          <w:b/>
          <w:bCs/>
        </w:rPr>
        <w:t>Patents | 专利</w:t>
      </w:r>
      <w:r w:rsidRPr="00293F43">
        <w:t>: Suitable for inventions where public disclosure is acceptable and legal protection is necessary.</w:t>
      </w:r>
      <w:r w:rsidRPr="00293F43">
        <w:br/>
        <w:t>适用于可以接受公开且需要法律保护的发明。</w:t>
      </w:r>
    </w:p>
    <w:p w14:paraId="04AF865A" w14:textId="77777777" w:rsidR="00293F43" w:rsidRPr="00293F43" w:rsidRDefault="00293F43" w:rsidP="00293F43">
      <w:pPr>
        <w:numPr>
          <w:ilvl w:val="0"/>
          <w:numId w:val="65"/>
        </w:numPr>
        <w:spacing w:before="100" w:beforeAutospacing="1" w:after="100" w:afterAutospacing="1"/>
      </w:pPr>
      <w:r w:rsidRPr="00293F43">
        <w:rPr>
          <w:b/>
          <w:bCs/>
        </w:rPr>
        <w:t>Trade Secrets | 商业秘密</w:t>
      </w:r>
      <w:r w:rsidRPr="00293F43">
        <w:t>: Ideal for information that must remain confidential for competitive advantage and cannot be easily reverse-engineered.</w:t>
      </w:r>
      <w:r w:rsidRPr="00293F43">
        <w:br/>
        <w:t>适用于必须保密以保持竞争优势且难以被逆向工程的信息。</w:t>
      </w:r>
    </w:p>
    <w:p w14:paraId="5CC1DC26" w14:textId="77777777" w:rsidR="00293F43" w:rsidRPr="00293F43" w:rsidRDefault="00293F43" w:rsidP="00293F43">
      <w:pPr>
        <w:spacing w:before="100" w:beforeAutospacing="1" w:after="100" w:afterAutospacing="1"/>
        <w:outlineLvl w:val="3"/>
        <w:rPr>
          <w:b/>
          <w:bCs/>
        </w:rPr>
      </w:pPr>
      <w:r w:rsidRPr="00293F43">
        <w:rPr>
          <w:b/>
          <w:bCs/>
        </w:rPr>
        <w:t>Information Security as the Foundation | 信息安全是基础</w:t>
      </w:r>
    </w:p>
    <w:p w14:paraId="14277327" w14:textId="77777777" w:rsidR="00293F43" w:rsidRPr="00293F43" w:rsidRDefault="00293F43" w:rsidP="00293F43">
      <w:pPr>
        <w:spacing w:before="100" w:beforeAutospacing="1" w:after="100" w:afterAutospacing="1"/>
      </w:pPr>
      <w:r w:rsidRPr="00293F43">
        <w:t>Both patents and trade secrets rely on robust information security:</w:t>
      </w:r>
      <w:r w:rsidRPr="00293F43">
        <w:br/>
        <w:t>专利和商业秘密都依赖于强大的信息安全：</w:t>
      </w:r>
    </w:p>
    <w:p w14:paraId="48794E5F" w14:textId="77777777" w:rsidR="00293F43" w:rsidRPr="00293F43" w:rsidRDefault="00293F43" w:rsidP="00293F43">
      <w:pPr>
        <w:numPr>
          <w:ilvl w:val="0"/>
          <w:numId w:val="66"/>
        </w:numPr>
        <w:spacing w:before="100" w:beforeAutospacing="1" w:after="100" w:afterAutospacing="1"/>
      </w:pPr>
      <w:r w:rsidRPr="00293F43">
        <w:rPr>
          <w:b/>
          <w:bCs/>
        </w:rPr>
        <w:t>Before Filing a Patent | 提交专利申请前</w:t>
      </w:r>
      <w:r w:rsidRPr="00293F43">
        <w:t>: Prevent premature disclosure to avoid jeopardizing patentability.</w:t>
      </w:r>
      <w:r w:rsidRPr="00293F43">
        <w:br/>
        <w:t>防止过早披露以免危及专利性。</w:t>
      </w:r>
    </w:p>
    <w:p w14:paraId="70C07CFB" w14:textId="77777777" w:rsidR="00293F43" w:rsidRPr="00293F43" w:rsidRDefault="00293F43" w:rsidP="00293F43">
      <w:pPr>
        <w:numPr>
          <w:ilvl w:val="0"/>
          <w:numId w:val="66"/>
        </w:numPr>
        <w:spacing w:before="100" w:beforeAutospacing="1" w:after="100" w:afterAutospacing="1"/>
      </w:pPr>
      <w:r w:rsidRPr="00293F43">
        <w:rPr>
          <w:b/>
          <w:bCs/>
        </w:rPr>
        <w:lastRenderedPageBreak/>
        <w:t>For Trade Secrets | 对于商业秘密</w:t>
      </w:r>
      <w:r w:rsidRPr="00293F43">
        <w:t>: Ensure continuous confidentiality to maintain protection.</w:t>
      </w:r>
      <w:r w:rsidRPr="00293F43">
        <w:br/>
        <w:t>确保持续保密以维持保护。</w:t>
      </w:r>
    </w:p>
    <w:p w14:paraId="2387ADA9" w14:textId="77777777" w:rsidR="00293F43" w:rsidRPr="00293F43" w:rsidRDefault="00F81BAE" w:rsidP="00293F43">
      <w:r w:rsidRPr="00293F43">
        <w:rPr>
          <w:noProof/>
        </w:rPr>
        <w:pict w14:anchorId="0487319D">
          <v:rect id="_x0000_i1282" alt="" style="width:415.3pt;height:.05pt;mso-width-percent:0;mso-height-percent:0;mso-width-percent:0;mso-height-percent:0" o:hralign="center" o:hrstd="t" o:hr="t" fillcolor="#a0a0a0" stroked="f"/>
        </w:pict>
      </w:r>
    </w:p>
    <w:p w14:paraId="271DE544" w14:textId="77777777" w:rsidR="00293F43" w:rsidRPr="00293F43" w:rsidRDefault="00293F43" w:rsidP="00293F43">
      <w:pPr>
        <w:spacing w:before="100" w:beforeAutospacing="1" w:after="100" w:afterAutospacing="1"/>
        <w:outlineLvl w:val="2"/>
        <w:rPr>
          <w:b/>
          <w:bCs/>
          <w:sz w:val="27"/>
          <w:szCs w:val="27"/>
        </w:rPr>
      </w:pPr>
      <w:r w:rsidRPr="00293F43">
        <w:rPr>
          <w:b/>
          <w:bCs/>
          <w:sz w:val="27"/>
          <w:szCs w:val="27"/>
        </w:rPr>
        <w:t>4. Relevant Legal Frameworks for Information Security | 信息安全相关法律框架</w:t>
      </w:r>
    </w:p>
    <w:p w14:paraId="40F1365F" w14:textId="77777777" w:rsidR="00293F43" w:rsidRPr="00293F43" w:rsidRDefault="00293F43" w:rsidP="00293F43">
      <w:pPr>
        <w:numPr>
          <w:ilvl w:val="0"/>
          <w:numId w:val="67"/>
        </w:numPr>
        <w:spacing w:before="100" w:beforeAutospacing="1" w:after="100" w:afterAutospacing="1"/>
      </w:pPr>
      <w:r w:rsidRPr="00293F43">
        <w:rPr>
          <w:b/>
          <w:bCs/>
        </w:rPr>
        <w:t>TRIPS Agreement, Article 39(2) | 《TRIPS协议》第39条第2款</w:t>
      </w:r>
      <w:r w:rsidRPr="00293F43">
        <w:t>:</w:t>
      </w:r>
    </w:p>
    <w:p w14:paraId="00BFBE18" w14:textId="77777777" w:rsidR="00293F43" w:rsidRPr="00293F43" w:rsidRDefault="00293F43" w:rsidP="00293F43">
      <w:pPr>
        <w:numPr>
          <w:ilvl w:val="1"/>
          <w:numId w:val="67"/>
        </w:numPr>
        <w:spacing w:before="100" w:beforeAutospacing="1" w:after="100" w:afterAutospacing="1"/>
      </w:pPr>
      <w:r w:rsidRPr="00293F43">
        <w:rPr>
          <w:i/>
          <w:iCs/>
        </w:rPr>
        <w:t>English</w:t>
      </w:r>
      <w:r w:rsidRPr="00293F43">
        <w:t>: "Natural and legal persons shall have the possibility of preventing information lawfully within their control from being disclosed to, acquired by, or used by others without their consent."</w:t>
      </w:r>
    </w:p>
    <w:p w14:paraId="56EC618E" w14:textId="77777777" w:rsidR="00293F43" w:rsidRPr="00293F43" w:rsidRDefault="00293F43" w:rsidP="00293F43">
      <w:pPr>
        <w:numPr>
          <w:ilvl w:val="1"/>
          <w:numId w:val="67"/>
        </w:numPr>
        <w:spacing w:before="100" w:beforeAutospacing="1" w:after="100" w:afterAutospacing="1"/>
      </w:pPr>
      <w:r w:rsidRPr="00293F43">
        <w:rPr>
          <w:i/>
          <w:iCs/>
        </w:rPr>
        <w:t>中文</w:t>
      </w:r>
      <w:r w:rsidRPr="00293F43">
        <w:t>：“自然人和法人有权防止其合法控制范围内的信息被他人未经同意披露、获取或使用。”</w:t>
      </w:r>
    </w:p>
    <w:p w14:paraId="45675F53" w14:textId="77777777" w:rsidR="00293F43" w:rsidRPr="00293F43" w:rsidRDefault="00F81BAE" w:rsidP="00293F43">
      <w:r w:rsidRPr="00293F43">
        <w:rPr>
          <w:noProof/>
        </w:rPr>
        <w:pict w14:anchorId="05B11069">
          <v:rect id="_x0000_i1281" alt="" style="width:415.3pt;height:.05pt;mso-width-percent:0;mso-height-percent:0;mso-width-percent:0;mso-height-percent:0" o:hralign="center" o:hrstd="t" o:hr="t" fillcolor="#a0a0a0" stroked="f"/>
        </w:pict>
      </w:r>
    </w:p>
    <w:p w14:paraId="29C0D72F" w14:textId="77777777" w:rsidR="00293F43" w:rsidRPr="00293F43" w:rsidRDefault="00293F43" w:rsidP="00293F43">
      <w:pPr>
        <w:spacing w:before="100" w:beforeAutospacing="1" w:after="100" w:afterAutospacing="1"/>
        <w:outlineLvl w:val="2"/>
        <w:rPr>
          <w:b/>
          <w:bCs/>
          <w:sz w:val="27"/>
          <w:szCs w:val="27"/>
        </w:rPr>
      </w:pPr>
      <w:r w:rsidRPr="00293F43">
        <w:rPr>
          <w:b/>
          <w:bCs/>
          <w:sz w:val="27"/>
          <w:szCs w:val="27"/>
        </w:rPr>
        <w:t>5. Practical Implications for Businesses | 对企业的实际意义</w:t>
      </w:r>
    </w:p>
    <w:p w14:paraId="660BEC5B" w14:textId="77777777" w:rsidR="00293F43" w:rsidRPr="00293F43" w:rsidRDefault="00293F43" w:rsidP="00293F43">
      <w:pPr>
        <w:numPr>
          <w:ilvl w:val="0"/>
          <w:numId w:val="68"/>
        </w:numPr>
        <w:spacing w:before="100" w:beforeAutospacing="1" w:after="100" w:afterAutospacing="1"/>
      </w:pPr>
      <w:r w:rsidRPr="00293F43">
        <w:rPr>
          <w:b/>
          <w:bCs/>
        </w:rPr>
        <w:t>Patent Filing | 专利申请</w:t>
      </w:r>
      <w:r w:rsidRPr="00293F43">
        <w:t>: Companies must secure proprietary data during patent drafting and filing processes.</w:t>
      </w:r>
      <w:r w:rsidRPr="00293F43">
        <w:br/>
        <w:t>企业在专利撰写和申请过程中必须保护专有数据。</w:t>
      </w:r>
    </w:p>
    <w:p w14:paraId="7277476E" w14:textId="77777777" w:rsidR="00293F43" w:rsidRPr="00293F43" w:rsidRDefault="00293F43" w:rsidP="00293F43">
      <w:pPr>
        <w:numPr>
          <w:ilvl w:val="0"/>
          <w:numId w:val="68"/>
        </w:numPr>
        <w:spacing w:before="100" w:beforeAutospacing="1" w:after="100" w:afterAutospacing="1"/>
      </w:pPr>
      <w:r w:rsidRPr="00293F43">
        <w:rPr>
          <w:b/>
          <w:bCs/>
        </w:rPr>
        <w:t>Trade Secret Management | 商业秘密管理</w:t>
      </w:r>
      <w:r w:rsidRPr="00293F43">
        <w:t>: Employ strict access controls, secure databases, and regularly update non-disclosure agreements.</w:t>
      </w:r>
      <w:r w:rsidRPr="00293F43">
        <w:br/>
        <w:t>采取严格的访问控制、安全数据库并定期更新保密协议。</w:t>
      </w:r>
    </w:p>
    <w:p w14:paraId="64FC4823" w14:textId="77777777" w:rsidR="00293F43" w:rsidRPr="00293F43" w:rsidRDefault="00293F43" w:rsidP="00293F43">
      <w:pPr>
        <w:numPr>
          <w:ilvl w:val="0"/>
          <w:numId w:val="68"/>
        </w:numPr>
        <w:spacing w:before="100" w:beforeAutospacing="1" w:after="100" w:afterAutospacing="1"/>
      </w:pPr>
      <w:r w:rsidRPr="00293F43">
        <w:rPr>
          <w:b/>
          <w:bCs/>
        </w:rPr>
        <w:t>Information Security Measures | 信息安全措施</w:t>
      </w:r>
      <w:r w:rsidRPr="00293F43">
        <w:t>: Implement encryption, multi-factor authentication, and intrusion detection systems to safeguard both patented and secret information.</w:t>
      </w:r>
      <w:r w:rsidRPr="00293F43">
        <w:br/>
        <w:t>实施加密、多因素身份验证和入侵检测系统，以保护专利和机密信息。</w:t>
      </w:r>
    </w:p>
    <w:p w14:paraId="3D684640" w14:textId="77777777" w:rsidR="00293F43" w:rsidRPr="00293F43" w:rsidRDefault="00F81BAE" w:rsidP="00293F43">
      <w:r w:rsidRPr="00293F43">
        <w:rPr>
          <w:noProof/>
        </w:rPr>
        <w:pict w14:anchorId="4AACEE7D">
          <v:rect id="_x0000_i1280" alt="" style="width:415.3pt;height:.05pt;mso-width-percent:0;mso-height-percent:0;mso-width-percent:0;mso-height-percent:0" o:hralign="center" o:hrstd="t" o:hr="t" fillcolor="#a0a0a0" stroked="f"/>
        </w:pict>
      </w:r>
    </w:p>
    <w:p w14:paraId="645BCF6D" w14:textId="77777777" w:rsidR="00293F43" w:rsidRPr="00293F43" w:rsidRDefault="00293F43" w:rsidP="00293F43">
      <w:pPr>
        <w:spacing w:before="100" w:beforeAutospacing="1" w:after="100" w:afterAutospacing="1"/>
        <w:outlineLvl w:val="2"/>
        <w:rPr>
          <w:b/>
          <w:bCs/>
          <w:sz w:val="27"/>
          <w:szCs w:val="27"/>
        </w:rPr>
      </w:pPr>
      <w:r w:rsidRPr="00293F43">
        <w:rPr>
          <w:b/>
          <w:bCs/>
          <w:sz w:val="27"/>
          <w:szCs w:val="27"/>
        </w:rPr>
        <w:t>Conclusion | 结论</w:t>
      </w:r>
    </w:p>
    <w:p w14:paraId="3131820F" w14:textId="77777777" w:rsidR="00293F43" w:rsidRPr="00293F43" w:rsidRDefault="00293F43" w:rsidP="00293F43">
      <w:pPr>
        <w:spacing w:before="100" w:beforeAutospacing="1" w:after="100" w:afterAutospacing="1"/>
      </w:pPr>
      <w:r w:rsidRPr="00293F43">
        <w:t xml:space="preserve">Patents and trade secrets are complementary tools for IP protection, with information security serving as the backbone of both. Strong security measures are critical to safeguarding innovations, whether </w:t>
      </w:r>
      <w:r w:rsidRPr="00293F43">
        <w:lastRenderedPageBreak/>
        <w:t>they are publicly disclosed through patents or kept confidential as trade secrets. By adhering to legal frameworks such as the EPC, Directive 2016/943, and TRIPS Agreement, businesses can ensure robust IP protection while fostering innovation and maintaining competitive advantage.</w:t>
      </w:r>
      <w:r w:rsidRPr="00293F43">
        <w:br/>
        <w:t>专利和商业秘密是知识产权保护的互补工具，而信息安全是两者的支柱。强有力的安全措施对于保护创新至关重要，无论是通过专利公开还是通过商业秘密保密。通过遵守《欧洲专利公约》、《2016/943号指令》和《TRIPS协议》等法律框架，企业可以确保稳健的知识产权保护，同时促进创新和保持竞争优势。</w:t>
      </w:r>
    </w:p>
    <w:p w14:paraId="50174DD4" w14:textId="77777777" w:rsidR="00293F43" w:rsidRPr="00293F43" w:rsidRDefault="00293F43" w:rsidP="00293F43">
      <w:pPr>
        <w:spacing w:before="100" w:beforeAutospacing="1" w:after="100" w:afterAutospacing="1"/>
        <w:outlineLvl w:val="3"/>
        <w:rPr>
          <w:b/>
          <w:bCs/>
        </w:rPr>
      </w:pPr>
    </w:p>
    <w:p w14:paraId="51D4D8F8" w14:textId="77777777" w:rsidR="00293F43" w:rsidRDefault="00293F43" w:rsidP="00EC780E">
      <w:pPr>
        <w:spacing w:before="100" w:beforeAutospacing="1" w:after="100" w:afterAutospacing="1"/>
        <w:outlineLvl w:val="3"/>
        <w:rPr>
          <w:rFonts w:hint="eastAsia"/>
          <w:b/>
          <w:bCs/>
        </w:rPr>
      </w:pPr>
    </w:p>
    <w:p w14:paraId="41328122" w14:textId="3D9CB861" w:rsidR="00EC780E" w:rsidRDefault="00860AC3">
      <w:pPr>
        <w:rPr>
          <w:b/>
          <w:bCs/>
          <w:highlight w:val="cyan"/>
        </w:rPr>
      </w:pPr>
      <w:r w:rsidRPr="00860AC3">
        <w:rPr>
          <w:b/>
          <w:bCs/>
          <w:highlight w:val="cyan"/>
        </w:rPr>
        <w:t>There is a relationship between data, market power and privacy. Provide arguments for or against this position.</w:t>
      </w:r>
    </w:p>
    <w:p w14:paraId="305011F9" w14:textId="77777777" w:rsidR="00860AC3" w:rsidRDefault="00860AC3">
      <w:pPr>
        <w:rPr>
          <w:b/>
          <w:bCs/>
          <w:highlight w:val="cyan"/>
        </w:rPr>
      </w:pPr>
    </w:p>
    <w:p w14:paraId="037FDA69" w14:textId="77777777" w:rsidR="00860AC3" w:rsidRPr="00860AC3" w:rsidRDefault="00860AC3" w:rsidP="00860AC3">
      <w:pPr>
        <w:spacing w:before="100" w:beforeAutospacing="1" w:after="100" w:afterAutospacing="1"/>
        <w:outlineLvl w:val="2"/>
        <w:rPr>
          <w:b/>
          <w:bCs/>
          <w:sz w:val="27"/>
          <w:szCs w:val="27"/>
        </w:rPr>
      </w:pPr>
      <w:r w:rsidRPr="00860AC3">
        <w:rPr>
          <w:b/>
          <w:bCs/>
          <w:sz w:val="27"/>
          <w:szCs w:val="27"/>
        </w:rPr>
        <w:t>Introduction</w:t>
      </w:r>
    </w:p>
    <w:p w14:paraId="5AEAADAF" w14:textId="77777777" w:rsidR="00860AC3" w:rsidRPr="00860AC3" w:rsidRDefault="00860AC3" w:rsidP="00860AC3">
      <w:pPr>
        <w:spacing w:before="100" w:beforeAutospacing="1" w:after="100" w:afterAutospacing="1"/>
      </w:pPr>
      <w:r w:rsidRPr="00860AC3">
        <w:t>The NIS Directive (Directive (EU) 2016/1148), the General Data Protection Regulation (GDPR), and the Proposal for AI Regulation (AI Act, 2024) form a regulatory framework addressing data protection, cybersecurity, and artificial intelligence. These instruments intersect significantly in the context of information security, each contributing distinct but complementary obligations to ensure the secure and lawful processing of data. This document outlines their relationship and highlights key provisions with legal text in both English and Chinese.</w:t>
      </w:r>
    </w:p>
    <w:p w14:paraId="7815ED9C" w14:textId="77777777" w:rsidR="00860AC3" w:rsidRPr="00860AC3" w:rsidRDefault="00F81BAE" w:rsidP="00860AC3">
      <w:r w:rsidRPr="00860AC3">
        <w:rPr>
          <w:noProof/>
        </w:rPr>
        <w:pict w14:anchorId="62B3849F">
          <v:rect id="_x0000_i1279" alt="" style="width:415.3pt;height:.05pt;mso-width-percent:0;mso-height-percent:0;mso-width-percent:0;mso-height-percent:0" o:hralign="center" o:hrstd="t" o:hr="t" fillcolor="#a0a0a0" stroked="f"/>
        </w:pict>
      </w:r>
    </w:p>
    <w:p w14:paraId="7C496E1B" w14:textId="77777777" w:rsidR="00860AC3" w:rsidRPr="00860AC3" w:rsidRDefault="00860AC3" w:rsidP="00860AC3">
      <w:pPr>
        <w:spacing w:before="100" w:beforeAutospacing="1" w:after="100" w:afterAutospacing="1"/>
        <w:outlineLvl w:val="2"/>
        <w:rPr>
          <w:b/>
          <w:bCs/>
          <w:sz w:val="27"/>
          <w:szCs w:val="27"/>
        </w:rPr>
      </w:pPr>
      <w:r w:rsidRPr="00860AC3">
        <w:rPr>
          <w:b/>
          <w:bCs/>
          <w:sz w:val="27"/>
          <w:szCs w:val="27"/>
        </w:rPr>
        <w:t>1. NIS Directive: Information Security Requirements</w:t>
      </w:r>
    </w:p>
    <w:p w14:paraId="28120C5A" w14:textId="77777777" w:rsidR="00860AC3" w:rsidRPr="00860AC3" w:rsidRDefault="00860AC3" w:rsidP="00860AC3">
      <w:pPr>
        <w:spacing w:before="100" w:beforeAutospacing="1" w:after="100" w:afterAutospacing="1"/>
      </w:pPr>
      <w:r w:rsidRPr="00860AC3">
        <w:t>The NIS Directive focuses on improving the cybersecurity of essential services and digital service providers. It imposes obligations on entities to protect their network and information systems from security incidents.</w:t>
      </w:r>
    </w:p>
    <w:p w14:paraId="5770ACFD" w14:textId="77777777" w:rsidR="00860AC3" w:rsidRPr="00860AC3" w:rsidRDefault="00860AC3" w:rsidP="00860AC3">
      <w:pPr>
        <w:spacing w:before="100" w:beforeAutospacing="1" w:after="100" w:afterAutospacing="1"/>
        <w:outlineLvl w:val="3"/>
        <w:rPr>
          <w:b/>
          <w:bCs/>
        </w:rPr>
      </w:pPr>
      <w:r w:rsidRPr="00860AC3">
        <w:rPr>
          <w:b/>
          <w:bCs/>
        </w:rPr>
        <w:t>Key Provision</w:t>
      </w:r>
    </w:p>
    <w:p w14:paraId="18A94D04" w14:textId="77777777" w:rsidR="00860AC3" w:rsidRPr="00860AC3" w:rsidRDefault="00860AC3" w:rsidP="00860AC3">
      <w:pPr>
        <w:spacing w:before="100" w:beforeAutospacing="1" w:after="100" w:afterAutospacing="1"/>
      </w:pPr>
      <w:r w:rsidRPr="00860AC3">
        <w:rPr>
          <w:b/>
          <w:bCs/>
        </w:rPr>
        <w:lastRenderedPageBreak/>
        <w:t>Article 14: Security Requirements for Operators of Essential Services</w:t>
      </w:r>
    </w:p>
    <w:p w14:paraId="31FC4388" w14:textId="77777777" w:rsidR="00860AC3" w:rsidRPr="00860AC3" w:rsidRDefault="00860AC3" w:rsidP="00860AC3">
      <w:pPr>
        <w:numPr>
          <w:ilvl w:val="0"/>
          <w:numId w:val="69"/>
        </w:numPr>
        <w:spacing w:before="100" w:beforeAutospacing="1" w:after="100" w:afterAutospacing="1"/>
      </w:pPr>
      <w:r w:rsidRPr="00860AC3">
        <w:rPr>
          <w:b/>
          <w:bCs/>
        </w:rPr>
        <w:t>English:</w:t>
      </w:r>
      <w:r w:rsidRPr="00860AC3">
        <w:t xml:space="preserve"> “Member States shall ensure that operators of essential services take appropriate and proportionate technical and organizational measures to manage the risks posed to the security of network and information systems used in their operations.”</w:t>
      </w:r>
    </w:p>
    <w:p w14:paraId="35B79146" w14:textId="77777777" w:rsidR="00860AC3" w:rsidRPr="00860AC3" w:rsidRDefault="00860AC3" w:rsidP="00860AC3">
      <w:pPr>
        <w:numPr>
          <w:ilvl w:val="0"/>
          <w:numId w:val="69"/>
        </w:numPr>
        <w:spacing w:before="100" w:beforeAutospacing="1" w:after="100" w:afterAutospacing="1"/>
      </w:pPr>
      <w:r w:rsidRPr="00860AC3">
        <w:rPr>
          <w:b/>
          <w:bCs/>
        </w:rPr>
        <w:t>Chinese:</w:t>
      </w:r>
      <w:r w:rsidRPr="00860AC3">
        <w:t xml:space="preserve"> “成员国应确保重要服务操作者采取适当而成比例的技术和组织措施，以管理网络和信息系统安全所带来的风险。”</w:t>
      </w:r>
    </w:p>
    <w:p w14:paraId="5E4CEE3D" w14:textId="77777777" w:rsidR="00860AC3" w:rsidRPr="00860AC3" w:rsidRDefault="00860AC3" w:rsidP="00860AC3">
      <w:pPr>
        <w:spacing w:before="100" w:beforeAutospacing="1" w:after="100" w:afterAutospacing="1"/>
        <w:outlineLvl w:val="3"/>
        <w:rPr>
          <w:b/>
          <w:bCs/>
        </w:rPr>
      </w:pPr>
      <w:r w:rsidRPr="00860AC3">
        <w:rPr>
          <w:b/>
          <w:bCs/>
        </w:rPr>
        <w:t>Relationship to GDPR and AI Act</w:t>
      </w:r>
    </w:p>
    <w:p w14:paraId="485C82C3" w14:textId="77777777" w:rsidR="00860AC3" w:rsidRPr="00860AC3" w:rsidRDefault="00860AC3" w:rsidP="00860AC3">
      <w:pPr>
        <w:spacing w:before="100" w:beforeAutospacing="1" w:after="100" w:afterAutospacing="1"/>
      </w:pPr>
      <w:r w:rsidRPr="00860AC3">
        <w:t>The NIS Directive complements the GDPR by emphasizing the security of the systems processing personal data. It also aligns with the AI Act’s focus on ensuring that AI systems are secure from cyber threats.</w:t>
      </w:r>
    </w:p>
    <w:p w14:paraId="20113C32" w14:textId="77777777" w:rsidR="00860AC3" w:rsidRPr="00860AC3" w:rsidRDefault="00F81BAE" w:rsidP="00860AC3">
      <w:r w:rsidRPr="00860AC3">
        <w:rPr>
          <w:noProof/>
        </w:rPr>
        <w:pict w14:anchorId="00B38C4A">
          <v:rect id="_x0000_i1278" alt="" style="width:415.3pt;height:.05pt;mso-width-percent:0;mso-height-percent:0;mso-width-percent:0;mso-height-percent:0" o:hralign="center" o:hrstd="t" o:hr="t" fillcolor="#a0a0a0" stroked="f"/>
        </w:pict>
      </w:r>
    </w:p>
    <w:p w14:paraId="503F1D55" w14:textId="77777777" w:rsidR="00860AC3" w:rsidRPr="00860AC3" w:rsidRDefault="00860AC3" w:rsidP="00860AC3">
      <w:pPr>
        <w:spacing w:before="100" w:beforeAutospacing="1" w:after="100" w:afterAutospacing="1"/>
        <w:outlineLvl w:val="2"/>
        <w:rPr>
          <w:b/>
          <w:bCs/>
          <w:sz w:val="27"/>
          <w:szCs w:val="27"/>
        </w:rPr>
      </w:pPr>
      <w:r w:rsidRPr="00860AC3">
        <w:rPr>
          <w:b/>
          <w:bCs/>
          <w:sz w:val="27"/>
          <w:szCs w:val="27"/>
        </w:rPr>
        <w:t>2. GDPR: Data Protection and Security</w:t>
      </w:r>
    </w:p>
    <w:p w14:paraId="2055378C" w14:textId="77777777" w:rsidR="00860AC3" w:rsidRPr="00860AC3" w:rsidRDefault="00860AC3" w:rsidP="00860AC3">
      <w:pPr>
        <w:spacing w:before="100" w:beforeAutospacing="1" w:after="100" w:afterAutospacing="1"/>
      </w:pPr>
      <w:r w:rsidRPr="00860AC3">
        <w:t>The GDPR governs the protection of personal data and emphasizes transparency, accountability, and data security.</w:t>
      </w:r>
    </w:p>
    <w:p w14:paraId="0040BE65" w14:textId="77777777" w:rsidR="00860AC3" w:rsidRPr="00860AC3" w:rsidRDefault="00860AC3" w:rsidP="00860AC3">
      <w:pPr>
        <w:spacing w:before="100" w:beforeAutospacing="1" w:after="100" w:afterAutospacing="1"/>
        <w:outlineLvl w:val="3"/>
        <w:rPr>
          <w:b/>
          <w:bCs/>
        </w:rPr>
      </w:pPr>
      <w:r w:rsidRPr="00860AC3">
        <w:rPr>
          <w:b/>
          <w:bCs/>
        </w:rPr>
        <w:t>Key Provisions</w:t>
      </w:r>
    </w:p>
    <w:p w14:paraId="4ED4D593" w14:textId="77777777" w:rsidR="00860AC3" w:rsidRPr="00860AC3" w:rsidRDefault="00860AC3" w:rsidP="00860AC3">
      <w:pPr>
        <w:spacing w:before="100" w:beforeAutospacing="1" w:after="100" w:afterAutospacing="1"/>
      </w:pPr>
      <w:r w:rsidRPr="00860AC3">
        <w:rPr>
          <w:b/>
          <w:bCs/>
        </w:rPr>
        <w:t>Article 5: Principles Relating to Processing of Personal Data</w:t>
      </w:r>
    </w:p>
    <w:p w14:paraId="56123AAD" w14:textId="77777777" w:rsidR="00860AC3" w:rsidRPr="00860AC3" w:rsidRDefault="00860AC3" w:rsidP="00860AC3">
      <w:pPr>
        <w:numPr>
          <w:ilvl w:val="0"/>
          <w:numId w:val="70"/>
        </w:numPr>
        <w:spacing w:before="100" w:beforeAutospacing="1" w:after="100" w:afterAutospacing="1"/>
      </w:pPr>
      <w:r w:rsidRPr="00860AC3">
        <w:rPr>
          <w:b/>
          <w:bCs/>
        </w:rPr>
        <w:t>English:</w:t>
      </w:r>
      <w:r w:rsidRPr="00860AC3">
        <w:t xml:space="preserve"> “Personal data shall be processed in a manner that ensures appropriate security of the personal data, including protection against unauthorized or unlawful processing and against accidental loss, destruction, or damage.”</w:t>
      </w:r>
    </w:p>
    <w:p w14:paraId="1461D1A5" w14:textId="77777777" w:rsidR="00860AC3" w:rsidRPr="00860AC3" w:rsidRDefault="00860AC3" w:rsidP="00860AC3">
      <w:pPr>
        <w:numPr>
          <w:ilvl w:val="0"/>
          <w:numId w:val="70"/>
        </w:numPr>
        <w:spacing w:before="100" w:beforeAutospacing="1" w:after="100" w:afterAutospacing="1"/>
      </w:pPr>
      <w:r w:rsidRPr="00860AC3">
        <w:rPr>
          <w:b/>
          <w:bCs/>
        </w:rPr>
        <w:t>Chinese:</w:t>
      </w:r>
      <w:r w:rsidRPr="00860AC3">
        <w:t xml:space="preserve"> “个人数据的处理应保证适当的安全，包括防止未经授权或非法的处理，以及防止随机丢失、毁坏或损害。”</w:t>
      </w:r>
    </w:p>
    <w:p w14:paraId="07B475C5" w14:textId="77777777" w:rsidR="00860AC3" w:rsidRPr="00860AC3" w:rsidRDefault="00860AC3" w:rsidP="00860AC3">
      <w:pPr>
        <w:spacing w:before="100" w:beforeAutospacing="1" w:after="100" w:afterAutospacing="1"/>
      </w:pPr>
      <w:r w:rsidRPr="00860AC3">
        <w:rPr>
          <w:b/>
          <w:bCs/>
        </w:rPr>
        <w:t>Article 32: Security of Processing</w:t>
      </w:r>
    </w:p>
    <w:p w14:paraId="3116BD57" w14:textId="77777777" w:rsidR="00860AC3" w:rsidRPr="00860AC3" w:rsidRDefault="00860AC3" w:rsidP="00860AC3">
      <w:pPr>
        <w:numPr>
          <w:ilvl w:val="0"/>
          <w:numId w:val="71"/>
        </w:numPr>
        <w:spacing w:before="100" w:beforeAutospacing="1" w:after="100" w:afterAutospacing="1"/>
      </w:pPr>
      <w:r w:rsidRPr="00860AC3">
        <w:rPr>
          <w:b/>
          <w:bCs/>
        </w:rPr>
        <w:t>English:</w:t>
      </w:r>
      <w:r w:rsidRPr="00860AC3">
        <w:t xml:space="preserve"> “The controller and the processor shall implement appropriate technical and organizational measures to ensure a level of security appropriate to the risk.”</w:t>
      </w:r>
    </w:p>
    <w:p w14:paraId="506A83FA" w14:textId="77777777" w:rsidR="00860AC3" w:rsidRPr="00860AC3" w:rsidRDefault="00860AC3" w:rsidP="00860AC3">
      <w:pPr>
        <w:numPr>
          <w:ilvl w:val="0"/>
          <w:numId w:val="71"/>
        </w:numPr>
        <w:spacing w:before="100" w:beforeAutospacing="1" w:after="100" w:afterAutospacing="1"/>
      </w:pPr>
      <w:r w:rsidRPr="00860AC3">
        <w:rPr>
          <w:b/>
          <w:bCs/>
        </w:rPr>
        <w:t>Chinese:</w:t>
      </w:r>
      <w:r w:rsidRPr="00860AC3">
        <w:t xml:space="preserve"> “数据控制者和数据处理者应采取适当的技术和组织措施，以确保与风险相适度的安全级别。”</w:t>
      </w:r>
    </w:p>
    <w:p w14:paraId="2155F1B4" w14:textId="77777777" w:rsidR="00860AC3" w:rsidRPr="00860AC3" w:rsidRDefault="00860AC3" w:rsidP="00860AC3">
      <w:pPr>
        <w:spacing w:before="100" w:beforeAutospacing="1" w:after="100" w:afterAutospacing="1"/>
        <w:outlineLvl w:val="3"/>
        <w:rPr>
          <w:b/>
          <w:bCs/>
        </w:rPr>
      </w:pPr>
      <w:r w:rsidRPr="00860AC3">
        <w:rPr>
          <w:b/>
          <w:bCs/>
        </w:rPr>
        <w:lastRenderedPageBreak/>
        <w:t>Relationship to NIS Directive and AI Act</w:t>
      </w:r>
    </w:p>
    <w:p w14:paraId="79263EBC" w14:textId="77777777" w:rsidR="00860AC3" w:rsidRPr="00860AC3" w:rsidRDefault="00860AC3" w:rsidP="00860AC3">
      <w:pPr>
        <w:spacing w:before="100" w:beforeAutospacing="1" w:after="100" w:afterAutospacing="1"/>
      </w:pPr>
      <w:r w:rsidRPr="00860AC3">
        <w:t>The GDPR’s focus on personal data security reinforces the NIS Directive’s broader information security requirements. It also intersects with the AI Act by addressing the protection of personal data used in AI systems.</w:t>
      </w:r>
    </w:p>
    <w:p w14:paraId="4B41A2EA" w14:textId="77777777" w:rsidR="00860AC3" w:rsidRPr="00860AC3" w:rsidRDefault="00F81BAE" w:rsidP="00860AC3">
      <w:r w:rsidRPr="00860AC3">
        <w:rPr>
          <w:noProof/>
        </w:rPr>
        <w:pict w14:anchorId="7B4F8B6B">
          <v:rect id="_x0000_i1277" alt="" style="width:415.3pt;height:.05pt;mso-width-percent:0;mso-height-percent:0;mso-width-percent:0;mso-height-percent:0" o:hralign="center" o:hrstd="t" o:hr="t" fillcolor="#a0a0a0" stroked="f"/>
        </w:pict>
      </w:r>
    </w:p>
    <w:p w14:paraId="3013C526" w14:textId="77777777" w:rsidR="00860AC3" w:rsidRPr="00860AC3" w:rsidRDefault="00860AC3" w:rsidP="00860AC3">
      <w:pPr>
        <w:spacing w:before="100" w:beforeAutospacing="1" w:after="100" w:afterAutospacing="1"/>
        <w:outlineLvl w:val="2"/>
        <w:rPr>
          <w:b/>
          <w:bCs/>
          <w:sz w:val="27"/>
          <w:szCs w:val="27"/>
        </w:rPr>
      </w:pPr>
      <w:r w:rsidRPr="00860AC3">
        <w:rPr>
          <w:b/>
          <w:bCs/>
          <w:sz w:val="27"/>
          <w:szCs w:val="27"/>
        </w:rPr>
        <w:t>3. Proposal for AI Regulation (AI Act, 2024)</w:t>
      </w:r>
    </w:p>
    <w:p w14:paraId="017F09FE" w14:textId="77777777" w:rsidR="00860AC3" w:rsidRPr="00860AC3" w:rsidRDefault="00860AC3" w:rsidP="00860AC3">
      <w:pPr>
        <w:spacing w:before="100" w:beforeAutospacing="1" w:after="100" w:afterAutospacing="1"/>
      </w:pPr>
      <w:r w:rsidRPr="00860AC3">
        <w:t>The AI Act aims to establish harmonized rules for the development and deployment of AI systems, ensuring they are safe, transparent, and respect fundamental rights.</w:t>
      </w:r>
    </w:p>
    <w:p w14:paraId="01AEF7D2" w14:textId="77777777" w:rsidR="00860AC3" w:rsidRPr="00860AC3" w:rsidRDefault="00860AC3" w:rsidP="00860AC3">
      <w:pPr>
        <w:spacing w:before="100" w:beforeAutospacing="1" w:after="100" w:afterAutospacing="1"/>
        <w:outlineLvl w:val="3"/>
        <w:rPr>
          <w:b/>
          <w:bCs/>
        </w:rPr>
      </w:pPr>
      <w:r w:rsidRPr="00860AC3">
        <w:rPr>
          <w:b/>
          <w:bCs/>
        </w:rPr>
        <w:t>Key Provisions</w:t>
      </w:r>
    </w:p>
    <w:p w14:paraId="3065DCA7" w14:textId="77777777" w:rsidR="00860AC3" w:rsidRPr="00860AC3" w:rsidRDefault="00860AC3" w:rsidP="00860AC3">
      <w:pPr>
        <w:spacing w:before="100" w:beforeAutospacing="1" w:after="100" w:afterAutospacing="1"/>
      </w:pPr>
      <w:r w:rsidRPr="00860AC3">
        <w:rPr>
          <w:b/>
          <w:bCs/>
        </w:rPr>
        <w:t>Article 9: Risk Management System</w:t>
      </w:r>
    </w:p>
    <w:p w14:paraId="4ECEBBD5" w14:textId="77777777" w:rsidR="00860AC3" w:rsidRPr="00860AC3" w:rsidRDefault="00860AC3" w:rsidP="00860AC3">
      <w:pPr>
        <w:numPr>
          <w:ilvl w:val="0"/>
          <w:numId w:val="72"/>
        </w:numPr>
        <w:spacing w:before="100" w:beforeAutospacing="1" w:after="100" w:afterAutospacing="1"/>
      </w:pPr>
      <w:r w:rsidRPr="00860AC3">
        <w:rPr>
          <w:b/>
          <w:bCs/>
        </w:rPr>
        <w:t>English:</w:t>
      </w:r>
      <w:r w:rsidRPr="00860AC3">
        <w:t xml:space="preserve"> “Providers of high-risk AI systems shall establish a risk management system to identify, analyze, and mitigate risks related to the security and robustness of AI systems.”</w:t>
      </w:r>
    </w:p>
    <w:p w14:paraId="6C08BEAB" w14:textId="77777777" w:rsidR="00860AC3" w:rsidRPr="00860AC3" w:rsidRDefault="00860AC3" w:rsidP="00860AC3">
      <w:pPr>
        <w:numPr>
          <w:ilvl w:val="0"/>
          <w:numId w:val="72"/>
        </w:numPr>
        <w:spacing w:before="100" w:beforeAutospacing="1" w:after="100" w:afterAutospacing="1"/>
      </w:pPr>
      <w:r w:rsidRPr="00860AC3">
        <w:rPr>
          <w:b/>
          <w:bCs/>
        </w:rPr>
        <w:t>Chinese:</w:t>
      </w:r>
      <w:r w:rsidRPr="00860AC3">
        <w:t xml:space="preserve"> “高风险人工智能系统的提供者应建立风险管理系统，以识别、分析和减少与人工智能系统安全和突发性相关的风险。”</w:t>
      </w:r>
    </w:p>
    <w:p w14:paraId="26879804" w14:textId="77777777" w:rsidR="00860AC3" w:rsidRPr="00860AC3" w:rsidRDefault="00860AC3" w:rsidP="00860AC3">
      <w:pPr>
        <w:spacing w:before="100" w:beforeAutospacing="1" w:after="100" w:afterAutospacing="1"/>
      </w:pPr>
      <w:r w:rsidRPr="00860AC3">
        <w:rPr>
          <w:b/>
          <w:bCs/>
        </w:rPr>
        <w:t>Article 13: Transparency Obligations</w:t>
      </w:r>
    </w:p>
    <w:p w14:paraId="3ADF8887" w14:textId="77777777" w:rsidR="00860AC3" w:rsidRPr="00860AC3" w:rsidRDefault="00860AC3" w:rsidP="00860AC3">
      <w:pPr>
        <w:numPr>
          <w:ilvl w:val="0"/>
          <w:numId w:val="73"/>
        </w:numPr>
        <w:spacing w:before="100" w:beforeAutospacing="1" w:after="100" w:afterAutospacing="1"/>
      </w:pPr>
      <w:r w:rsidRPr="00860AC3">
        <w:rPr>
          <w:b/>
          <w:bCs/>
        </w:rPr>
        <w:t>English:</w:t>
      </w:r>
      <w:r w:rsidRPr="00860AC3">
        <w:t xml:space="preserve"> “High-risk AI systems shall be accompanied by instructions for use and detailed documentation on their capabilities, limitations, and the intended purpose.”</w:t>
      </w:r>
    </w:p>
    <w:p w14:paraId="2C8569ED" w14:textId="77777777" w:rsidR="00860AC3" w:rsidRPr="00860AC3" w:rsidRDefault="00860AC3" w:rsidP="00860AC3">
      <w:pPr>
        <w:numPr>
          <w:ilvl w:val="0"/>
          <w:numId w:val="73"/>
        </w:numPr>
        <w:spacing w:before="100" w:beforeAutospacing="1" w:after="100" w:afterAutospacing="1"/>
      </w:pPr>
      <w:r w:rsidRPr="00860AC3">
        <w:rPr>
          <w:b/>
          <w:bCs/>
        </w:rPr>
        <w:t>Chinese:</w:t>
      </w:r>
      <w:r w:rsidRPr="00860AC3">
        <w:t xml:space="preserve"> “高风险人工智能系统应配处使用指导和详细文档，说明其能力、限制和预期用途。”</w:t>
      </w:r>
    </w:p>
    <w:p w14:paraId="153D7C7F" w14:textId="77777777" w:rsidR="00860AC3" w:rsidRPr="00860AC3" w:rsidRDefault="00860AC3" w:rsidP="00860AC3">
      <w:pPr>
        <w:spacing w:before="100" w:beforeAutospacing="1" w:after="100" w:afterAutospacing="1"/>
        <w:outlineLvl w:val="3"/>
        <w:rPr>
          <w:b/>
          <w:bCs/>
        </w:rPr>
      </w:pPr>
      <w:r w:rsidRPr="00860AC3">
        <w:rPr>
          <w:b/>
          <w:bCs/>
        </w:rPr>
        <w:t>Relationship to NIS Directive and GDPR</w:t>
      </w:r>
    </w:p>
    <w:p w14:paraId="72DDCDFB" w14:textId="77777777" w:rsidR="00860AC3" w:rsidRPr="00860AC3" w:rsidRDefault="00860AC3" w:rsidP="00860AC3">
      <w:pPr>
        <w:spacing w:before="100" w:beforeAutospacing="1" w:after="100" w:afterAutospacing="1"/>
      </w:pPr>
      <w:r w:rsidRPr="00860AC3">
        <w:t>The AI Act complements the GDPR and NIS Directive by establishing specific requirements for AI systems. It focuses on risk management and transparency to mitigate information security risks associated with AI.</w:t>
      </w:r>
    </w:p>
    <w:p w14:paraId="4233F8B7" w14:textId="77777777" w:rsidR="00860AC3" w:rsidRPr="00860AC3" w:rsidRDefault="00F81BAE" w:rsidP="00860AC3">
      <w:r w:rsidRPr="00860AC3">
        <w:rPr>
          <w:noProof/>
        </w:rPr>
        <w:pict w14:anchorId="7980D518">
          <v:rect id="_x0000_i1276" alt="" style="width:415.3pt;height:.05pt;mso-width-percent:0;mso-height-percent:0;mso-width-percent:0;mso-height-percent:0" o:hralign="center" o:hrstd="t" o:hr="t" fillcolor="#a0a0a0" stroked="f"/>
        </w:pict>
      </w:r>
    </w:p>
    <w:p w14:paraId="5ED958EC" w14:textId="77777777" w:rsidR="00860AC3" w:rsidRPr="00860AC3" w:rsidRDefault="00860AC3" w:rsidP="00860AC3">
      <w:pPr>
        <w:spacing w:before="100" w:beforeAutospacing="1" w:after="100" w:afterAutospacing="1"/>
        <w:outlineLvl w:val="2"/>
        <w:rPr>
          <w:b/>
          <w:bCs/>
          <w:sz w:val="27"/>
          <w:szCs w:val="27"/>
        </w:rPr>
      </w:pPr>
      <w:r w:rsidRPr="00860AC3">
        <w:rPr>
          <w:b/>
          <w:bCs/>
          <w:sz w:val="27"/>
          <w:szCs w:val="27"/>
        </w:rPr>
        <w:t>Conclusion</w:t>
      </w:r>
    </w:p>
    <w:p w14:paraId="53354AC6" w14:textId="77777777" w:rsidR="00860AC3" w:rsidRPr="00860AC3" w:rsidRDefault="00860AC3" w:rsidP="00860AC3">
      <w:pPr>
        <w:spacing w:before="100" w:beforeAutospacing="1" w:after="100" w:afterAutospacing="1"/>
      </w:pPr>
      <w:r w:rsidRPr="00860AC3">
        <w:lastRenderedPageBreak/>
        <w:t>The NIS Directive, GDPR, and AI Act collectively ensure a robust framework for information security. The NIS Directive addresses the security of networks and systems, GDPR safeguards personal data, and the AI Act introduces specific measures for the secure deployment of AI systems. Together, they promote a secure and transparent digital ecosystem.</w:t>
      </w:r>
    </w:p>
    <w:p w14:paraId="26572E8C" w14:textId="77777777" w:rsidR="00860AC3" w:rsidRDefault="00860AC3">
      <w:pPr>
        <w:rPr>
          <w:b/>
          <w:bCs/>
          <w:highlight w:val="cyan"/>
        </w:rPr>
      </w:pPr>
    </w:p>
    <w:p w14:paraId="539BD574" w14:textId="77777777" w:rsidR="00860AC3" w:rsidRPr="00860AC3" w:rsidRDefault="00860AC3" w:rsidP="00860AC3">
      <w:pPr>
        <w:spacing w:before="100" w:beforeAutospacing="1" w:after="100" w:afterAutospacing="1"/>
        <w:outlineLvl w:val="2"/>
        <w:rPr>
          <w:b/>
          <w:bCs/>
          <w:sz w:val="27"/>
          <w:szCs w:val="27"/>
        </w:rPr>
      </w:pPr>
      <w:r w:rsidRPr="00860AC3">
        <w:rPr>
          <w:b/>
          <w:bCs/>
          <w:sz w:val="27"/>
          <w:szCs w:val="27"/>
        </w:rPr>
        <w:t>总结：NIS指令、GDPR与AI法案的关系</w:t>
      </w:r>
    </w:p>
    <w:p w14:paraId="1C58A154" w14:textId="77777777" w:rsidR="00860AC3" w:rsidRPr="00860AC3" w:rsidRDefault="00860AC3" w:rsidP="00860AC3">
      <w:pPr>
        <w:numPr>
          <w:ilvl w:val="0"/>
          <w:numId w:val="74"/>
        </w:numPr>
        <w:spacing w:before="100" w:beforeAutospacing="1" w:after="100" w:afterAutospacing="1"/>
      </w:pPr>
      <w:r w:rsidRPr="00860AC3">
        <w:rPr>
          <w:b/>
          <w:bCs/>
        </w:rPr>
        <w:t>NIS指令（网络与信息系统安全指令）</w:t>
      </w:r>
    </w:p>
    <w:p w14:paraId="0F31D35C" w14:textId="77777777" w:rsidR="00860AC3" w:rsidRPr="00860AC3" w:rsidRDefault="00860AC3" w:rsidP="00860AC3">
      <w:pPr>
        <w:numPr>
          <w:ilvl w:val="1"/>
          <w:numId w:val="74"/>
        </w:numPr>
        <w:spacing w:before="100" w:beforeAutospacing="1" w:after="100" w:afterAutospacing="1"/>
      </w:pPr>
      <w:r w:rsidRPr="00860AC3">
        <w:t>主要关注网络和信息系统的安全，要求关键服务运营商和数字服务提供商采取适当的技术和组织措施，以管理安全风险。</w:t>
      </w:r>
    </w:p>
    <w:p w14:paraId="05861A9C" w14:textId="77777777" w:rsidR="00860AC3" w:rsidRPr="00860AC3" w:rsidRDefault="00860AC3" w:rsidP="00860AC3">
      <w:pPr>
        <w:numPr>
          <w:ilvl w:val="1"/>
          <w:numId w:val="74"/>
        </w:numPr>
        <w:spacing w:before="100" w:beforeAutospacing="1" w:after="100" w:afterAutospacing="1"/>
      </w:pPr>
      <w:r w:rsidRPr="00860AC3">
        <w:t>与GDPR和AI法案的关联：NIS指令确保处理个人数据和AI系统所依赖的基础设施具备安全性。</w:t>
      </w:r>
    </w:p>
    <w:p w14:paraId="04B79044" w14:textId="77777777" w:rsidR="00860AC3" w:rsidRPr="00860AC3" w:rsidRDefault="00860AC3" w:rsidP="00860AC3">
      <w:pPr>
        <w:numPr>
          <w:ilvl w:val="0"/>
          <w:numId w:val="74"/>
        </w:numPr>
        <w:spacing w:before="100" w:beforeAutospacing="1" w:after="100" w:afterAutospacing="1"/>
      </w:pPr>
      <w:r w:rsidRPr="00860AC3">
        <w:rPr>
          <w:b/>
          <w:bCs/>
        </w:rPr>
        <w:t>GDPR（通用数据保护条例）</w:t>
      </w:r>
    </w:p>
    <w:p w14:paraId="11264005" w14:textId="77777777" w:rsidR="00860AC3" w:rsidRPr="00860AC3" w:rsidRDefault="00860AC3" w:rsidP="00860AC3">
      <w:pPr>
        <w:numPr>
          <w:ilvl w:val="1"/>
          <w:numId w:val="74"/>
        </w:numPr>
        <w:spacing w:before="100" w:beforeAutospacing="1" w:after="100" w:afterAutospacing="1"/>
      </w:pPr>
      <w:r w:rsidRPr="00860AC3">
        <w:t>强调个人数据的保护，包括数据的合法性、公平性、透明性及安全性。</w:t>
      </w:r>
    </w:p>
    <w:p w14:paraId="0372C5F4" w14:textId="77777777" w:rsidR="00860AC3" w:rsidRPr="00860AC3" w:rsidRDefault="00860AC3" w:rsidP="00860AC3">
      <w:pPr>
        <w:numPr>
          <w:ilvl w:val="1"/>
          <w:numId w:val="74"/>
        </w:numPr>
        <w:spacing w:before="100" w:beforeAutospacing="1" w:after="100" w:afterAutospacing="1"/>
      </w:pPr>
      <w:r w:rsidRPr="00860AC3">
        <w:t>与NIS指令的关联：GDPR侧重保护个人数据，而NIS指令强调基础设施的整体安全性。</w:t>
      </w:r>
    </w:p>
    <w:p w14:paraId="6520D5B7" w14:textId="77777777" w:rsidR="00860AC3" w:rsidRPr="00860AC3" w:rsidRDefault="00860AC3" w:rsidP="00860AC3">
      <w:pPr>
        <w:numPr>
          <w:ilvl w:val="1"/>
          <w:numId w:val="74"/>
        </w:numPr>
        <w:spacing w:before="100" w:beforeAutospacing="1" w:after="100" w:afterAutospacing="1"/>
      </w:pPr>
      <w:r w:rsidRPr="00860AC3">
        <w:t>与AI法案的关联：GDPR要求对AI系统中使用的个人数据进行保护。</w:t>
      </w:r>
    </w:p>
    <w:p w14:paraId="37B3B089" w14:textId="77777777" w:rsidR="00860AC3" w:rsidRPr="00860AC3" w:rsidRDefault="00860AC3" w:rsidP="00860AC3">
      <w:pPr>
        <w:numPr>
          <w:ilvl w:val="0"/>
          <w:numId w:val="74"/>
        </w:numPr>
        <w:spacing w:before="100" w:beforeAutospacing="1" w:after="100" w:afterAutospacing="1"/>
      </w:pPr>
      <w:r w:rsidRPr="00860AC3">
        <w:rPr>
          <w:b/>
          <w:bCs/>
        </w:rPr>
        <w:t>AI法案（人工智能法案，2024提案）</w:t>
      </w:r>
    </w:p>
    <w:p w14:paraId="0388568F" w14:textId="77777777" w:rsidR="00860AC3" w:rsidRPr="00860AC3" w:rsidRDefault="00860AC3" w:rsidP="00860AC3">
      <w:pPr>
        <w:numPr>
          <w:ilvl w:val="1"/>
          <w:numId w:val="74"/>
        </w:numPr>
        <w:spacing w:before="100" w:beforeAutospacing="1" w:after="100" w:afterAutospacing="1"/>
      </w:pPr>
      <w:r w:rsidRPr="00860AC3">
        <w:t>为AI系统的开发和部署设定统一规则，确保其安全、透明，且符合基本权利。</w:t>
      </w:r>
    </w:p>
    <w:p w14:paraId="206D56CF" w14:textId="77777777" w:rsidR="00860AC3" w:rsidRPr="00860AC3" w:rsidRDefault="00860AC3" w:rsidP="00860AC3">
      <w:pPr>
        <w:numPr>
          <w:ilvl w:val="1"/>
          <w:numId w:val="74"/>
        </w:numPr>
        <w:spacing w:before="100" w:beforeAutospacing="1" w:after="100" w:afterAutospacing="1"/>
      </w:pPr>
      <w:r w:rsidRPr="00860AC3">
        <w:t>风险管理和透明度要求与GDPR和NIS指令的目标一致，特别是在高风险AI系统的管理和数据保护方面。</w:t>
      </w:r>
    </w:p>
    <w:p w14:paraId="1DA81925" w14:textId="77777777" w:rsidR="00860AC3" w:rsidRPr="00860AC3" w:rsidRDefault="00860AC3" w:rsidP="00860AC3">
      <w:pPr>
        <w:spacing w:before="100" w:beforeAutospacing="1" w:after="100" w:afterAutospacing="1"/>
      </w:pPr>
      <w:r w:rsidRPr="00860AC3">
        <w:rPr>
          <w:b/>
          <w:bCs/>
        </w:rPr>
        <w:t>总体关系：</w:t>
      </w:r>
      <w:r w:rsidRPr="00860AC3">
        <w:br/>
        <w:t>NIS指令确保网络和系统的安全，GDPR保护个人数据，AI法案为AI系统的安全和透明提供规范。三者共同构建了一个全面的信息安全和数据保护框架。</w:t>
      </w:r>
    </w:p>
    <w:p w14:paraId="545ABACB" w14:textId="77777777" w:rsidR="00860AC3" w:rsidRDefault="00860AC3">
      <w:pPr>
        <w:rPr>
          <w:b/>
          <w:bCs/>
          <w:highlight w:val="cyan"/>
        </w:rPr>
      </w:pPr>
    </w:p>
    <w:p w14:paraId="12D9EA65" w14:textId="77777777" w:rsidR="00925D0B" w:rsidRDefault="00925D0B">
      <w:pPr>
        <w:rPr>
          <w:b/>
          <w:bCs/>
          <w:highlight w:val="cyan"/>
        </w:rPr>
      </w:pPr>
    </w:p>
    <w:p w14:paraId="5B5B94F4" w14:textId="77777777" w:rsidR="00925D0B" w:rsidRDefault="00925D0B">
      <w:pPr>
        <w:rPr>
          <w:b/>
          <w:bCs/>
          <w:highlight w:val="cyan"/>
        </w:rPr>
      </w:pPr>
    </w:p>
    <w:p w14:paraId="19246661" w14:textId="77777777" w:rsidR="00925D0B" w:rsidRDefault="00925D0B">
      <w:pPr>
        <w:rPr>
          <w:b/>
          <w:bCs/>
          <w:highlight w:val="cyan"/>
        </w:rPr>
      </w:pPr>
    </w:p>
    <w:p w14:paraId="369D773B" w14:textId="77777777" w:rsidR="00925D0B" w:rsidRDefault="00925D0B">
      <w:pPr>
        <w:rPr>
          <w:b/>
          <w:bCs/>
          <w:highlight w:val="cyan"/>
        </w:rPr>
      </w:pPr>
    </w:p>
    <w:p w14:paraId="134C472B" w14:textId="77777777" w:rsidR="00925D0B" w:rsidRDefault="00925D0B">
      <w:pPr>
        <w:rPr>
          <w:b/>
          <w:bCs/>
          <w:highlight w:val="cyan"/>
        </w:rPr>
      </w:pPr>
    </w:p>
    <w:p w14:paraId="3A898CF8" w14:textId="77777777" w:rsidR="00925D0B" w:rsidRDefault="00925D0B">
      <w:pPr>
        <w:rPr>
          <w:b/>
          <w:bCs/>
          <w:highlight w:val="cyan"/>
        </w:rPr>
      </w:pPr>
    </w:p>
    <w:p w14:paraId="5C9942FB" w14:textId="77777777" w:rsidR="00925D0B" w:rsidRDefault="00925D0B">
      <w:pPr>
        <w:rPr>
          <w:b/>
          <w:bCs/>
          <w:highlight w:val="cyan"/>
        </w:rPr>
      </w:pPr>
    </w:p>
    <w:p w14:paraId="14DEE50A" w14:textId="77777777" w:rsidR="00925D0B" w:rsidRDefault="00925D0B">
      <w:pPr>
        <w:rPr>
          <w:b/>
          <w:bCs/>
          <w:highlight w:val="cyan"/>
        </w:rPr>
      </w:pPr>
    </w:p>
    <w:p w14:paraId="5B1A3299" w14:textId="77777777" w:rsidR="00925D0B" w:rsidRDefault="00925D0B">
      <w:pPr>
        <w:rPr>
          <w:b/>
          <w:bCs/>
          <w:highlight w:val="cyan"/>
        </w:rPr>
      </w:pPr>
    </w:p>
    <w:p w14:paraId="736C4A8A" w14:textId="77777777" w:rsidR="00925D0B" w:rsidRDefault="00925D0B">
      <w:pPr>
        <w:rPr>
          <w:b/>
          <w:bCs/>
          <w:highlight w:val="cyan"/>
        </w:rPr>
      </w:pPr>
    </w:p>
    <w:p w14:paraId="3FF1780F" w14:textId="0987191A" w:rsidR="00925D0B" w:rsidRDefault="00925D0B" w:rsidP="00925D0B">
      <w:pPr>
        <w:rPr>
          <w:b/>
          <w:bCs/>
          <w:highlight w:val="yellow"/>
        </w:rPr>
      </w:pPr>
      <w:r w:rsidRPr="00925D0B">
        <w:rPr>
          <w:rFonts w:hint="eastAsia"/>
          <w:b/>
          <w:bCs/>
          <w:highlight w:val="yellow"/>
        </w:rPr>
        <w:lastRenderedPageBreak/>
        <w:t>电子签名类题目</w:t>
      </w:r>
    </w:p>
    <w:p w14:paraId="493786E9" w14:textId="77777777" w:rsidR="00925D0B" w:rsidRDefault="00925D0B" w:rsidP="00925D0B">
      <w:pPr>
        <w:rPr>
          <w:b/>
          <w:bCs/>
          <w:highlight w:val="yellow"/>
        </w:rPr>
      </w:pPr>
    </w:p>
    <w:p w14:paraId="19A0C40E" w14:textId="77777777" w:rsidR="00925D0B" w:rsidRDefault="00925D0B" w:rsidP="00925D0B">
      <w:pPr>
        <w:pStyle w:val="3"/>
        <w:rPr>
          <w:rFonts w:ascii="宋体" w:eastAsia="宋体" w:hAnsi="宋体" w:cs="宋体"/>
          <w:sz w:val="27"/>
        </w:rPr>
      </w:pPr>
      <w:r>
        <w:t>Memorandum</w:t>
      </w:r>
    </w:p>
    <w:p w14:paraId="478E02F6" w14:textId="77777777" w:rsidR="00925D0B" w:rsidRDefault="00925D0B" w:rsidP="00925D0B">
      <w:pPr>
        <w:pStyle w:val="af"/>
      </w:pPr>
      <w:r>
        <w:rPr>
          <w:rStyle w:val="ae"/>
        </w:rPr>
        <w:t>To:</w:t>
      </w:r>
      <w:r>
        <w:t xml:space="preserve"> Management Team, Biz Wiz</w:t>
      </w:r>
      <w:r>
        <w:br/>
      </w:r>
      <w:r>
        <w:rPr>
          <w:rStyle w:val="ae"/>
        </w:rPr>
        <w:t>From:</w:t>
      </w:r>
      <w:r>
        <w:t xml:space="preserve"> [Your Name]</w:t>
      </w:r>
      <w:r>
        <w:br/>
      </w:r>
      <w:r>
        <w:rPr>
          <w:rStyle w:val="ae"/>
        </w:rPr>
        <w:t>Date:</w:t>
      </w:r>
      <w:r>
        <w:t xml:space="preserve"> [Today's Date]</w:t>
      </w:r>
      <w:r>
        <w:br/>
      </w:r>
      <w:r>
        <w:rPr>
          <w:rStyle w:val="ae"/>
        </w:rPr>
        <w:t>Subject:</w:t>
      </w:r>
      <w:r>
        <w:t xml:space="preserve"> Legal Considerations for Implementing Electronic Signatures</w:t>
      </w:r>
    </w:p>
    <w:p w14:paraId="2E1461D9" w14:textId="77777777" w:rsidR="00925D0B" w:rsidRDefault="00F81BAE" w:rsidP="00925D0B">
      <w:r>
        <w:rPr>
          <w:noProof/>
        </w:rPr>
        <w:pict w14:anchorId="3AA2006F">
          <v:rect id="_x0000_i1275" alt="" style="width:415.3pt;height:.05pt;mso-width-percent:0;mso-height-percent:0;mso-width-percent:0;mso-height-percent:0" o:hralign="center" o:hrstd="t" o:hr="t" fillcolor="#a0a0a0" stroked="f"/>
        </w:pict>
      </w:r>
    </w:p>
    <w:p w14:paraId="5EFA8A70" w14:textId="77777777" w:rsidR="00925D0B" w:rsidRDefault="00925D0B" w:rsidP="00925D0B">
      <w:pPr>
        <w:pStyle w:val="4"/>
      </w:pPr>
      <w:r>
        <w:t>Introduction</w:t>
      </w:r>
    </w:p>
    <w:p w14:paraId="4C9DC4E7" w14:textId="77777777" w:rsidR="00925D0B" w:rsidRDefault="00925D0B" w:rsidP="00925D0B">
      <w:pPr>
        <w:pStyle w:val="af"/>
      </w:pPr>
      <w:r>
        <w:t>The Covid-19 pandemic has necessitated the shift from traditional "wet ink" signatures to electronic signatures (e-signatures). E-signatures offer a flexible, secure, and efficient method for signing documents remotely. This memorandum explains the legal framework governing e-signatures, their validity and enforceability, and the necessary steps to ensure their compliant use at Biz Wiz.</w:t>
      </w:r>
    </w:p>
    <w:p w14:paraId="5B97A011" w14:textId="77777777" w:rsidR="00925D0B" w:rsidRDefault="00F81BAE" w:rsidP="00925D0B">
      <w:r>
        <w:rPr>
          <w:noProof/>
        </w:rPr>
        <w:pict w14:anchorId="7AAE8E84">
          <v:rect id="_x0000_i1274" alt="" style="width:415.3pt;height:.05pt;mso-width-percent:0;mso-height-percent:0;mso-width-percent:0;mso-height-percent:0" o:hralign="center" o:hrstd="t" o:hr="t" fillcolor="#a0a0a0" stroked="f"/>
        </w:pict>
      </w:r>
    </w:p>
    <w:p w14:paraId="62E49752" w14:textId="77777777" w:rsidR="00925D0B" w:rsidRDefault="00925D0B" w:rsidP="00925D0B">
      <w:pPr>
        <w:pStyle w:val="4"/>
      </w:pPr>
      <w:r>
        <w:t>1. What Are Electronic Signatures?</w:t>
      </w:r>
    </w:p>
    <w:p w14:paraId="768E1B3F" w14:textId="77777777" w:rsidR="00925D0B" w:rsidRDefault="00925D0B" w:rsidP="00925D0B">
      <w:pPr>
        <w:pStyle w:val="af"/>
      </w:pPr>
      <w:r>
        <w:t xml:space="preserve">An electronic signature is a digital equivalent of a handwritten signature. Under the </w:t>
      </w:r>
      <w:proofErr w:type="spellStart"/>
      <w:r>
        <w:t>eIDAS</w:t>
      </w:r>
      <w:proofErr w:type="spellEnd"/>
      <w:r>
        <w:t xml:space="preserve"> Regulation in the EU and the Electronic Signatures in Global and National Commerce Act (E-SIGN Act) in the US, e-signatures are broadly defined as "an electronic sound, symbol, or process attached to or logically associated with a document and executed with the intent to sign it."</w:t>
      </w:r>
    </w:p>
    <w:p w14:paraId="44B846C2" w14:textId="77777777" w:rsidR="00925D0B" w:rsidRDefault="00925D0B" w:rsidP="00925D0B">
      <w:pPr>
        <w:pStyle w:val="af"/>
      </w:pPr>
      <w:r>
        <w:t>Types of e-signatures include:</w:t>
      </w:r>
    </w:p>
    <w:p w14:paraId="6C7F5884" w14:textId="77777777" w:rsidR="00925D0B" w:rsidRDefault="00925D0B" w:rsidP="00925D0B">
      <w:pPr>
        <w:pStyle w:val="af"/>
        <w:numPr>
          <w:ilvl w:val="0"/>
          <w:numId w:val="81"/>
        </w:numPr>
      </w:pPr>
      <w:r>
        <w:rPr>
          <w:rStyle w:val="ae"/>
        </w:rPr>
        <w:t>Simple Electronic Signatures (SES):</w:t>
      </w:r>
      <w:r>
        <w:t xml:space="preserve"> Basic forms like scanned images of signatures.</w:t>
      </w:r>
    </w:p>
    <w:p w14:paraId="6C73AA33" w14:textId="77777777" w:rsidR="00925D0B" w:rsidRDefault="00925D0B" w:rsidP="00925D0B">
      <w:pPr>
        <w:pStyle w:val="af"/>
        <w:numPr>
          <w:ilvl w:val="0"/>
          <w:numId w:val="81"/>
        </w:numPr>
      </w:pPr>
      <w:r>
        <w:rPr>
          <w:rStyle w:val="ae"/>
        </w:rPr>
        <w:t>Advanced Electronic Signatures (AES):</w:t>
      </w:r>
      <w:r>
        <w:t xml:space="preserve"> Requires unique linkage to the signatory and the ability to detect changes made to the signed data.</w:t>
      </w:r>
    </w:p>
    <w:p w14:paraId="2C555619" w14:textId="77777777" w:rsidR="00925D0B" w:rsidRDefault="00925D0B" w:rsidP="00925D0B">
      <w:pPr>
        <w:pStyle w:val="af"/>
        <w:numPr>
          <w:ilvl w:val="0"/>
          <w:numId w:val="81"/>
        </w:numPr>
      </w:pPr>
      <w:r>
        <w:rPr>
          <w:rStyle w:val="ae"/>
        </w:rPr>
        <w:t>Qualified Electronic Signatures (QES):</w:t>
      </w:r>
      <w:r>
        <w:t xml:space="preserve"> Meets the highest standards and involves a qualified certificate issued by a trust service provider.</w:t>
      </w:r>
    </w:p>
    <w:p w14:paraId="60D4C264" w14:textId="77777777" w:rsidR="00925D0B" w:rsidRDefault="00F81BAE" w:rsidP="00925D0B">
      <w:r>
        <w:rPr>
          <w:noProof/>
        </w:rPr>
        <w:pict w14:anchorId="4039C0FB">
          <v:rect id="_x0000_i1273" alt="" style="width:415.3pt;height:.05pt;mso-width-percent:0;mso-height-percent:0;mso-width-percent:0;mso-height-percent:0" o:hralign="center" o:hrstd="t" o:hr="t" fillcolor="#a0a0a0" stroked="f"/>
        </w:pict>
      </w:r>
    </w:p>
    <w:p w14:paraId="5D3250D7" w14:textId="77777777" w:rsidR="00925D0B" w:rsidRDefault="00925D0B" w:rsidP="00925D0B">
      <w:pPr>
        <w:pStyle w:val="4"/>
      </w:pPr>
      <w:r>
        <w:lastRenderedPageBreak/>
        <w:t>2. Legal Framework for E-Signatures</w:t>
      </w:r>
    </w:p>
    <w:p w14:paraId="6E543220" w14:textId="77777777" w:rsidR="00925D0B" w:rsidRDefault="00925D0B" w:rsidP="00925D0B">
      <w:pPr>
        <w:pStyle w:val="5"/>
      </w:pPr>
      <w:r>
        <w:t xml:space="preserve">2.1. </w:t>
      </w:r>
      <w:proofErr w:type="spellStart"/>
      <w:r>
        <w:t>eIDAS</w:t>
      </w:r>
      <w:proofErr w:type="spellEnd"/>
      <w:r>
        <w:t xml:space="preserve"> Regulation (EU)</w:t>
      </w:r>
    </w:p>
    <w:p w14:paraId="2F13F6A7" w14:textId="77777777" w:rsidR="00925D0B" w:rsidRDefault="00925D0B" w:rsidP="00925D0B">
      <w:pPr>
        <w:pStyle w:val="af"/>
      </w:pPr>
      <w:r>
        <w:t xml:space="preserve">The </w:t>
      </w:r>
      <w:proofErr w:type="spellStart"/>
      <w:r>
        <w:t>eIDAS</w:t>
      </w:r>
      <w:proofErr w:type="spellEnd"/>
      <w:r>
        <w:t xml:space="preserve"> Regulation (EU Regulation No 910/2014) establishes the legal framework for e-signatures within the European Union. Key provisions include:</w:t>
      </w:r>
    </w:p>
    <w:p w14:paraId="2BEA3644" w14:textId="77777777" w:rsidR="00925D0B" w:rsidRDefault="00925D0B" w:rsidP="00925D0B">
      <w:pPr>
        <w:pStyle w:val="af"/>
        <w:numPr>
          <w:ilvl w:val="0"/>
          <w:numId w:val="82"/>
        </w:numPr>
      </w:pPr>
      <w:r>
        <w:rPr>
          <w:rStyle w:val="ae"/>
        </w:rPr>
        <w:t>Article 3(10):</w:t>
      </w:r>
      <w:r>
        <w:t xml:space="preserve"> Definition of a qualified electronic signature.</w:t>
      </w:r>
      <w:r>
        <w:br/>
      </w:r>
      <w:r>
        <w:rPr>
          <w:rStyle w:val="ae"/>
        </w:rPr>
        <w:t>英文:</w:t>
      </w:r>
      <w:r>
        <w:t xml:space="preserve"> "'Qualified electronic signature' means an advanced electronic signature that is created by a qualified electronic signature creation </w:t>
      </w:r>
      <w:proofErr w:type="gramStart"/>
      <w:r>
        <w:t>device</w:t>
      </w:r>
      <w:proofErr w:type="gramEnd"/>
      <w:r>
        <w:t xml:space="preserve"> and which is based on a qualified certificate for electronic signatures."</w:t>
      </w:r>
      <w:r>
        <w:br/>
      </w:r>
      <w:r>
        <w:rPr>
          <w:rStyle w:val="ae"/>
        </w:rPr>
        <w:t>中文:</w:t>
      </w:r>
      <w:r>
        <w:t xml:space="preserve"> “‘有资格电子签名’指通过有资格电子签名创建设备创建并基于有资格证书的高级电子签名。”</w:t>
      </w:r>
    </w:p>
    <w:p w14:paraId="5330A120" w14:textId="77777777" w:rsidR="00925D0B" w:rsidRDefault="00925D0B" w:rsidP="00925D0B">
      <w:pPr>
        <w:pStyle w:val="af"/>
        <w:numPr>
          <w:ilvl w:val="0"/>
          <w:numId w:val="82"/>
        </w:numPr>
      </w:pPr>
      <w:r>
        <w:rPr>
          <w:rStyle w:val="ae"/>
        </w:rPr>
        <w:t>Article 25(1):</w:t>
      </w:r>
      <w:r>
        <w:t xml:space="preserve"> Legal effect of electronic signatures.</w:t>
      </w:r>
      <w:r>
        <w:br/>
      </w:r>
      <w:r>
        <w:rPr>
          <w:rStyle w:val="ae"/>
        </w:rPr>
        <w:t>英文:</w:t>
      </w:r>
      <w:r>
        <w:t xml:space="preserve"> "An electronic signature shall not be denied legal effect and admissibility as evidence in legal proceedings solely on the grounds that it is in electronic form."</w:t>
      </w:r>
      <w:r>
        <w:br/>
      </w:r>
      <w:r>
        <w:rPr>
          <w:rStyle w:val="ae"/>
        </w:rPr>
        <w:t>中文:</w:t>
      </w:r>
      <w:r>
        <w:t xml:space="preserve"> “电子签名不应依其为电子形式而拒绝其法律效力和在法律证据中的可接受性。”</w:t>
      </w:r>
    </w:p>
    <w:p w14:paraId="0BA21AFA" w14:textId="77777777" w:rsidR="00925D0B" w:rsidRDefault="00925D0B" w:rsidP="00925D0B">
      <w:pPr>
        <w:pStyle w:val="af"/>
        <w:numPr>
          <w:ilvl w:val="0"/>
          <w:numId w:val="82"/>
        </w:numPr>
      </w:pPr>
      <w:r>
        <w:rPr>
          <w:rStyle w:val="ae"/>
        </w:rPr>
        <w:t>Article 27:</w:t>
      </w:r>
      <w:r>
        <w:t xml:space="preserve"> Requirements for trust service providers issuing qualified certificates.</w:t>
      </w:r>
      <w:r>
        <w:br/>
      </w:r>
      <w:r>
        <w:rPr>
          <w:rStyle w:val="ae"/>
        </w:rPr>
        <w:t>英文:</w:t>
      </w:r>
      <w:r>
        <w:t xml:space="preserve"> "A qualified trust service provider issuing qualified certificates shall meet the requirements laid down in this Regulation and be supervised by a supervisory body."</w:t>
      </w:r>
      <w:r>
        <w:br/>
      </w:r>
      <w:r>
        <w:rPr>
          <w:rStyle w:val="ae"/>
        </w:rPr>
        <w:t>中文:</w:t>
      </w:r>
      <w:r>
        <w:t xml:space="preserve"> “给予有资格证书的信任服务提供商应符合本规则规定的要求并接受监督机构的监督。”</w:t>
      </w:r>
    </w:p>
    <w:p w14:paraId="64F18DD5" w14:textId="77777777" w:rsidR="00925D0B" w:rsidRDefault="00925D0B" w:rsidP="00925D0B">
      <w:pPr>
        <w:pStyle w:val="5"/>
      </w:pPr>
      <w:r>
        <w:t>2.2. E-SIGN Act (US)</w:t>
      </w:r>
    </w:p>
    <w:p w14:paraId="21DB1A3E" w14:textId="77777777" w:rsidR="00925D0B" w:rsidRDefault="00925D0B" w:rsidP="00925D0B">
      <w:pPr>
        <w:pStyle w:val="af"/>
      </w:pPr>
      <w:r>
        <w:t>The E-SIGN Act governs e-signatures in the United States. Key points include:</w:t>
      </w:r>
    </w:p>
    <w:p w14:paraId="6D8A8BA5" w14:textId="77777777" w:rsidR="00925D0B" w:rsidRDefault="00925D0B" w:rsidP="00925D0B">
      <w:pPr>
        <w:pStyle w:val="af"/>
        <w:numPr>
          <w:ilvl w:val="0"/>
          <w:numId w:val="83"/>
        </w:numPr>
      </w:pPr>
      <w:r>
        <w:rPr>
          <w:rStyle w:val="ae"/>
        </w:rPr>
        <w:t>Section 101(a):</w:t>
      </w:r>
      <w:r>
        <w:t xml:space="preserve"> Validity of electronic signatures.</w:t>
      </w:r>
      <w:r>
        <w:br/>
      </w:r>
      <w:r>
        <w:rPr>
          <w:rStyle w:val="ae"/>
        </w:rPr>
        <w:t>英文:</w:t>
      </w:r>
      <w:r>
        <w:t xml:space="preserve"> "A signature, contract, or other record relating to such transaction may not be denied legal effect, validity, or enforceability solely because it is in electronic form."</w:t>
      </w:r>
      <w:r>
        <w:br/>
      </w:r>
      <w:r>
        <w:rPr>
          <w:rStyle w:val="ae"/>
        </w:rPr>
        <w:t>中文:</w:t>
      </w:r>
      <w:r>
        <w:t xml:space="preserve"> “与该交易相关的签名、合同或其他记录不应依其为电子形式而拒绝其法律效力。”</w:t>
      </w:r>
    </w:p>
    <w:p w14:paraId="771C31F3" w14:textId="77777777" w:rsidR="00925D0B" w:rsidRDefault="00925D0B" w:rsidP="00925D0B">
      <w:pPr>
        <w:pStyle w:val="af"/>
        <w:numPr>
          <w:ilvl w:val="0"/>
          <w:numId w:val="83"/>
        </w:numPr>
      </w:pPr>
      <w:r>
        <w:rPr>
          <w:rStyle w:val="ae"/>
        </w:rPr>
        <w:t>Section 106:</w:t>
      </w:r>
      <w:r>
        <w:t xml:space="preserve"> Retention of contracts and records.</w:t>
      </w:r>
      <w:r>
        <w:br/>
      </w:r>
      <w:r>
        <w:rPr>
          <w:rStyle w:val="ae"/>
        </w:rPr>
        <w:t>英文:</w:t>
      </w:r>
      <w:r>
        <w:t xml:space="preserve"> "If a statute, regulation, or other rule of law requires that a contract or other record relating to a transaction be in writing, the legal effect is satisfied by an electronic </w:t>
      </w:r>
      <w:r>
        <w:lastRenderedPageBreak/>
        <w:t>record."</w:t>
      </w:r>
      <w:r>
        <w:br/>
      </w:r>
      <w:r>
        <w:rPr>
          <w:rStyle w:val="ae"/>
        </w:rPr>
        <w:t>中文:</w:t>
      </w:r>
      <w:r>
        <w:t xml:space="preserve"> “如果法律、规章或其他法律要求交易相关的合同或记录存在于笔记书面上，电子记录可满足法律效力。”</w:t>
      </w:r>
    </w:p>
    <w:p w14:paraId="0FB51E9B" w14:textId="77777777" w:rsidR="00925D0B" w:rsidRDefault="00925D0B" w:rsidP="00925D0B">
      <w:pPr>
        <w:pStyle w:val="5"/>
      </w:pPr>
      <w:r>
        <w:t>2.3. UN Model Law on Electronic Commerce</w:t>
      </w:r>
    </w:p>
    <w:p w14:paraId="3263E65E" w14:textId="77777777" w:rsidR="00925D0B" w:rsidRDefault="00925D0B" w:rsidP="00925D0B">
      <w:pPr>
        <w:pStyle w:val="af"/>
      </w:pPr>
      <w:r>
        <w:t>For global operations, the United Nations Model Law provides a consistent framework, promoting legal recognition of e-signatures internationally.</w:t>
      </w:r>
    </w:p>
    <w:p w14:paraId="3D89779E" w14:textId="77777777" w:rsidR="00925D0B" w:rsidRDefault="00925D0B" w:rsidP="00925D0B">
      <w:pPr>
        <w:pStyle w:val="af"/>
        <w:numPr>
          <w:ilvl w:val="0"/>
          <w:numId w:val="84"/>
        </w:numPr>
      </w:pPr>
      <w:r>
        <w:rPr>
          <w:rStyle w:val="ae"/>
        </w:rPr>
        <w:t>Article 7:</w:t>
      </w:r>
      <w:r>
        <w:t xml:space="preserve"> Legal recognition of e-signatures.</w:t>
      </w:r>
      <w:r>
        <w:br/>
      </w:r>
      <w:r>
        <w:rPr>
          <w:rStyle w:val="ae"/>
        </w:rPr>
        <w:t>英文:</w:t>
      </w:r>
      <w:r>
        <w:t xml:space="preserve"> "An electronic signature shall be recognized as equivalent to a handwritten signature if it meets the criteria of reliability and integrity."</w:t>
      </w:r>
      <w:r>
        <w:br/>
      </w:r>
      <w:r>
        <w:rPr>
          <w:rStyle w:val="ae"/>
        </w:rPr>
        <w:t>中文:</w:t>
      </w:r>
      <w:r>
        <w:t xml:space="preserve"> “如果电子签名符合可靠性和完整性的标准，应作为手写签名的等价。”</w:t>
      </w:r>
    </w:p>
    <w:p w14:paraId="5DBECF93" w14:textId="77777777" w:rsidR="00925D0B" w:rsidRDefault="00F81BAE" w:rsidP="00925D0B">
      <w:r>
        <w:rPr>
          <w:noProof/>
        </w:rPr>
        <w:pict w14:anchorId="6EE23668">
          <v:rect id="_x0000_i1272" alt="" style="width:415.3pt;height:.05pt;mso-width-percent:0;mso-height-percent:0;mso-width-percent:0;mso-height-percent:0" o:hralign="center" o:hrstd="t" o:hr="t" fillcolor="#a0a0a0" stroked="f"/>
        </w:pict>
      </w:r>
    </w:p>
    <w:p w14:paraId="7C2E18CF" w14:textId="77777777" w:rsidR="00925D0B" w:rsidRDefault="00925D0B" w:rsidP="00925D0B">
      <w:pPr>
        <w:pStyle w:val="4"/>
      </w:pPr>
      <w:r>
        <w:t>3. Legal Validity and Security of E-Signatures</w:t>
      </w:r>
    </w:p>
    <w:p w14:paraId="0F7AB84F" w14:textId="77777777" w:rsidR="00925D0B" w:rsidRDefault="00925D0B" w:rsidP="00925D0B">
      <w:pPr>
        <w:pStyle w:val="af"/>
      </w:pPr>
      <w:r>
        <w:t>E-signatures are generally as legally binding as traditional signatures, provided they meet the following conditions:</w:t>
      </w:r>
    </w:p>
    <w:p w14:paraId="71FD72F5" w14:textId="77777777" w:rsidR="00925D0B" w:rsidRDefault="00925D0B" w:rsidP="00925D0B">
      <w:pPr>
        <w:pStyle w:val="af"/>
        <w:numPr>
          <w:ilvl w:val="0"/>
          <w:numId w:val="85"/>
        </w:numPr>
      </w:pPr>
      <w:r>
        <w:rPr>
          <w:rStyle w:val="ae"/>
        </w:rPr>
        <w:t>Intent to Sign:</w:t>
      </w:r>
      <w:r>
        <w:t xml:space="preserve"> Both parties must demonstrate clear intent to sign the document electronically.</w:t>
      </w:r>
    </w:p>
    <w:p w14:paraId="23300D0D" w14:textId="77777777" w:rsidR="00925D0B" w:rsidRDefault="00925D0B" w:rsidP="00925D0B">
      <w:pPr>
        <w:pStyle w:val="af"/>
        <w:numPr>
          <w:ilvl w:val="0"/>
          <w:numId w:val="85"/>
        </w:numPr>
      </w:pPr>
      <w:r>
        <w:rPr>
          <w:rStyle w:val="ae"/>
        </w:rPr>
        <w:t>Consent:</w:t>
      </w:r>
      <w:r>
        <w:t xml:space="preserve"> Parties must agree to conduct transactions electronically.</w:t>
      </w:r>
    </w:p>
    <w:p w14:paraId="057182B8" w14:textId="77777777" w:rsidR="00925D0B" w:rsidRDefault="00925D0B" w:rsidP="00925D0B">
      <w:pPr>
        <w:pStyle w:val="af"/>
        <w:numPr>
          <w:ilvl w:val="0"/>
          <w:numId w:val="85"/>
        </w:numPr>
      </w:pPr>
      <w:r>
        <w:rPr>
          <w:rStyle w:val="ae"/>
        </w:rPr>
        <w:t>Integrity of the Document:</w:t>
      </w:r>
      <w:r>
        <w:t xml:space="preserve"> The document must be tamper-proof.</w:t>
      </w:r>
    </w:p>
    <w:p w14:paraId="6EB07BE5" w14:textId="77777777" w:rsidR="00925D0B" w:rsidRDefault="00925D0B" w:rsidP="00925D0B">
      <w:pPr>
        <w:pStyle w:val="af"/>
        <w:numPr>
          <w:ilvl w:val="0"/>
          <w:numId w:val="85"/>
        </w:numPr>
      </w:pPr>
      <w:r>
        <w:rPr>
          <w:rStyle w:val="ae"/>
        </w:rPr>
        <w:t>Authentication:</w:t>
      </w:r>
      <w:r>
        <w:t xml:space="preserve"> The signatory’s identity must be verifiable.</w:t>
      </w:r>
    </w:p>
    <w:p w14:paraId="038E0318" w14:textId="77777777" w:rsidR="00925D0B" w:rsidRDefault="00925D0B" w:rsidP="00925D0B">
      <w:pPr>
        <w:pStyle w:val="af"/>
      </w:pPr>
      <w:r>
        <w:t>For high-value or sensitive documents, such as employment contracts, using QES is recommended for its enhanced security and legal presumptions of validity.</w:t>
      </w:r>
    </w:p>
    <w:p w14:paraId="7A196FC7" w14:textId="77777777" w:rsidR="00925D0B" w:rsidRDefault="00F81BAE" w:rsidP="00925D0B">
      <w:r>
        <w:rPr>
          <w:noProof/>
        </w:rPr>
        <w:pict w14:anchorId="43D0FDD3">
          <v:rect id="_x0000_i1271" alt="" style="width:415.3pt;height:.05pt;mso-width-percent:0;mso-height-percent:0;mso-width-percent:0;mso-height-percent:0" o:hralign="center" o:hrstd="t" o:hr="t" fillcolor="#a0a0a0" stroked="f"/>
        </w:pict>
      </w:r>
    </w:p>
    <w:p w14:paraId="3CE2311C" w14:textId="77777777" w:rsidR="00925D0B" w:rsidRDefault="00925D0B" w:rsidP="00925D0B">
      <w:pPr>
        <w:pStyle w:val="4"/>
      </w:pPr>
      <w:r>
        <w:t>4. Benefits of E-Signatures for Biz Wiz</w:t>
      </w:r>
    </w:p>
    <w:p w14:paraId="4C82D6C3" w14:textId="77777777" w:rsidR="00925D0B" w:rsidRDefault="00925D0B" w:rsidP="00925D0B">
      <w:pPr>
        <w:pStyle w:val="af"/>
        <w:numPr>
          <w:ilvl w:val="0"/>
          <w:numId w:val="86"/>
        </w:numPr>
      </w:pPr>
      <w:r>
        <w:rPr>
          <w:rStyle w:val="ae"/>
        </w:rPr>
        <w:t>Efficiency:</w:t>
      </w:r>
      <w:r>
        <w:t xml:space="preserve"> Accelerates document workflows, reducing turnaround times for employee onboarding and policy acknowledgments.</w:t>
      </w:r>
    </w:p>
    <w:p w14:paraId="5275DDA4" w14:textId="77777777" w:rsidR="00925D0B" w:rsidRDefault="00925D0B" w:rsidP="00925D0B">
      <w:pPr>
        <w:pStyle w:val="af"/>
        <w:numPr>
          <w:ilvl w:val="0"/>
          <w:numId w:val="86"/>
        </w:numPr>
      </w:pPr>
      <w:r>
        <w:rPr>
          <w:rStyle w:val="ae"/>
        </w:rPr>
        <w:t>Cost Savings:</w:t>
      </w:r>
      <w:r>
        <w:t xml:space="preserve"> Eliminates the need for printing, mailing, and physical storage.</w:t>
      </w:r>
    </w:p>
    <w:p w14:paraId="0EC4BE83" w14:textId="77777777" w:rsidR="00925D0B" w:rsidRDefault="00925D0B" w:rsidP="00925D0B">
      <w:pPr>
        <w:pStyle w:val="af"/>
        <w:numPr>
          <w:ilvl w:val="0"/>
          <w:numId w:val="86"/>
        </w:numPr>
      </w:pPr>
      <w:r>
        <w:rPr>
          <w:rStyle w:val="ae"/>
        </w:rPr>
        <w:lastRenderedPageBreak/>
        <w:t>Compliance:</w:t>
      </w:r>
      <w:r>
        <w:t xml:space="preserve"> Aligns with regulatory requirements for data security and record retention.</w:t>
      </w:r>
    </w:p>
    <w:p w14:paraId="2CCD6A94" w14:textId="77777777" w:rsidR="00925D0B" w:rsidRDefault="00925D0B" w:rsidP="00925D0B">
      <w:pPr>
        <w:pStyle w:val="af"/>
        <w:numPr>
          <w:ilvl w:val="0"/>
          <w:numId w:val="86"/>
        </w:numPr>
      </w:pPr>
      <w:r>
        <w:rPr>
          <w:rStyle w:val="ae"/>
        </w:rPr>
        <w:t>Accessibility:</w:t>
      </w:r>
      <w:r>
        <w:t xml:space="preserve"> Enables remote operations and enhances flexibility for employees and clients.</w:t>
      </w:r>
    </w:p>
    <w:p w14:paraId="5F7E7213" w14:textId="77777777" w:rsidR="00925D0B" w:rsidRDefault="00F81BAE" w:rsidP="00925D0B">
      <w:r>
        <w:rPr>
          <w:noProof/>
        </w:rPr>
        <w:pict w14:anchorId="38FB2771">
          <v:rect id="_x0000_i1270" alt="" style="width:415.3pt;height:.05pt;mso-width-percent:0;mso-height-percent:0;mso-width-percent:0;mso-height-percent:0" o:hralign="center" o:hrstd="t" o:hr="t" fillcolor="#a0a0a0" stroked="f"/>
        </w:pict>
      </w:r>
    </w:p>
    <w:p w14:paraId="10EB3998" w14:textId="77777777" w:rsidR="00925D0B" w:rsidRDefault="00925D0B" w:rsidP="00925D0B">
      <w:pPr>
        <w:pStyle w:val="4"/>
      </w:pPr>
      <w:r>
        <w:t>5. Recommendations for Compliance</w:t>
      </w:r>
    </w:p>
    <w:p w14:paraId="2B0D24E8" w14:textId="77777777" w:rsidR="00925D0B" w:rsidRDefault="00925D0B" w:rsidP="00925D0B">
      <w:pPr>
        <w:pStyle w:val="af"/>
      </w:pPr>
      <w:r>
        <w:t>To ensure compliant use of e-signatures, Biz Wiz should:</w:t>
      </w:r>
    </w:p>
    <w:p w14:paraId="324DA3F6" w14:textId="77777777" w:rsidR="00925D0B" w:rsidRDefault="00925D0B" w:rsidP="00925D0B">
      <w:pPr>
        <w:pStyle w:val="af"/>
        <w:numPr>
          <w:ilvl w:val="0"/>
          <w:numId w:val="87"/>
        </w:numPr>
      </w:pPr>
      <w:r>
        <w:rPr>
          <w:rStyle w:val="ae"/>
        </w:rPr>
        <w:t>Select a Trusted E-Signature Provider:</w:t>
      </w:r>
      <w:r>
        <w:t xml:space="preserve"> Choose a provider that complies with relevant regulations (e.g., DocuSign or Adobe Sign).</w:t>
      </w:r>
    </w:p>
    <w:p w14:paraId="6797D960" w14:textId="77777777" w:rsidR="00925D0B" w:rsidRDefault="00925D0B" w:rsidP="00925D0B">
      <w:pPr>
        <w:pStyle w:val="af"/>
        <w:numPr>
          <w:ilvl w:val="0"/>
          <w:numId w:val="87"/>
        </w:numPr>
      </w:pPr>
      <w:r>
        <w:rPr>
          <w:rStyle w:val="ae"/>
        </w:rPr>
        <w:t>Implement Advanced Security Measures:</w:t>
      </w:r>
      <w:r>
        <w:t xml:space="preserve"> Use AES or QES for sensitive documents to ensure document integrity and authenticity.</w:t>
      </w:r>
    </w:p>
    <w:p w14:paraId="477B1CE1" w14:textId="77777777" w:rsidR="00925D0B" w:rsidRDefault="00925D0B" w:rsidP="00925D0B">
      <w:pPr>
        <w:pStyle w:val="af"/>
        <w:numPr>
          <w:ilvl w:val="0"/>
          <w:numId w:val="87"/>
        </w:numPr>
      </w:pPr>
      <w:r>
        <w:rPr>
          <w:rStyle w:val="ae"/>
        </w:rPr>
        <w:t>Establish a Policy Framework:</w:t>
      </w:r>
      <w:r>
        <w:t xml:space="preserve"> Create clear internal policies governing the use of e-signatures.</w:t>
      </w:r>
    </w:p>
    <w:p w14:paraId="590FB7E2" w14:textId="77777777" w:rsidR="00925D0B" w:rsidRDefault="00925D0B" w:rsidP="00925D0B">
      <w:pPr>
        <w:pStyle w:val="af"/>
        <w:numPr>
          <w:ilvl w:val="0"/>
          <w:numId w:val="87"/>
        </w:numPr>
      </w:pPr>
      <w:r>
        <w:rPr>
          <w:rStyle w:val="ae"/>
        </w:rPr>
        <w:t>Conduct Training:</w:t>
      </w:r>
      <w:r>
        <w:t xml:space="preserve"> Educate employees on e-signature protocols and best practices.</w:t>
      </w:r>
    </w:p>
    <w:p w14:paraId="4B0E3244" w14:textId="77777777" w:rsidR="00925D0B" w:rsidRDefault="00925D0B" w:rsidP="00925D0B">
      <w:pPr>
        <w:pStyle w:val="af"/>
        <w:numPr>
          <w:ilvl w:val="0"/>
          <w:numId w:val="87"/>
        </w:numPr>
      </w:pPr>
      <w:r>
        <w:rPr>
          <w:rStyle w:val="ae"/>
        </w:rPr>
        <w:t>Maintain Records:</w:t>
      </w:r>
      <w:r>
        <w:t xml:space="preserve"> Ensure that electronic documents are securely stored and accessible for audit or legal purposes.</w:t>
      </w:r>
    </w:p>
    <w:p w14:paraId="7AAB3A62" w14:textId="77777777" w:rsidR="00925D0B" w:rsidRDefault="00F81BAE" w:rsidP="00925D0B">
      <w:r>
        <w:rPr>
          <w:noProof/>
        </w:rPr>
        <w:pict w14:anchorId="6139CF6E">
          <v:rect id="_x0000_i1269" alt="" style="width:415.3pt;height:.05pt;mso-width-percent:0;mso-height-percent:0;mso-width-percent:0;mso-height-percent:0" o:hralign="center" o:hrstd="t" o:hr="t" fillcolor="#a0a0a0" stroked="f"/>
        </w:pict>
      </w:r>
    </w:p>
    <w:p w14:paraId="15EBC015" w14:textId="77777777" w:rsidR="00925D0B" w:rsidRDefault="00925D0B" w:rsidP="00925D0B">
      <w:pPr>
        <w:pStyle w:val="4"/>
      </w:pPr>
      <w:r>
        <w:t>Conclusion</w:t>
      </w:r>
    </w:p>
    <w:p w14:paraId="1034B07C" w14:textId="77777777" w:rsidR="00925D0B" w:rsidRDefault="00925D0B" w:rsidP="00925D0B">
      <w:pPr>
        <w:pStyle w:val="af"/>
      </w:pPr>
      <w:r>
        <w:t>Adopting e-signatures can provide significant benefits for Biz Wiz while maintaining legal compliance. By following the outlined recommendations and leveraging the appropriate legal frameworks, Biz Wiz can transition smoothly to digital workflows, enhancing efficiency and security.</w:t>
      </w:r>
    </w:p>
    <w:p w14:paraId="50634A21" w14:textId="77777777" w:rsidR="00925D0B" w:rsidRDefault="00925D0B" w:rsidP="00925D0B">
      <w:pPr>
        <w:pStyle w:val="af"/>
      </w:pPr>
      <w:r>
        <w:t>If further clarification or assistance is required, please feel free to contact me.</w:t>
      </w:r>
    </w:p>
    <w:p w14:paraId="0C1FBFF7" w14:textId="77777777" w:rsidR="00925D0B" w:rsidRDefault="00F81BAE" w:rsidP="00925D0B">
      <w:r>
        <w:rPr>
          <w:noProof/>
        </w:rPr>
        <w:pict w14:anchorId="0AAD374D">
          <v:rect id="_x0000_i1268" alt="" style="width:415.3pt;height:.05pt;mso-width-percent:0;mso-height-percent:0;mso-width-percent:0;mso-height-percent:0" o:hralign="center" o:hrstd="t" o:hr="t" fillcolor="#a0a0a0" stroked="f"/>
        </w:pict>
      </w:r>
    </w:p>
    <w:p w14:paraId="39141064" w14:textId="77777777" w:rsidR="00925D0B" w:rsidRDefault="00925D0B" w:rsidP="00925D0B">
      <w:pPr>
        <w:pStyle w:val="af"/>
      </w:pPr>
      <w:r>
        <w:rPr>
          <w:rStyle w:val="ae"/>
        </w:rPr>
        <w:t>Attachments:</w:t>
      </w:r>
    </w:p>
    <w:p w14:paraId="51C5A5DE" w14:textId="77777777" w:rsidR="00925D0B" w:rsidRDefault="00925D0B" w:rsidP="00925D0B">
      <w:pPr>
        <w:pStyle w:val="af"/>
        <w:numPr>
          <w:ilvl w:val="0"/>
          <w:numId w:val="88"/>
        </w:numPr>
      </w:pPr>
      <w:r>
        <w:t xml:space="preserve">Overview of </w:t>
      </w:r>
      <w:proofErr w:type="spellStart"/>
      <w:r>
        <w:t>eIDAS</w:t>
      </w:r>
      <w:proofErr w:type="spellEnd"/>
      <w:r>
        <w:t xml:space="preserve"> Regulation</w:t>
      </w:r>
    </w:p>
    <w:p w14:paraId="267911D0" w14:textId="77777777" w:rsidR="00925D0B" w:rsidRDefault="00925D0B" w:rsidP="00925D0B">
      <w:pPr>
        <w:pStyle w:val="af"/>
        <w:numPr>
          <w:ilvl w:val="0"/>
          <w:numId w:val="88"/>
        </w:numPr>
      </w:pPr>
      <w:r>
        <w:t>Summary of E-SIGN Act</w:t>
      </w:r>
    </w:p>
    <w:p w14:paraId="0DAD1C14" w14:textId="77777777" w:rsidR="00925D0B" w:rsidRDefault="00925D0B" w:rsidP="00925D0B">
      <w:pPr>
        <w:pStyle w:val="af"/>
        <w:numPr>
          <w:ilvl w:val="0"/>
          <w:numId w:val="88"/>
        </w:numPr>
      </w:pPr>
      <w:r>
        <w:t>List of Trusted E-Signature Providers</w:t>
      </w:r>
    </w:p>
    <w:p w14:paraId="080C25BB" w14:textId="77777777" w:rsidR="00925D0B" w:rsidRPr="00925D0B" w:rsidRDefault="00925D0B" w:rsidP="00925D0B">
      <w:pPr>
        <w:rPr>
          <w:rFonts w:hint="eastAsia"/>
          <w:b/>
          <w:bCs/>
          <w:highlight w:val="yellow"/>
        </w:rPr>
      </w:pPr>
    </w:p>
    <w:sectPr w:rsidR="00925D0B" w:rsidRPr="00925D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72ABD"/>
    <w:multiLevelType w:val="multilevel"/>
    <w:tmpl w:val="903E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14857"/>
    <w:multiLevelType w:val="multilevel"/>
    <w:tmpl w:val="C4F44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74BD8"/>
    <w:multiLevelType w:val="multilevel"/>
    <w:tmpl w:val="C526D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853E9"/>
    <w:multiLevelType w:val="multilevel"/>
    <w:tmpl w:val="CA26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BE0FB4"/>
    <w:multiLevelType w:val="multilevel"/>
    <w:tmpl w:val="534E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FA1188"/>
    <w:multiLevelType w:val="multilevel"/>
    <w:tmpl w:val="9068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2265E5"/>
    <w:multiLevelType w:val="multilevel"/>
    <w:tmpl w:val="BB60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701F3C"/>
    <w:multiLevelType w:val="multilevel"/>
    <w:tmpl w:val="CC846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D72870"/>
    <w:multiLevelType w:val="multilevel"/>
    <w:tmpl w:val="27D69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8A5D92"/>
    <w:multiLevelType w:val="multilevel"/>
    <w:tmpl w:val="FEA2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007CA1"/>
    <w:multiLevelType w:val="multilevel"/>
    <w:tmpl w:val="0CCC6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BC7786"/>
    <w:multiLevelType w:val="multilevel"/>
    <w:tmpl w:val="66E27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F334D6"/>
    <w:multiLevelType w:val="multilevel"/>
    <w:tmpl w:val="4234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E17693"/>
    <w:multiLevelType w:val="multilevel"/>
    <w:tmpl w:val="4AD0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9438AE"/>
    <w:multiLevelType w:val="multilevel"/>
    <w:tmpl w:val="76F05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0A78D1"/>
    <w:multiLevelType w:val="multilevel"/>
    <w:tmpl w:val="71A6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5B310E"/>
    <w:multiLevelType w:val="multilevel"/>
    <w:tmpl w:val="4936F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FA68EB"/>
    <w:multiLevelType w:val="multilevel"/>
    <w:tmpl w:val="BC940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E47A5D"/>
    <w:multiLevelType w:val="multilevel"/>
    <w:tmpl w:val="05D4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9A3B9E"/>
    <w:multiLevelType w:val="multilevel"/>
    <w:tmpl w:val="9E165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AE2F24"/>
    <w:multiLevelType w:val="multilevel"/>
    <w:tmpl w:val="46B61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C64E9E"/>
    <w:multiLevelType w:val="multilevel"/>
    <w:tmpl w:val="8938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E47BB4"/>
    <w:multiLevelType w:val="multilevel"/>
    <w:tmpl w:val="108C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ED5E7C"/>
    <w:multiLevelType w:val="multilevel"/>
    <w:tmpl w:val="059A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5D23FE"/>
    <w:multiLevelType w:val="multilevel"/>
    <w:tmpl w:val="FE827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99180B"/>
    <w:multiLevelType w:val="multilevel"/>
    <w:tmpl w:val="46C0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8803CD"/>
    <w:multiLevelType w:val="multilevel"/>
    <w:tmpl w:val="204E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4C1C1E"/>
    <w:multiLevelType w:val="multilevel"/>
    <w:tmpl w:val="B928E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4D4F7C"/>
    <w:multiLevelType w:val="multilevel"/>
    <w:tmpl w:val="3934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FA1ACD"/>
    <w:multiLevelType w:val="multilevel"/>
    <w:tmpl w:val="9BDA7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181552"/>
    <w:multiLevelType w:val="multilevel"/>
    <w:tmpl w:val="29DAD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F34FD8"/>
    <w:multiLevelType w:val="multilevel"/>
    <w:tmpl w:val="A11C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D85289"/>
    <w:multiLevelType w:val="multilevel"/>
    <w:tmpl w:val="16A8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5334FB"/>
    <w:multiLevelType w:val="multilevel"/>
    <w:tmpl w:val="7F289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2838BC"/>
    <w:multiLevelType w:val="multilevel"/>
    <w:tmpl w:val="996E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351FD7"/>
    <w:multiLevelType w:val="multilevel"/>
    <w:tmpl w:val="579C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CD7EB1"/>
    <w:multiLevelType w:val="multilevel"/>
    <w:tmpl w:val="632E6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FA10C8"/>
    <w:multiLevelType w:val="multilevel"/>
    <w:tmpl w:val="0912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576A7F"/>
    <w:multiLevelType w:val="multilevel"/>
    <w:tmpl w:val="C03C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E52818"/>
    <w:multiLevelType w:val="multilevel"/>
    <w:tmpl w:val="AD22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FC636D"/>
    <w:multiLevelType w:val="multilevel"/>
    <w:tmpl w:val="12547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756E1C"/>
    <w:multiLevelType w:val="multilevel"/>
    <w:tmpl w:val="13DEA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B913AD"/>
    <w:multiLevelType w:val="multilevel"/>
    <w:tmpl w:val="2D743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BA2EDD"/>
    <w:multiLevelType w:val="multilevel"/>
    <w:tmpl w:val="2B907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FE3847"/>
    <w:multiLevelType w:val="multilevel"/>
    <w:tmpl w:val="89202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FA7F03"/>
    <w:multiLevelType w:val="multilevel"/>
    <w:tmpl w:val="C33A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321A1E"/>
    <w:multiLevelType w:val="multilevel"/>
    <w:tmpl w:val="6CAA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6432BE"/>
    <w:multiLevelType w:val="multilevel"/>
    <w:tmpl w:val="B17A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933A70"/>
    <w:multiLevelType w:val="multilevel"/>
    <w:tmpl w:val="58BC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9518DF"/>
    <w:multiLevelType w:val="multilevel"/>
    <w:tmpl w:val="97D42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C80683"/>
    <w:multiLevelType w:val="multilevel"/>
    <w:tmpl w:val="FA10C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282945"/>
    <w:multiLevelType w:val="multilevel"/>
    <w:tmpl w:val="0A6C2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3F3269"/>
    <w:multiLevelType w:val="multilevel"/>
    <w:tmpl w:val="425A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C253D3"/>
    <w:multiLevelType w:val="multilevel"/>
    <w:tmpl w:val="F9FA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781A36"/>
    <w:multiLevelType w:val="multilevel"/>
    <w:tmpl w:val="92B81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C0C6126"/>
    <w:multiLevelType w:val="multilevel"/>
    <w:tmpl w:val="5C66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C0F516A"/>
    <w:multiLevelType w:val="multilevel"/>
    <w:tmpl w:val="1090C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C170BD3"/>
    <w:multiLevelType w:val="multilevel"/>
    <w:tmpl w:val="93AA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C6D63AE"/>
    <w:multiLevelType w:val="multilevel"/>
    <w:tmpl w:val="A3C2D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CDD2048"/>
    <w:multiLevelType w:val="multilevel"/>
    <w:tmpl w:val="20C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D966EA6"/>
    <w:multiLevelType w:val="multilevel"/>
    <w:tmpl w:val="544C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090246B"/>
    <w:multiLevelType w:val="multilevel"/>
    <w:tmpl w:val="C574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1B615DB"/>
    <w:multiLevelType w:val="multilevel"/>
    <w:tmpl w:val="74986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1B61FDB"/>
    <w:multiLevelType w:val="multilevel"/>
    <w:tmpl w:val="AB36BCD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21F6ACD"/>
    <w:multiLevelType w:val="multilevel"/>
    <w:tmpl w:val="33024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2544D0B"/>
    <w:multiLevelType w:val="multilevel"/>
    <w:tmpl w:val="A2D65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2AC7BDE"/>
    <w:multiLevelType w:val="multilevel"/>
    <w:tmpl w:val="9D58A29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4B806E4"/>
    <w:multiLevelType w:val="multilevel"/>
    <w:tmpl w:val="1722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54E7581"/>
    <w:multiLevelType w:val="multilevel"/>
    <w:tmpl w:val="30D6E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5FD50AD"/>
    <w:multiLevelType w:val="multilevel"/>
    <w:tmpl w:val="9B72D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675469F"/>
    <w:multiLevelType w:val="multilevel"/>
    <w:tmpl w:val="EBB28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75F4B15"/>
    <w:multiLevelType w:val="multilevel"/>
    <w:tmpl w:val="48DC9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8105EF1"/>
    <w:multiLevelType w:val="multilevel"/>
    <w:tmpl w:val="0BD44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A6B1F79"/>
    <w:multiLevelType w:val="multilevel"/>
    <w:tmpl w:val="37F2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BC45217"/>
    <w:multiLevelType w:val="multilevel"/>
    <w:tmpl w:val="F94ED30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0CB4B0F"/>
    <w:multiLevelType w:val="multilevel"/>
    <w:tmpl w:val="AA121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12719AA"/>
    <w:multiLevelType w:val="multilevel"/>
    <w:tmpl w:val="9740E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1B7105C"/>
    <w:multiLevelType w:val="multilevel"/>
    <w:tmpl w:val="8B781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2A07A25"/>
    <w:multiLevelType w:val="multilevel"/>
    <w:tmpl w:val="7B1C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3F769C4"/>
    <w:multiLevelType w:val="multilevel"/>
    <w:tmpl w:val="806A0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7192660"/>
    <w:multiLevelType w:val="multilevel"/>
    <w:tmpl w:val="B0BE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7BA3C18"/>
    <w:multiLevelType w:val="multilevel"/>
    <w:tmpl w:val="43209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ACB755C"/>
    <w:multiLevelType w:val="multilevel"/>
    <w:tmpl w:val="37BED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AFF33E4"/>
    <w:multiLevelType w:val="multilevel"/>
    <w:tmpl w:val="E97A9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E4D6973"/>
    <w:multiLevelType w:val="multilevel"/>
    <w:tmpl w:val="3F9EEA4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ECC7DA5"/>
    <w:multiLevelType w:val="multilevel"/>
    <w:tmpl w:val="C8F0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02A74A9"/>
    <w:multiLevelType w:val="multilevel"/>
    <w:tmpl w:val="AC80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0DB0641"/>
    <w:multiLevelType w:val="multilevel"/>
    <w:tmpl w:val="1EEA6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3090A3B"/>
    <w:multiLevelType w:val="multilevel"/>
    <w:tmpl w:val="5574A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42937B2"/>
    <w:multiLevelType w:val="multilevel"/>
    <w:tmpl w:val="D1BCB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46C5F0E"/>
    <w:multiLevelType w:val="multilevel"/>
    <w:tmpl w:val="CC52F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5E8417E"/>
    <w:multiLevelType w:val="multilevel"/>
    <w:tmpl w:val="A12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7B848BF"/>
    <w:multiLevelType w:val="multilevel"/>
    <w:tmpl w:val="FCB41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990085D"/>
    <w:multiLevelType w:val="multilevel"/>
    <w:tmpl w:val="F202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A2E41E3"/>
    <w:multiLevelType w:val="multilevel"/>
    <w:tmpl w:val="AE2A0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A41108F"/>
    <w:multiLevelType w:val="multilevel"/>
    <w:tmpl w:val="DA184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A5D378C"/>
    <w:multiLevelType w:val="multilevel"/>
    <w:tmpl w:val="4EFC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AD00C7C"/>
    <w:multiLevelType w:val="multilevel"/>
    <w:tmpl w:val="2AE4C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CBD56B4"/>
    <w:multiLevelType w:val="multilevel"/>
    <w:tmpl w:val="EFF6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FEB5F74"/>
    <w:multiLevelType w:val="multilevel"/>
    <w:tmpl w:val="4E3CB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03E46C6"/>
    <w:multiLevelType w:val="multilevel"/>
    <w:tmpl w:val="BE2C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0BB0A50"/>
    <w:multiLevelType w:val="multilevel"/>
    <w:tmpl w:val="8714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0CE5704"/>
    <w:multiLevelType w:val="multilevel"/>
    <w:tmpl w:val="144A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3154BE1"/>
    <w:multiLevelType w:val="multilevel"/>
    <w:tmpl w:val="5502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4D42EB2"/>
    <w:multiLevelType w:val="multilevel"/>
    <w:tmpl w:val="29F02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81C2444"/>
    <w:multiLevelType w:val="multilevel"/>
    <w:tmpl w:val="11D2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8E07A78"/>
    <w:multiLevelType w:val="multilevel"/>
    <w:tmpl w:val="57B0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97D7E3D"/>
    <w:multiLevelType w:val="multilevel"/>
    <w:tmpl w:val="670C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9D11E75"/>
    <w:multiLevelType w:val="multilevel"/>
    <w:tmpl w:val="43C2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ACA662A"/>
    <w:multiLevelType w:val="multilevel"/>
    <w:tmpl w:val="51C20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CB3246B"/>
    <w:multiLevelType w:val="multilevel"/>
    <w:tmpl w:val="A9165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1709367">
    <w:abstractNumId w:val="92"/>
  </w:num>
  <w:num w:numId="2" w16cid:durableId="1098016549">
    <w:abstractNumId w:val="62"/>
  </w:num>
  <w:num w:numId="3" w16cid:durableId="1714689326">
    <w:abstractNumId w:val="71"/>
  </w:num>
  <w:num w:numId="4" w16cid:durableId="811024016">
    <w:abstractNumId w:val="66"/>
  </w:num>
  <w:num w:numId="5" w16cid:durableId="1009987064">
    <w:abstractNumId w:val="84"/>
  </w:num>
  <w:num w:numId="6" w16cid:durableId="2077169456">
    <w:abstractNumId w:val="74"/>
  </w:num>
  <w:num w:numId="7" w16cid:durableId="1862469291">
    <w:abstractNumId w:val="63"/>
  </w:num>
  <w:num w:numId="8" w16cid:durableId="1424688487">
    <w:abstractNumId w:val="100"/>
  </w:num>
  <w:num w:numId="9" w16cid:durableId="1005016353">
    <w:abstractNumId w:val="108"/>
  </w:num>
  <w:num w:numId="10" w16cid:durableId="767966510">
    <w:abstractNumId w:val="28"/>
  </w:num>
  <w:num w:numId="11" w16cid:durableId="1865705649">
    <w:abstractNumId w:val="41"/>
  </w:num>
  <w:num w:numId="12" w16cid:durableId="624896840">
    <w:abstractNumId w:val="23"/>
  </w:num>
  <w:num w:numId="13" w16cid:durableId="630327885">
    <w:abstractNumId w:val="45"/>
  </w:num>
  <w:num w:numId="14" w16cid:durableId="1006058853">
    <w:abstractNumId w:val="98"/>
  </w:num>
  <w:num w:numId="15" w16cid:durableId="1221136183">
    <w:abstractNumId w:val="85"/>
  </w:num>
  <w:num w:numId="16" w16cid:durableId="223565797">
    <w:abstractNumId w:val="103"/>
  </w:num>
  <w:num w:numId="17" w16cid:durableId="1987777765">
    <w:abstractNumId w:val="37"/>
  </w:num>
  <w:num w:numId="18" w16cid:durableId="1206528620">
    <w:abstractNumId w:val="54"/>
  </w:num>
  <w:num w:numId="19" w16cid:durableId="537159029">
    <w:abstractNumId w:val="46"/>
  </w:num>
  <w:num w:numId="20" w16cid:durableId="156194491">
    <w:abstractNumId w:val="106"/>
  </w:num>
  <w:num w:numId="21" w16cid:durableId="1665625302">
    <w:abstractNumId w:val="3"/>
  </w:num>
  <w:num w:numId="22" w16cid:durableId="1498886386">
    <w:abstractNumId w:val="32"/>
  </w:num>
  <w:num w:numId="23" w16cid:durableId="1792169093">
    <w:abstractNumId w:val="22"/>
  </w:num>
  <w:num w:numId="24" w16cid:durableId="578056417">
    <w:abstractNumId w:val="44"/>
  </w:num>
  <w:num w:numId="25" w16cid:durableId="51585197">
    <w:abstractNumId w:val="50"/>
  </w:num>
  <w:num w:numId="26" w16cid:durableId="104228224">
    <w:abstractNumId w:val="68"/>
  </w:num>
  <w:num w:numId="27" w16cid:durableId="480852934">
    <w:abstractNumId w:val="29"/>
  </w:num>
  <w:num w:numId="28" w16cid:durableId="1552614463">
    <w:abstractNumId w:val="13"/>
  </w:num>
  <w:num w:numId="29" w16cid:durableId="1011447994">
    <w:abstractNumId w:val="26"/>
  </w:num>
  <w:num w:numId="30" w16cid:durableId="294994201">
    <w:abstractNumId w:val="80"/>
  </w:num>
  <w:num w:numId="31" w16cid:durableId="823349631">
    <w:abstractNumId w:val="20"/>
  </w:num>
  <w:num w:numId="32" w16cid:durableId="750853119">
    <w:abstractNumId w:val="53"/>
  </w:num>
  <w:num w:numId="33" w16cid:durableId="1947033494">
    <w:abstractNumId w:val="67"/>
  </w:num>
  <w:num w:numId="34" w16cid:durableId="179124878">
    <w:abstractNumId w:val="52"/>
  </w:num>
  <w:num w:numId="35" w16cid:durableId="27687632">
    <w:abstractNumId w:val="18"/>
  </w:num>
  <w:num w:numId="36" w16cid:durableId="1537935935">
    <w:abstractNumId w:val="19"/>
  </w:num>
  <w:num w:numId="37" w16cid:durableId="1429765162">
    <w:abstractNumId w:val="70"/>
  </w:num>
  <w:num w:numId="38" w16cid:durableId="1168443872">
    <w:abstractNumId w:val="43"/>
  </w:num>
  <w:num w:numId="39" w16cid:durableId="1488395201">
    <w:abstractNumId w:val="24"/>
  </w:num>
  <w:num w:numId="40" w16cid:durableId="1594321945">
    <w:abstractNumId w:val="99"/>
  </w:num>
  <w:num w:numId="41" w16cid:durableId="289165349">
    <w:abstractNumId w:val="104"/>
  </w:num>
  <w:num w:numId="42" w16cid:durableId="202836315">
    <w:abstractNumId w:val="79"/>
  </w:num>
  <w:num w:numId="43" w16cid:durableId="1653875800">
    <w:abstractNumId w:val="15"/>
  </w:num>
  <w:num w:numId="44" w16cid:durableId="1272205039">
    <w:abstractNumId w:val="101"/>
  </w:num>
  <w:num w:numId="45" w16cid:durableId="606814703">
    <w:abstractNumId w:val="93"/>
  </w:num>
  <w:num w:numId="46" w16cid:durableId="804080841">
    <w:abstractNumId w:val="102"/>
  </w:num>
  <w:num w:numId="47" w16cid:durableId="1745488009">
    <w:abstractNumId w:val="87"/>
  </w:num>
  <w:num w:numId="48" w16cid:durableId="362174708">
    <w:abstractNumId w:val="14"/>
  </w:num>
  <w:num w:numId="49" w16cid:durableId="252981529">
    <w:abstractNumId w:val="90"/>
  </w:num>
  <w:num w:numId="50" w16cid:durableId="1056011167">
    <w:abstractNumId w:val="58"/>
  </w:num>
  <w:num w:numId="51" w16cid:durableId="1503856620">
    <w:abstractNumId w:val="42"/>
  </w:num>
  <w:num w:numId="52" w16cid:durableId="48456862">
    <w:abstractNumId w:val="59"/>
  </w:num>
  <w:num w:numId="53" w16cid:durableId="1482043053">
    <w:abstractNumId w:val="64"/>
  </w:num>
  <w:num w:numId="54" w16cid:durableId="238908072">
    <w:abstractNumId w:val="109"/>
  </w:num>
  <w:num w:numId="55" w16cid:durableId="1490946142">
    <w:abstractNumId w:val="89"/>
  </w:num>
  <w:num w:numId="56" w16cid:durableId="742339199">
    <w:abstractNumId w:val="56"/>
  </w:num>
  <w:num w:numId="57" w16cid:durableId="617831381">
    <w:abstractNumId w:val="91"/>
  </w:num>
  <w:num w:numId="58" w16cid:durableId="12003543">
    <w:abstractNumId w:val="77"/>
  </w:num>
  <w:num w:numId="59" w16cid:durableId="974018874">
    <w:abstractNumId w:val="6"/>
  </w:num>
  <w:num w:numId="60" w16cid:durableId="1503281161">
    <w:abstractNumId w:val="82"/>
  </w:num>
  <w:num w:numId="61" w16cid:durableId="374817480">
    <w:abstractNumId w:val="36"/>
  </w:num>
  <w:num w:numId="62" w16cid:durableId="686561385">
    <w:abstractNumId w:val="55"/>
  </w:num>
  <w:num w:numId="63" w16cid:durableId="762456911">
    <w:abstractNumId w:val="30"/>
  </w:num>
  <w:num w:numId="64" w16cid:durableId="633367946">
    <w:abstractNumId w:val="47"/>
  </w:num>
  <w:num w:numId="65" w16cid:durableId="1056704311">
    <w:abstractNumId w:val="107"/>
  </w:num>
  <w:num w:numId="66" w16cid:durableId="1332217895">
    <w:abstractNumId w:val="9"/>
  </w:num>
  <w:num w:numId="67" w16cid:durableId="1745910784">
    <w:abstractNumId w:val="69"/>
  </w:num>
  <w:num w:numId="68" w16cid:durableId="192349057">
    <w:abstractNumId w:val="1"/>
  </w:num>
  <w:num w:numId="69" w16cid:durableId="2085687972">
    <w:abstractNumId w:val="73"/>
  </w:num>
  <w:num w:numId="70" w16cid:durableId="745803131">
    <w:abstractNumId w:val="34"/>
  </w:num>
  <w:num w:numId="71" w16cid:durableId="1032152697">
    <w:abstractNumId w:val="78"/>
  </w:num>
  <w:num w:numId="72" w16cid:durableId="1733313787">
    <w:abstractNumId w:val="12"/>
  </w:num>
  <w:num w:numId="73" w16cid:durableId="219441754">
    <w:abstractNumId w:val="21"/>
  </w:num>
  <w:num w:numId="74" w16cid:durableId="1264265907">
    <w:abstractNumId w:val="83"/>
  </w:num>
  <w:num w:numId="75" w16cid:durableId="1547991061">
    <w:abstractNumId w:val="4"/>
  </w:num>
  <w:num w:numId="76" w16cid:durableId="2117748263">
    <w:abstractNumId w:val="5"/>
  </w:num>
  <w:num w:numId="77" w16cid:durableId="1200897035">
    <w:abstractNumId w:val="25"/>
  </w:num>
  <w:num w:numId="78" w16cid:durableId="202523428">
    <w:abstractNumId w:val="60"/>
  </w:num>
  <w:num w:numId="79" w16cid:durableId="1042091878">
    <w:abstractNumId w:val="105"/>
  </w:num>
  <w:num w:numId="80" w16cid:durableId="342434173">
    <w:abstractNumId w:val="94"/>
  </w:num>
  <w:num w:numId="81" w16cid:durableId="1332490240">
    <w:abstractNumId w:val="48"/>
  </w:num>
  <w:num w:numId="82" w16cid:durableId="527062728">
    <w:abstractNumId w:val="31"/>
  </w:num>
  <w:num w:numId="83" w16cid:durableId="642000216">
    <w:abstractNumId w:val="0"/>
  </w:num>
  <w:num w:numId="84" w16cid:durableId="1890261290">
    <w:abstractNumId w:val="86"/>
  </w:num>
  <w:num w:numId="85" w16cid:durableId="1904950434">
    <w:abstractNumId w:val="35"/>
  </w:num>
  <w:num w:numId="86" w16cid:durableId="1278566372">
    <w:abstractNumId w:val="96"/>
  </w:num>
  <w:num w:numId="87" w16cid:durableId="479931143">
    <w:abstractNumId w:val="17"/>
  </w:num>
  <w:num w:numId="88" w16cid:durableId="59595277">
    <w:abstractNumId w:val="16"/>
  </w:num>
  <w:num w:numId="89" w16cid:durableId="1119648023">
    <w:abstractNumId w:val="51"/>
  </w:num>
  <w:num w:numId="90" w16cid:durableId="556405237">
    <w:abstractNumId w:val="57"/>
  </w:num>
  <w:num w:numId="91" w16cid:durableId="1141389350">
    <w:abstractNumId w:val="39"/>
  </w:num>
  <w:num w:numId="92" w16cid:durableId="967013326">
    <w:abstractNumId w:val="61"/>
  </w:num>
  <w:num w:numId="93" w16cid:durableId="1980256963">
    <w:abstractNumId w:val="95"/>
  </w:num>
  <w:num w:numId="94" w16cid:durableId="456409220">
    <w:abstractNumId w:val="81"/>
  </w:num>
  <w:num w:numId="95" w16cid:durableId="844785643">
    <w:abstractNumId w:val="7"/>
  </w:num>
  <w:num w:numId="96" w16cid:durableId="302925876">
    <w:abstractNumId w:val="97"/>
  </w:num>
  <w:num w:numId="97" w16cid:durableId="949236764">
    <w:abstractNumId w:val="49"/>
  </w:num>
  <w:num w:numId="98" w16cid:durableId="235746337">
    <w:abstractNumId w:val="88"/>
  </w:num>
  <w:num w:numId="99" w16cid:durableId="1944144394">
    <w:abstractNumId w:val="2"/>
  </w:num>
  <w:num w:numId="100" w16cid:durableId="1526477026">
    <w:abstractNumId w:val="38"/>
  </w:num>
  <w:num w:numId="101" w16cid:durableId="159086454">
    <w:abstractNumId w:val="27"/>
  </w:num>
  <w:num w:numId="102" w16cid:durableId="1384871930">
    <w:abstractNumId w:val="65"/>
  </w:num>
  <w:num w:numId="103" w16cid:durableId="604968334">
    <w:abstractNumId w:val="110"/>
  </w:num>
  <w:num w:numId="104" w16cid:durableId="766849865">
    <w:abstractNumId w:val="11"/>
  </w:num>
  <w:num w:numId="105" w16cid:durableId="960843708">
    <w:abstractNumId w:val="72"/>
  </w:num>
  <w:num w:numId="106" w16cid:durableId="1433042447">
    <w:abstractNumId w:val="33"/>
  </w:num>
  <w:num w:numId="107" w16cid:durableId="96171608">
    <w:abstractNumId w:val="76"/>
  </w:num>
  <w:num w:numId="108" w16cid:durableId="43525649">
    <w:abstractNumId w:val="75"/>
  </w:num>
  <w:num w:numId="109" w16cid:durableId="530415594">
    <w:abstractNumId w:val="8"/>
  </w:num>
  <w:num w:numId="110" w16cid:durableId="164904581">
    <w:abstractNumId w:val="10"/>
  </w:num>
  <w:num w:numId="111" w16cid:durableId="49580225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80E"/>
    <w:rsid w:val="00016408"/>
    <w:rsid w:val="00137021"/>
    <w:rsid w:val="00293F43"/>
    <w:rsid w:val="002A03DF"/>
    <w:rsid w:val="002D45C8"/>
    <w:rsid w:val="00311E9D"/>
    <w:rsid w:val="00455106"/>
    <w:rsid w:val="00671A70"/>
    <w:rsid w:val="006820E8"/>
    <w:rsid w:val="00683E7F"/>
    <w:rsid w:val="00715F7A"/>
    <w:rsid w:val="007D1574"/>
    <w:rsid w:val="00860AC3"/>
    <w:rsid w:val="00925D0B"/>
    <w:rsid w:val="009F1A40"/>
    <w:rsid w:val="00BC3589"/>
    <w:rsid w:val="00C85435"/>
    <w:rsid w:val="00EC3F1F"/>
    <w:rsid w:val="00EC780E"/>
    <w:rsid w:val="00F81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D3C78"/>
  <w15:chartTrackingRefBased/>
  <w15:docId w15:val="{DB2ADBFC-13F4-8B41-A27C-C1205D02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1A70"/>
    <w:rPr>
      <w:rFonts w:ascii="宋体" w:eastAsia="宋体" w:hAnsi="宋体" w:cs="宋体"/>
      <w:kern w:val="0"/>
      <w:sz w:val="24"/>
    </w:rPr>
  </w:style>
  <w:style w:type="paragraph" w:styleId="1">
    <w:name w:val="heading 1"/>
    <w:basedOn w:val="a"/>
    <w:next w:val="a"/>
    <w:link w:val="10"/>
    <w:uiPriority w:val="9"/>
    <w:qFormat/>
    <w:rsid w:val="00EC780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C780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EC780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EC780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unhideWhenUsed/>
    <w:qFormat/>
    <w:rsid w:val="00EC780E"/>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EC780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C780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C780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C780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780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C780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EC780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EC780E"/>
    <w:rPr>
      <w:rFonts w:cstheme="majorBidi"/>
      <w:color w:val="0F4761" w:themeColor="accent1" w:themeShade="BF"/>
      <w:sz w:val="28"/>
      <w:szCs w:val="28"/>
    </w:rPr>
  </w:style>
  <w:style w:type="character" w:customStyle="1" w:styleId="50">
    <w:name w:val="标题 5 字符"/>
    <w:basedOn w:val="a0"/>
    <w:link w:val="5"/>
    <w:uiPriority w:val="9"/>
    <w:rsid w:val="00EC780E"/>
    <w:rPr>
      <w:rFonts w:cstheme="majorBidi"/>
      <w:color w:val="0F4761" w:themeColor="accent1" w:themeShade="BF"/>
      <w:sz w:val="24"/>
    </w:rPr>
  </w:style>
  <w:style w:type="character" w:customStyle="1" w:styleId="60">
    <w:name w:val="标题 6 字符"/>
    <w:basedOn w:val="a0"/>
    <w:link w:val="6"/>
    <w:uiPriority w:val="9"/>
    <w:semiHidden/>
    <w:rsid w:val="00EC780E"/>
    <w:rPr>
      <w:rFonts w:cstheme="majorBidi"/>
      <w:b/>
      <w:bCs/>
      <w:color w:val="0F4761" w:themeColor="accent1" w:themeShade="BF"/>
    </w:rPr>
  </w:style>
  <w:style w:type="character" w:customStyle="1" w:styleId="70">
    <w:name w:val="标题 7 字符"/>
    <w:basedOn w:val="a0"/>
    <w:link w:val="7"/>
    <w:uiPriority w:val="9"/>
    <w:semiHidden/>
    <w:rsid w:val="00EC780E"/>
    <w:rPr>
      <w:rFonts w:cstheme="majorBidi"/>
      <w:b/>
      <w:bCs/>
      <w:color w:val="595959" w:themeColor="text1" w:themeTint="A6"/>
    </w:rPr>
  </w:style>
  <w:style w:type="character" w:customStyle="1" w:styleId="80">
    <w:name w:val="标题 8 字符"/>
    <w:basedOn w:val="a0"/>
    <w:link w:val="8"/>
    <w:uiPriority w:val="9"/>
    <w:semiHidden/>
    <w:rsid w:val="00EC780E"/>
    <w:rPr>
      <w:rFonts w:cstheme="majorBidi"/>
      <w:color w:val="595959" w:themeColor="text1" w:themeTint="A6"/>
    </w:rPr>
  </w:style>
  <w:style w:type="character" w:customStyle="1" w:styleId="90">
    <w:name w:val="标题 9 字符"/>
    <w:basedOn w:val="a0"/>
    <w:link w:val="9"/>
    <w:uiPriority w:val="9"/>
    <w:semiHidden/>
    <w:rsid w:val="00EC780E"/>
    <w:rPr>
      <w:rFonts w:eastAsiaTheme="majorEastAsia" w:cstheme="majorBidi"/>
      <w:color w:val="595959" w:themeColor="text1" w:themeTint="A6"/>
    </w:rPr>
  </w:style>
  <w:style w:type="paragraph" w:styleId="a3">
    <w:name w:val="Title"/>
    <w:basedOn w:val="a"/>
    <w:next w:val="a"/>
    <w:link w:val="a4"/>
    <w:uiPriority w:val="10"/>
    <w:qFormat/>
    <w:rsid w:val="00EC780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C780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C780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C780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C780E"/>
    <w:pPr>
      <w:spacing w:before="160" w:after="160"/>
      <w:jc w:val="center"/>
    </w:pPr>
    <w:rPr>
      <w:i/>
      <w:iCs/>
      <w:color w:val="404040" w:themeColor="text1" w:themeTint="BF"/>
    </w:rPr>
  </w:style>
  <w:style w:type="character" w:customStyle="1" w:styleId="a8">
    <w:name w:val="引用 字符"/>
    <w:basedOn w:val="a0"/>
    <w:link w:val="a7"/>
    <w:uiPriority w:val="29"/>
    <w:rsid w:val="00EC780E"/>
    <w:rPr>
      <w:i/>
      <w:iCs/>
      <w:color w:val="404040" w:themeColor="text1" w:themeTint="BF"/>
    </w:rPr>
  </w:style>
  <w:style w:type="paragraph" w:styleId="a9">
    <w:name w:val="List Paragraph"/>
    <w:basedOn w:val="a"/>
    <w:uiPriority w:val="34"/>
    <w:qFormat/>
    <w:rsid w:val="00EC780E"/>
    <w:pPr>
      <w:ind w:left="720"/>
      <w:contextualSpacing/>
    </w:pPr>
  </w:style>
  <w:style w:type="character" w:styleId="aa">
    <w:name w:val="Intense Emphasis"/>
    <w:basedOn w:val="a0"/>
    <w:uiPriority w:val="21"/>
    <w:qFormat/>
    <w:rsid w:val="00EC780E"/>
    <w:rPr>
      <w:i/>
      <w:iCs/>
      <w:color w:val="0F4761" w:themeColor="accent1" w:themeShade="BF"/>
    </w:rPr>
  </w:style>
  <w:style w:type="paragraph" w:styleId="ab">
    <w:name w:val="Intense Quote"/>
    <w:basedOn w:val="a"/>
    <w:next w:val="a"/>
    <w:link w:val="ac"/>
    <w:uiPriority w:val="30"/>
    <w:qFormat/>
    <w:rsid w:val="00EC78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C780E"/>
    <w:rPr>
      <w:i/>
      <w:iCs/>
      <w:color w:val="0F4761" w:themeColor="accent1" w:themeShade="BF"/>
    </w:rPr>
  </w:style>
  <w:style w:type="character" w:styleId="ad">
    <w:name w:val="Intense Reference"/>
    <w:basedOn w:val="a0"/>
    <w:uiPriority w:val="32"/>
    <w:qFormat/>
    <w:rsid w:val="00EC780E"/>
    <w:rPr>
      <w:b/>
      <w:bCs/>
      <w:smallCaps/>
      <w:color w:val="0F4761" w:themeColor="accent1" w:themeShade="BF"/>
      <w:spacing w:val="5"/>
    </w:rPr>
  </w:style>
  <w:style w:type="character" w:styleId="ae">
    <w:name w:val="Strong"/>
    <w:basedOn w:val="a0"/>
    <w:uiPriority w:val="22"/>
    <w:qFormat/>
    <w:rsid w:val="00EC780E"/>
    <w:rPr>
      <w:b/>
      <w:bCs/>
    </w:rPr>
  </w:style>
  <w:style w:type="paragraph" w:styleId="af">
    <w:name w:val="Normal (Web)"/>
    <w:basedOn w:val="a"/>
    <w:uiPriority w:val="99"/>
    <w:semiHidden/>
    <w:unhideWhenUsed/>
    <w:rsid w:val="00EC780E"/>
    <w:pPr>
      <w:spacing w:before="100" w:beforeAutospacing="1" w:after="100" w:afterAutospacing="1"/>
    </w:pPr>
  </w:style>
  <w:style w:type="character" w:styleId="af0">
    <w:name w:val="Emphasis"/>
    <w:basedOn w:val="a0"/>
    <w:uiPriority w:val="20"/>
    <w:qFormat/>
    <w:rsid w:val="00EC78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151602">
      <w:bodyDiv w:val="1"/>
      <w:marLeft w:val="0"/>
      <w:marRight w:val="0"/>
      <w:marTop w:val="0"/>
      <w:marBottom w:val="0"/>
      <w:divBdr>
        <w:top w:val="none" w:sz="0" w:space="0" w:color="auto"/>
        <w:left w:val="none" w:sz="0" w:space="0" w:color="auto"/>
        <w:bottom w:val="none" w:sz="0" w:space="0" w:color="auto"/>
        <w:right w:val="none" w:sz="0" w:space="0" w:color="auto"/>
      </w:divBdr>
    </w:div>
    <w:div w:id="290288701">
      <w:bodyDiv w:val="1"/>
      <w:marLeft w:val="0"/>
      <w:marRight w:val="0"/>
      <w:marTop w:val="0"/>
      <w:marBottom w:val="0"/>
      <w:divBdr>
        <w:top w:val="none" w:sz="0" w:space="0" w:color="auto"/>
        <w:left w:val="none" w:sz="0" w:space="0" w:color="auto"/>
        <w:bottom w:val="none" w:sz="0" w:space="0" w:color="auto"/>
        <w:right w:val="none" w:sz="0" w:space="0" w:color="auto"/>
      </w:divBdr>
    </w:div>
    <w:div w:id="359280465">
      <w:bodyDiv w:val="1"/>
      <w:marLeft w:val="0"/>
      <w:marRight w:val="0"/>
      <w:marTop w:val="0"/>
      <w:marBottom w:val="0"/>
      <w:divBdr>
        <w:top w:val="none" w:sz="0" w:space="0" w:color="auto"/>
        <w:left w:val="none" w:sz="0" w:space="0" w:color="auto"/>
        <w:bottom w:val="none" w:sz="0" w:space="0" w:color="auto"/>
        <w:right w:val="none" w:sz="0" w:space="0" w:color="auto"/>
      </w:divBdr>
    </w:div>
    <w:div w:id="362482402">
      <w:bodyDiv w:val="1"/>
      <w:marLeft w:val="0"/>
      <w:marRight w:val="0"/>
      <w:marTop w:val="0"/>
      <w:marBottom w:val="0"/>
      <w:divBdr>
        <w:top w:val="none" w:sz="0" w:space="0" w:color="auto"/>
        <w:left w:val="none" w:sz="0" w:space="0" w:color="auto"/>
        <w:bottom w:val="none" w:sz="0" w:space="0" w:color="auto"/>
        <w:right w:val="none" w:sz="0" w:space="0" w:color="auto"/>
      </w:divBdr>
    </w:div>
    <w:div w:id="401686135">
      <w:bodyDiv w:val="1"/>
      <w:marLeft w:val="0"/>
      <w:marRight w:val="0"/>
      <w:marTop w:val="0"/>
      <w:marBottom w:val="0"/>
      <w:divBdr>
        <w:top w:val="none" w:sz="0" w:space="0" w:color="auto"/>
        <w:left w:val="none" w:sz="0" w:space="0" w:color="auto"/>
        <w:bottom w:val="none" w:sz="0" w:space="0" w:color="auto"/>
        <w:right w:val="none" w:sz="0" w:space="0" w:color="auto"/>
      </w:divBdr>
    </w:div>
    <w:div w:id="541989341">
      <w:bodyDiv w:val="1"/>
      <w:marLeft w:val="0"/>
      <w:marRight w:val="0"/>
      <w:marTop w:val="0"/>
      <w:marBottom w:val="0"/>
      <w:divBdr>
        <w:top w:val="none" w:sz="0" w:space="0" w:color="auto"/>
        <w:left w:val="none" w:sz="0" w:space="0" w:color="auto"/>
        <w:bottom w:val="none" w:sz="0" w:space="0" w:color="auto"/>
        <w:right w:val="none" w:sz="0" w:space="0" w:color="auto"/>
      </w:divBdr>
      <w:divsChild>
        <w:div w:id="514077359">
          <w:marLeft w:val="0"/>
          <w:marRight w:val="0"/>
          <w:marTop w:val="0"/>
          <w:marBottom w:val="0"/>
          <w:divBdr>
            <w:top w:val="none" w:sz="0" w:space="0" w:color="auto"/>
            <w:left w:val="none" w:sz="0" w:space="0" w:color="auto"/>
            <w:bottom w:val="none" w:sz="0" w:space="0" w:color="auto"/>
            <w:right w:val="none" w:sz="0" w:space="0" w:color="auto"/>
          </w:divBdr>
        </w:div>
        <w:div w:id="1943368274">
          <w:marLeft w:val="0"/>
          <w:marRight w:val="0"/>
          <w:marTop w:val="0"/>
          <w:marBottom w:val="0"/>
          <w:divBdr>
            <w:top w:val="none" w:sz="0" w:space="0" w:color="auto"/>
            <w:left w:val="none" w:sz="0" w:space="0" w:color="auto"/>
            <w:bottom w:val="none" w:sz="0" w:space="0" w:color="auto"/>
            <w:right w:val="none" w:sz="0" w:space="0" w:color="auto"/>
          </w:divBdr>
        </w:div>
        <w:div w:id="325672474">
          <w:marLeft w:val="0"/>
          <w:marRight w:val="0"/>
          <w:marTop w:val="0"/>
          <w:marBottom w:val="0"/>
          <w:divBdr>
            <w:top w:val="none" w:sz="0" w:space="0" w:color="auto"/>
            <w:left w:val="none" w:sz="0" w:space="0" w:color="auto"/>
            <w:bottom w:val="none" w:sz="0" w:space="0" w:color="auto"/>
            <w:right w:val="none" w:sz="0" w:space="0" w:color="auto"/>
          </w:divBdr>
        </w:div>
      </w:divsChild>
    </w:div>
    <w:div w:id="738401108">
      <w:bodyDiv w:val="1"/>
      <w:marLeft w:val="0"/>
      <w:marRight w:val="0"/>
      <w:marTop w:val="0"/>
      <w:marBottom w:val="0"/>
      <w:divBdr>
        <w:top w:val="none" w:sz="0" w:space="0" w:color="auto"/>
        <w:left w:val="none" w:sz="0" w:space="0" w:color="auto"/>
        <w:bottom w:val="none" w:sz="0" w:space="0" w:color="auto"/>
        <w:right w:val="none" w:sz="0" w:space="0" w:color="auto"/>
      </w:divBdr>
    </w:div>
    <w:div w:id="790440069">
      <w:bodyDiv w:val="1"/>
      <w:marLeft w:val="0"/>
      <w:marRight w:val="0"/>
      <w:marTop w:val="0"/>
      <w:marBottom w:val="0"/>
      <w:divBdr>
        <w:top w:val="none" w:sz="0" w:space="0" w:color="auto"/>
        <w:left w:val="none" w:sz="0" w:space="0" w:color="auto"/>
        <w:bottom w:val="none" w:sz="0" w:space="0" w:color="auto"/>
        <w:right w:val="none" w:sz="0" w:space="0" w:color="auto"/>
      </w:divBdr>
    </w:div>
    <w:div w:id="920721938">
      <w:bodyDiv w:val="1"/>
      <w:marLeft w:val="0"/>
      <w:marRight w:val="0"/>
      <w:marTop w:val="0"/>
      <w:marBottom w:val="0"/>
      <w:divBdr>
        <w:top w:val="none" w:sz="0" w:space="0" w:color="auto"/>
        <w:left w:val="none" w:sz="0" w:space="0" w:color="auto"/>
        <w:bottom w:val="none" w:sz="0" w:space="0" w:color="auto"/>
        <w:right w:val="none" w:sz="0" w:space="0" w:color="auto"/>
      </w:divBdr>
    </w:div>
    <w:div w:id="983705035">
      <w:bodyDiv w:val="1"/>
      <w:marLeft w:val="0"/>
      <w:marRight w:val="0"/>
      <w:marTop w:val="0"/>
      <w:marBottom w:val="0"/>
      <w:divBdr>
        <w:top w:val="none" w:sz="0" w:space="0" w:color="auto"/>
        <w:left w:val="none" w:sz="0" w:space="0" w:color="auto"/>
        <w:bottom w:val="none" w:sz="0" w:space="0" w:color="auto"/>
        <w:right w:val="none" w:sz="0" w:space="0" w:color="auto"/>
      </w:divBdr>
    </w:div>
    <w:div w:id="992181040">
      <w:bodyDiv w:val="1"/>
      <w:marLeft w:val="0"/>
      <w:marRight w:val="0"/>
      <w:marTop w:val="0"/>
      <w:marBottom w:val="0"/>
      <w:divBdr>
        <w:top w:val="none" w:sz="0" w:space="0" w:color="auto"/>
        <w:left w:val="none" w:sz="0" w:space="0" w:color="auto"/>
        <w:bottom w:val="none" w:sz="0" w:space="0" w:color="auto"/>
        <w:right w:val="none" w:sz="0" w:space="0" w:color="auto"/>
      </w:divBdr>
      <w:divsChild>
        <w:div w:id="1233586662">
          <w:marLeft w:val="0"/>
          <w:marRight w:val="0"/>
          <w:marTop w:val="0"/>
          <w:marBottom w:val="0"/>
          <w:divBdr>
            <w:top w:val="none" w:sz="0" w:space="0" w:color="auto"/>
            <w:left w:val="none" w:sz="0" w:space="0" w:color="auto"/>
            <w:bottom w:val="none" w:sz="0" w:space="0" w:color="auto"/>
            <w:right w:val="none" w:sz="0" w:space="0" w:color="auto"/>
          </w:divBdr>
        </w:div>
        <w:div w:id="1187788715">
          <w:marLeft w:val="0"/>
          <w:marRight w:val="0"/>
          <w:marTop w:val="0"/>
          <w:marBottom w:val="0"/>
          <w:divBdr>
            <w:top w:val="none" w:sz="0" w:space="0" w:color="auto"/>
            <w:left w:val="none" w:sz="0" w:space="0" w:color="auto"/>
            <w:bottom w:val="none" w:sz="0" w:space="0" w:color="auto"/>
            <w:right w:val="none" w:sz="0" w:space="0" w:color="auto"/>
          </w:divBdr>
        </w:div>
        <w:div w:id="2014254813">
          <w:marLeft w:val="0"/>
          <w:marRight w:val="0"/>
          <w:marTop w:val="0"/>
          <w:marBottom w:val="0"/>
          <w:divBdr>
            <w:top w:val="none" w:sz="0" w:space="0" w:color="auto"/>
            <w:left w:val="none" w:sz="0" w:space="0" w:color="auto"/>
            <w:bottom w:val="none" w:sz="0" w:space="0" w:color="auto"/>
            <w:right w:val="none" w:sz="0" w:space="0" w:color="auto"/>
          </w:divBdr>
        </w:div>
        <w:div w:id="386340327">
          <w:marLeft w:val="0"/>
          <w:marRight w:val="0"/>
          <w:marTop w:val="0"/>
          <w:marBottom w:val="0"/>
          <w:divBdr>
            <w:top w:val="none" w:sz="0" w:space="0" w:color="auto"/>
            <w:left w:val="none" w:sz="0" w:space="0" w:color="auto"/>
            <w:bottom w:val="none" w:sz="0" w:space="0" w:color="auto"/>
            <w:right w:val="none" w:sz="0" w:space="0" w:color="auto"/>
          </w:divBdr>
        </w:div>
        <w:div w:id="1904414131">
          <w:marLeft w:val="0"/>
          <w:marRight w:val="0"/>
          <w:marTop w:val="0"/>
          <w:marBottom w:val="0"/>
          <w:divBdr>
            <w:top w:val="none" w:sz="0" w:space="0" w:color="auto"/>
            <w:left w:val="none" w:sz="0" w:space="0" w:color="auto"/>
            <w:bottom w:val="none" w:sz="0" w:space="0" w:color="auto"/>
            <w:right w:val="none" w:sz="0" w:space="0" w:color="auto"/>
          </w:divBdr>
        </w:div>
        <w:div w:id="719787226">
          <w:marLeft w:val="0"/>
          <w:marRight w:val="0"/>
          <w:marTop w:val="0"/>
          <w:marBottom w:val="0"/>
          <w:divBdr>
            <w:top w:val="none" w:sz="0" w:space="0" w:color="auto"/>
            <w:left w:val="none" w:sz="0" w:space="0" w:color="auto"/>
            <w:bottom w:val="none" w:sz="0" w:space="0" w:color="auto"/>
            <w:right w:val="none" w:sz="0" w:space="0" w:color="auto"/>
          </w:divBdr>
        </w:div>
        <w:div w:id="1964728618">
          <w:marLeft w:val="0"/>
          <w:marRight w:val="0"/>
          <w:marTop w:val="0"/>
          <w:marBottom w:val="0"/>
          <w:divBdr>
            <w:top w:val="none" w:sz="0" w:space="0" w:color="auto"/>
            <w:left w:val="none" w:sz="0" w:space="0" w:color="auto"/>
            <w:bottom w:val="none" w:sz="0" w:space="0" w:color="auto"/>
            <w:right w:val="none" w:sz="0" w:space="0" w:color="auto"/>
          </w:divBdr>
        </w:div>
      </w:divsChild>
    </w:div>
    <w:div w:id="1010794456">
      <w:bodyDiv w:val="1"/>
      <w:marLeft w:val="0"/>
      <w:marRight w:val="0"/>
      <w:marTop w:val="0"/>
      <w:marBottom w:val="0"/>
      <w:divBdr>
        <w:top w:val="none" w:sz="0" w:space="0" w:color="auto"/>
        <w:left w:val="none" w:sz="0" w:space="0" w:color="auto"/>
        <w:bottom w:val="none" w:sz="0" w:space="0" w:color="auto"/>
        <w:right w:val="none" w:sz="0" w:space="0" w:color="auto"/>
      </w:divBdr>
      <w:divsChild>
        <w:div w:id="193929112">
          <w:marLeft w:val="0"/>
          <w:marRight w:val="0"/>
          <w:marTop w:val="0"/>
          <w:marBottom w:val="0"/>
          <w:divBdr>
            <w:top w:val="none" w:sz="0" w:space="0" w:color="auto"/>
            <w:left w:val="none" w:sz="0" w:space="0" w:color="auto"/>
            <w:bottom w:val="none" w:sz="0" w:space="0" w:color="auto"/>
            <w:right w:val="none" w:sz="0" w:space="0" w:color="auto"/>
          </w:divBdr>
        </w:div>
        <w:div w:id="1545023812">
          <w:marLeft w:val="0"/>
          <w:marRight w:val="0"/>
          <w:marTop w:val="0"/>
          <w:marBottom w:val="0"/>
          <w:divBdr>
            <w:top w:val="none" w:sz="0" w:space="0" w:color="auto"/>
            <w:left w:val="none" w:sz="0" w:space="0" w:color="auto"/>
            <w:bottom w:val="none" w:sz="0" w:space="0" w:color="auto"/>
            <w:right w:val="none" w:sz="0" w:space="0" w:color="auto"/>
          </w:divBdr>
        </w:div>
        <w:div w:id="581911203">
          <w:marLeft w:val="0"/>
          <w:marRight w:val="0"/>
          <w:marTop w:val="0"/>
          <w:marBottom w:val="0"/>
          <w:divBdr>
            <w:top w:val="none" w:sz="0" w:space="0" w:color="auto"/>
            <w:left w:val="none" w:sz="0" w:space="0" w:color="auto"/>
            <w:bottom w:val="none" w:sz="0" w:space="0" w:color="auto"/>
            <w:right w:val="none" w:sz="0" w:space="0" w:color="auto"/>
          </w:divBdr>
        </w:div>
        <w:div w:id="337733009">
          <w:marLeft w:val="0"/>
          <w:marRight w:val="0"/>
          <w:marTop w:val="0"/>
          <w:marBottom w:val="0"/>
          <w:divBdr>
            <w:top w:val="none" w:sz="0" w:space="0" w:color="auto"/>
            <w:left w:val="none" w:sz="0" w:space="0" w:color="auto"/>
            <w:bottom w:val="none" w:sz="0" w:space="0" w:color="auto"/>
            <w:right w:val="none" w:sz="0" w:space="0" w:color="auto"/>
          </w:divBdr>
        </w:div>
      </w:divsChild>
    </w:div>
    <w:div w:id="1042366963">
      <w:bodyDiv w:val="1"/>
      <w:marLeft w:val="0"/>
      <w:marRight w:val="0"/>
      <w:marTop w:val="0"/>
      <w:marBottom w:val="0"/>
      <w:divBdr>
        <w:top w:val="none" w:sz="0" w:space="0" w:color="auto"/>
        <w:left w:val="none" w:sz="0" w:space="0" w:color="auto"/>
        <w:bottom w:val="none" w:sz="0" w:space="0" w:color="auto"/>
        <w:right w:val="none" w:sz="0" w:space="0" w:color="auto"/>
      </w:divBdr>
    </w:div>
    <w:div w:id="1072461797">
      <w:bodyDiv w:val="1"/>
      <w:marLeft w:val="0"/>
      <w:marRight w:val="0"/>
      <w:marTop w:val="0"/>
      <w:marBottom w:val="0"/>
      <w:divBdr>
        <w:top w:val="none" w:sz="0" w:space="0" w:color="auto"/>
        <w:left w:val="none" w:sz="0" w:space="0" w:color="auto"/>
        <w:bottom w:val="none" w:sz="0" w:space="0" w:color="auto"/>
        <w:right w:val="none" w:sz="0" w:space="0" w:color="auto"/>
      </w:divBdr>
      <w:divsChild>
        <w:div w:id="407076697">
          <w:marLeft w:val="0"/>
          <w:marRight w:val="0"/>
          <w:marTop w:val="0"/>
          <w:marBottom w:val="0"/>
          <w:divBdr>
            <w:top w:val="none" w:sz="0" w:space="0" w:color="auto"/>
            <w:left w:val="none" w:sz="0" w:space="0" w:color="auto"/>
            <w:bottom w:val="none" w:sz="0" w:space="0" w:color="auto"/>
            <w:right w:val="none" w:sz="0" w:space="0" w:color="auto"/>
          </w:divBdr>
        </w:div>
        <w:div w:id="222713478">
          <w:marLeft w:val="0"/>
          <w:marRight w:val="0"/>
          <w:marTop w:val="0"/>
          <w:marBottom w:val="0"/>
          <w:divBdr>
            <w:top w:val="none" w:sz="0" w:space="0" w:color="auto"/>
            <w:left w:val="none" w:sz="0" w:space="0" w:color="auto"/>
            <w:bottom w:val="none" w:sz="0" w:space="0" w:color="auto"/>
            <w:right w:val="none" w:sz="0" w:space="0" w:color="auto"/>
          </w:divBdr>
        </w:div>
        <w:div w:id="1659847353">
          <w:marLeft w:val="0"/>
          <w:marRight w:val="0"/>
          <w:marTop w:val="0"/>
          <w:marBottom w:val="0"/>
          <w:divBdr>
            <w:top w:val="none" w:sz="0" w:space="0" w:color="auto"/>
            <w:left w:val="none" w:sz="0" w:space="0" w:color="auto"/>
            <w:bottom w:val="none" w:sz="0" w:space="0" w:color="auto"/>
            <w:right w:val="none" w:sz="0" w:space="0" w:color="auto"/>
          </w:divBdr>
        </w:div>
        <w:div w:id="1311328685">
          <w:marLeft w:val="0"/>
          <w:marRight w:val="0"/>
          <w:marTop w:val="0"/>
          <w:marBottom w:val="0"/>
          <w:divBdr>
            <w:top w:val="none" w:sz="0" w:space="0" w:color="auto"/>
            <w:left w:val="none" w:sz="0" w:space="0" w:color="auto"/>
            <w:bottom w:val="none" w:sz="0" w:space="0" w:color="auto"/>
            <w:right w:val="none" w:sz="0" w:space="0" w:color="auto"/>
          </w:divBdr>
        </w:div>
        <w:div w:id="353653557">
          <w:marLeft w:val="0"/>
          <w:marRight w:val="0"/>
          <w:marTop w:val="0"/>
          <w:marBottom w:val="0"/>
          <w:divBdr>
            <w:top w:val="none" w:sz="0" w:space="0" w:color="auto"/>
            <w:left w:val="none" w:sz="0" w:space="0" w:color="auto"/>
            <w:bottom w:val="none" w:sz="0" w:space="0" w:color="auto"/>
            <w:right w:val="none" w:sz="0" w:space="0" w:color="auto"/>
          </w:divBdr>
        </w:div>
      </w:divsChild>
    </w:div>
    <w:div w:id="1140460865">
      <w:bodyDiv w:val="1"/>
      <w:marLeft w:val="0"/>
      <w:marRight w:val="0"/>
      <w:marTop w:val="0"/>
      <w:marBottom w:val="0"/>
      <w:divBdr>
        <w:top w:val="none" w:sz="0" w:space="0" w:color="auto"/>
        <w:left w:val="none" w:sz="0" w:space="0" w:color="auto"/>
        <w:bottom w:val="none" w:sz="0" w:space="0" w:color="auto"/>
        <w:right w:val="none" w:sz="0" w:space="0" w:color="auto"/>
      </w:divBdr>
    </w:div>
    <w:div w:id="1156720822">
      <w:bodyDiv w:val="1"/>
      <w:marLeft w:val="0"/>
      <w:marRight w:val="0"/>
      <w:marTop w:val="0"/>
      <w:marBottom w:val="0"/>
      <w:divBdr>
        <w:top w:val="none" w:sz="0" w:space="0" w:color="auto"/>
        <w:left w:val="none" w:sz="0" w:space="0" w:color="auto"/>
        <w:bottom w:val="none" w:sz="0" w:space="0" w:color="auto"/>
        <w:right w:val="none" w:sz="0" w:space="0" w:color="auto"/>
      </w:divBdr>
      <w:divsChild>
        <w:div w:id="1702708848">
          <w:marLeft w:val="0"/>
          <w:marRight w:val="0"/>
          <w:marTop w:val="0"/>
          <w:marBottom w:val="0"/>
          <w:divBdr>
            <w:top w:val="none" w:sz="0" w:space="0" w:color="auto"/>
            <w:left w:val="none" w:sz="0" w:space="0" w:color="auto"/>
            <w:bottom w:val="none" w:sz="0" w:space="0" w:color="auto"/>
            <w:right w:val="none" w:sz="0" w:space="0" w:color="auto"/>
          </w:divBdr>
          <w:divsChild>
            <w:div w:id="2073500169">
              <w:marLeft w:val="0"/>
              <w:marRight w:val="0"/>
              <w:marTop w:val="0"/>
              <w:marBottom w:val="0"/>
              <w:divBdr>
                <w:top w:val="none" w:sz="0" w:space="0" w:color="auto"/>
                <w:left w:val="none" w:sz="0" w:space="0" w:color="auto"/>
                <w:bottom w:val="none" w:sz="0" w:space="0" w:color="auto"/>
                <w:right w:val="none" w:sz="0" w:space="0" w:color="auto"/>
              </w:divBdr>
              <w:divsChild>
                <w:div w:id="114102169">
                  <w:marLeft w:val="0"/>
                  <w:marRight w:val="0"/>
                  <w:marTop w:val="0"/>
                  <w:marBottom w:val="0"/>
                  <w:divBdr>
                    <w:top w:val="none" w:sz="0" w:space="0" w:color="auto"/>
                    <w:left w:val="none" w:sz="0" w:space="0" w:color="auto"/>
                    <w:bottom w:val="none" w:sz="0" w:space="0" w:color="auto"/>
                    <w:right w:val="none" w:sz="0" w:space="0" w:color="auto"/>
                  </w:divBdr>
                  <w:divsChild>
                    <w:div w:id="1300769992">
                      <w:marLeft w:val="0"/>
                      <w:marRight w:val="0"/>
                      <w:marTop w:val="0"/>
                      <w:marBottom w:val="0"/>
                      <w:divBdr>
                        <w:top w:val="none" w:sz="0" w:space="0" w:color="auto"/>
                        <w:left w:val="none" w:sz="0" w:space="0" w:color="auto"/>
                        <w:bottom w:val="none" w:sz="0" w:space="0" w:color="auto"/>
                        <w:right w:val="none" w:sz="0" w:space="0" w:color="auto"/>
                      </w:divBdr>
                      <w:divsChild>
                        <w:div w:id="285166329">
                          <w:marLeft w:val="0"/>
                          <w:marRight w:val="0"/>
                          <w:marTop w:val="0"/>
                          <w:marBottom w:val="0"/>
                          <w:divBdr>
                            <w:top w:val="none" w:sz="0" w:space="0" w:color="auto"/>
                            <w:left w:val="none" w:sz="0" w:space="0" w:color="auto"/>
                            <w:bottom w:val="none" w:sz="0" w:space="0" w:color="auto"/>
                            <w:right w:val="none" w:sz="0" w:space="0" w:color="auto"/>
                          </w:divBdr>
                          <w:divsChild>
                            <w:div w:id="147136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572879">
      <w:bodyDiv w:val="1"/>
      <w:marLeft w:val="0"/>
      <w:marRight w:val="0"/>
      <w:marTop w:val="0"/>
      <w:marBottom w:val="0"/>
      <w:divBdr>
        <w:top w:val="none" w:sz="0" w:space="0" w:color="auto"/>
        <w:left w:val="none" w:sz="0" w:space="0" w:color="auto"/>
        <w:bottom w:val="none" w:sz="0" w:space="0" w:color="auto"/>
        <w:right w:val="none" w:sz="0" w:space="0" w:color="auto"/>
      </w:divBdr>
    </w:div>
    <w:div w:id="1276524206">
      <w:bodyDiv w:val="1"/>
      <w:marLeft w:val="0"/>
      <w:marRight w:val="0"/>
      <w:marTop w:val="0"/>
      <w:marBottom w:val="0"/>
      <w:divBdr>
        <w:top w:val="none" w:sz="0" w:space="0" w:color="auto"/>
        <w:left w:val="none" w:sz="0" w:space="0" w:color="auto"/>
        <w:bottom w:val="none" w:sz="0" w:space="0" w:color="auto"/>
        <w:right w:val="none" w:sz="0" w:space="0" w:color="auto"/>
      </w:divBdr>
    </w:div>
    <w:div w:id="1295403440">
      <w:bodyDiv w:val="1"/>
      <w:marLeft w:val="0"/>
      <w:marRight w:val="0"/>
      <w:marTop w:val="0"/>
      <w:marBottom w:val="0"/>
      <w:divBdr>
        <w:top w:val="none" w:sz="0" w:space="0" w:color="auto"/>
        <w:left w:val="none" w:sz="0" w:space="0" w:color="auto"/>
        <w:bottom w:val="none" w:sz="0" w:space="0" w:color="auto"/>
        <w:right w:val="none" w:sz="0" w:space="0" w:color="auto"/>
      </w:divBdr>
    </w:div>
    <w:div w:id="1350988516">
      <w:bodyDiv w:val="1"/>
      <w:marLeft w:val="0"/>
      <w:marRight w:val="0"/>
      <w:marTop w:val="0"/>
      <w:marBottom w:val="0"/>
      <w:divBdr>
        <w:top w:val="none" w:sz="0" w:space="0" w:color="auto"/>
        <w:left w:val="none" w:sz="0" w:space="0" w:color="auto"/>
        <w:bottom w:val="none" w:sz="0" w:space="0" w:color="auto"/>
        <w:right w:val="none" w:sz="0" w:space="0" w:color="auto"/>
      </w:divBdr>
    </w:div>
    <w:div w:id="1399401843">
      <w:bodyDiv w:val="1"/>
      <w:marLeft w:val="0"/>
      <w:marRight w:val="0"/>
      <w:marTop w:val="0"/>
      <w:marBottom w:val="0"/>
      <w:divBdr>
        <w:top w:val="none" w:sz="0" w:space="0" w:color="auto"/>
        <w:left w:val="none" w:sz="0" w:space="0" w:color="auto"/>
        <w:bottom w:val="none" w:sz="0" w:space="0" w:color="auto"/>
        <w:right w:val="none" w:sz="0" w:space="0" w:color="auto"/>
      </w:divBdr>
      <w:divsChild>
        <w:div w:id="1068311466">
          <w:marLeft w:val="0"/>
          <w:marRight w:val="0"/>
          <w:marTop w:val="0"/>
          <w:marBottom w:val="0"/>
          <w:divBdr>
            <w:top w:val="none" w:sz="0" w:space="0" w:color="auto"/>
            <w:left w:val="none" w:sz="0" w:space="0" w:color="auto"/>
            <w:bottom w:val="none" w:sz="0" w:space="0" w:color="auto"/>
            <w:right w:val="none" w:sz="0" w:space="0" w:color="auto"/>
          </w:divBdr>
          <w:divsChild>
            <w:div w:id="1473714750">
              <w:marLeft w:val="0"/>
              <w:marRight w:val="0"/>
              <w:marTop w:val="0"/>
              <w:marBottom w:val="0"/>
              <w:divBdr>
                <w:top w:val="none" w:sz="0" w:space="0" w:color="auto"/>
                <w:left w:val="none" w:sz="0" w:space="0" w:color="auto"/>
                <w:bottom w:val="none" w:sz="0" w:space="0" w:color="auto"/>
                <w:right w:val="none" w:sz="0" w:space="0" w:color="auto"/>
              </w:divBdr>
              <w:divsChild>
                <w:div w:id="1358189726">
                  <w:marLeft w:val="0"/>
                  <w:marRight w:val="0"/>
                  <w:marTop w:val="0"/>
                  <w:marBottom w:val="0"/>
                  <w:divBdr>
                    <w:top w:val="none" w:sz="0" w:space="0" w:color="auto"/>
                    <w:left w:val="none" w:sz="0" w:space="0" w:color="auto"/>
                    <w:bottom w:val="none" w:sz="0" w:space="0" w:color="auto"/>
                    <w:right w:val="none" w:sz="0" w:space="0" w:color="auto"/>
                  </w:divBdr>
                  <w:divsChild>
                    <w:div w:id="199741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216281">
      <w:bodyDiv w:val="1"/>
      <w:marLeft w:val="0"/>
      <w:marRight w:val="0"/>
      <w:marTop w:val="0"/>
      <w:marBottom w:val="0"/>
      <w:divBdr>
        <w:top w:val="none" w:sz="0" w:space="0" w:color="auto"/>
        <w:left w:val="none" w:sz="0" w:space="0" w:color="auto"/>
        <w:bottom w:val="none" w:sz="0" w:space="0" w:color="auto"/>
        <w:right w:val="none" w:sz="0" w:space="0" w:color="auto"/>
      </w:divBdr>
    </w:div>
    <w:div w:id="1733038384">
      <w:bodyDiv w:val="1"/>
      <w:marLeft w:val="0"/>
      <w:marRight w:val="0"/>
      <w:marTop w:val="0"/>
      <w:marBottom w:val="0"/>
      <w:divBdr>
        <w:top w:val="none" w:sz="0" w:space="0" w:color="auto"/>
        <w:left w:val="none" w:sz="0" w:space="0" w:color="auto"/>
        <w:bottom w:val="none" w:sz="0" w:space="0" w:color="auto"/>
        <w:right w:val="none" w:sz="0" w:space="0" w:color="auto"/>
      </w:divBdr>
    </w:div>
    <w:div w:id="1815368660">
      <w:bodyDiv w:val="1"/>
      <w:marLeft w:val="0"/>
      <w:marRight w:val="0"/>
      <w:marTop w:val="0"/>
      <w:marBottom w:val="0"/>
      <w:divBdr>
        <w:top w:val="none" w:sz="0" w:space="0" w:color="auto"/>
        <w:left w:val="none" w:sz="0" w:space="0" w:color="auto"/>
        <w:bottom w:val="none" w:sz="0" w:space="0" w:color="auto"/>
        <w:right w:val="none" w:sz="0" w:space="0" w:color="auto"/>
      </w:divBdr>
    </w:div>
    <w:div w:id="1853841066">
      <w:bodyDiv w:val="1"/>
      <w:marLeft w:val="0"/>
      <w:marRight w:val="0"/>
      <w:marTop w:val="0"/>
      <w:marBottom w:val="0"/>
      <w:divBdr>
        <w:top w:val="none" w:sz="0" w:space="0" w:color="auto"/>
        <w:left w:val="none" w:sz="0" w:space="0" w:color="auto"/>
        <w:bottom w:val="none" w:sz="0" w:space="0" w:color="auto"/>
        <w:right w:val="none" w:sz="0" w:space="0" w:color="auto"/>
      </w:divBdr>
      <w:divsChild>
        <w:div w:id="409229997">
          <w:marLeft w:val="0"/>
          <w:marRight w:val="0"/>
          <w:marTop w:val="0"/>
          <w:marBottom w:val="0"/>
          <w:divBdr>
            <w:top w:val="none" w:sz="0" w:space="0" w:color="auto"/>
            <w:left w:val="none" w:sz="0" w:space="0" w:color="auto"/>
            <w:bottom w:val="none" w:sz="0" w:space="0" w:color="auto"/>
            <w:right w:val="none" w:sz="0" w:space="0" w:color="auto"/>
          </w:divBdr>
        </w:div>
        <w:div w:id="1274558252">
          <w:marLeft w:val="0"/>
          <w:marRight w:val="0"/>
          <w:marTop w:val="0"/>
          <w:marBottom w:val="0"/>
          <w:divBdr>
            <w:top w:val="none" w:sz="0" w:space="0" w:color="auto"/>
            <w:left w:val="none" w:sz="0" w:space="0" w:color="auto"/>
            <w:bottom w:val="none" w:sz="0" w:space="0" w:color="auto"/>
            <w:right w:val="none" w:sz="0" w:space="0" w:color="auto"/>
          </w:divBdr>
        </w:div>
        <w:div w:id="221018334">
          <w:marLeft w:val="0"/>
          <w:marRight w:val="0"/>
          <w:marTop w:val="0"/>
          <w:marBottom w:val="0"/>
          <w:divBdr>
            <w:top w:val="none" w:sz="0" w:space="0" w:color="auto"/>
            <w:left w:val="none" w:sz="0" w:space="0" w:color="auto"/>
            <w:bottom w:val="none" w:sz="0" w:space="0" w:color="auto"/>
            <w:right w:val="none" w:sz="0" w:space="0" w:color="auto"/>
          </w:divBdr>
        </w:div>
        <w:div w:id="1227303305">
          <w:marLeft w:val="0"/>
          <w:marRight w:val="0"/>
          <w:marTop w:val="0"/>
          <w:marBottom w:val="0"/>
          <w:divBdr>
            <w:top w:val="none" w:sz="0" w:space="0" w:color="auto"/>
            <w:left w:val="none" w:sz="0" w:space="0" w:color="auto"/>
            <w:bottom w:val="none" w:sz="0" w:space="0" w:color="auto"/>
            <w:right w:val="none" w:sz="0" w:space="0" w:color="auto"/>
          </w:divBdr>
        </w:div>
      </w:divsChild>
    </w:div>
    <w:div w:id="2057897947">
      <w:bodyDiv w:val="1"/>
      <w:marLeft w:val="0"/>
      <w:marRight w:val="0"/>
      <w:marTop w:val="0"/>
      <w:marBottom w:val="0"/>
      <w:divBdr>
        <w:top w:val="none" w:sz="0" w:space="0" w:color="auto"/>
        <w:left w:val="none" w:sz="0" w:space="0" w:color="auto"/>
        <w:bottom w:val="none" w:sz="0" w:space="0" w:color="auto"/>
        <w:right w:val="none" w:sz="0" w:space="0" w:color="auto"/>
      </w:divBdr>
      <w:divsChild>
        <w:div w:id="1012798389">
          <w:marLeft w:val="0"/>
          <w:marRight w:val="0"/>
          <w:marTop w:val="0"/>
          <w:marBottom w:val="0"/>
          <w:divBdr>
            <w:top w:val="none" w:sz="0" w:space="0" w:color="auto"/>
            <w:left w:val="none" w:sz="0" w:space="0" w:color="auto"/>
            <w:bottom w:val="none" w:sz="0" w:space="0" w:color="auto"/>
            <w:right w:val="none" w:sz="0" w:space="0" w:color="auto"/>
          </w:divBdr>
        </w:div>
        <w:div w:id="268049428">
          <w:marLeft w:val="0"/>
          <w:marRight w:val="0"/>
          <w:marTop w:val="0"/>
          <w:marBottom w:val="0"/>
          <w:divBdr>
            <w:top w:val="none" w:sz="0" w:space="0" w:color="auto"/>
            <w:left w:val="none" w:sz="0" w:space="0" w:color="auto"/>
            <w:bottom w:val="none" w:sz="0" w:space="0" w:color="auto"/>
            <w:right w:val="none" w:sz="0" w:space="0" w:color="auto"/>
          </w:divBdr>
        </w:div>
        <w:div w:id="1031806348">
          <w:marLeft w:val="0"/>
          <w:marRight w:val="0"/>
          <w:marTop w:val="0"/>
          <w:marBottom w:val="0"/>
          <w:divBdr>
            <w:top w:val="none" w:sz="0" w:space="0" w:color="auto"/>
            <w:left w:val="none" w:sz="0" w:space="0" w:color="auto"/>
            <w:bottom w:val="none" w:sz="0" w:space="0" w:color="auto"/>
            <w:right w:val="none" w:sz="0" w:space="0" w:color="auto"/>
          </w:divBdr>
        </w:div>
        <w:div w:id="509413998">
          <w:marLeft w:val="0"/>
          <w:marRight w:val="0"/>
          <w:marTop w:val="0"/>
          <w:marBottom w:val="0"/>
          <w:divBdr>
            <w:top w:val="none" w:sz="0" w:space="0" w:color="auto"/>
            <w:left w:val="none" w:sz="0" w:space="0" w:color="auto"/>
            <w:bottom w:val="none" w:sz="0" w:space="0" w:color="auto"/>
            <w:right w:val="none" w:sz="0" w:space="0" w:color="auto"/>
          </w:divBdr>
        </w:div>
        <w:div w:id="1129202388">
          <w:marLeft w:val="0"/>
          <w:marRight w:val="0"/>
          <w:marTop w:val="0"/>
          <w:marBottom w:val="0"/>
          <w:divBdr>
            <w:top w:val="none" w:sz="0" w:space="0" w:color="auto"/>
            <w:left w:val="none" w:sz="0" w:space="0" w:color="auto"/>
            <w:bottom w:val="none" w:sz="0" w:space="0" w:color="auto"/>
            <w:right w:val="none" w:sz="0" w:space="0" w:color="auto"/>
          </w:divBdr>
        </w:div>
        <w:div w:id="2088571522">
          <w:marLeft w:val="0"/>
          <w:marRight w:val="0"/>
          <w:marTop w:val="0"/>
          <w:marBottom w:val="0"/>
          <w:divBdr>
            <w:top w:val="none" w:sz="0" w:space="0" w:color="auto"/>
            <w:left w:val="none" w:sz="0" w:space="0" w:color="auto"/>
            <w:bottom w:val="none" w:sz="0" w:space="0" w:color="auto"/>
            <w:right w:val="none" w:sz="0" w:space="0" w:color="auto"/>
          </w:divBdr>
        </w:div>
        <w:div w:id="1787045231">
          <w:marLeft w:val="0"/>
          <w:marRight w:val="0"/>
          <w:marTop w:val="0"/>
          <w:marBottom w:val="0"/>
          <w:divBdr>
            <w:top w:val="none" w:sz="0" w:space="0" w:color="auto"/>
            <w:left w:val="none" w:sz="0" w:space="0" w:color="auto"/>
            <w:bottom w:val="none" w:sz="0" w:space="0" w:color="auto"/>
            <w:right w:val="none" w:sz="0" w:space="0" w:color="auto"/>
          </w:divBdr>
        </w:div>
        <w:div w:id="431318747">
          <w:marLeft w:val="0"/>
          <w:marRight w:val="0"/>
          <w:marTop w:val="0"/>
          <w:marBottom w:val="0"/>
          <w:divBdr>
            <w:top w:val="none" w:sz="0" w:space="0" w:color="auto"/>
            <w:left w:val="none" w:sz="0" w:space="0" w:color="auto"/>
            <w:bottom w:val="none" w:sz="0" w:space="0" w:color="auto"/>
            <w:right w:val="none" w:sz="0" w:space="0" w:color="auto"/>
          </w:divBdr>
        </w:div>
      </w:divsChild>
    </w:div>
    <w:div w:id="210850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47</Pages>
  <Words>8739</Words>
  <Characters>49817</Characters>
  <Application>Microsoft Office Word</Application>
  <DocSecurity>0</DocSecurity>
  <Lines>415</Lines>
  <Paragraphs>116</Paragraphs>
  <ScaleCrop>false</ScaleCrop>
  <Company/>
  <LinksUpToDate>false</LinksUpToDate>
  <CharactersWithSpaces>58440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dc:creator>
  <cp:keywords/>
  <dc:description/>
  <cp:lastModifiedBy>O365</cp:lastModifiedBy>
  <cp:revision>2</cp:revision>
  <dcterms:created xsi:type="dcterms:W3CDTF">2025-01-12T19:37:00Z</dcterms:created>
  <dcterms:modified xsi:type="dcterms:W3CDTF">2025-01-12T22:33:00Z</dcterms:modified>
</cp:coreProperties>
</file>