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6B6B6B"/>
          <w:sz w:val="22"/>
          <w:szCs w:val="22"/>
        </w:rPr>
        <w:t xml:space="preserve">WEB DESIGN DOCUMENT</w:t>
      </w:r>
    </w:p>
    <w:p>
      <w:pPr>
        <w:spacing w:after="80" w:before="0"/>
      </w:pPr>
      <w:r>
        <w:rPr>
          <w:rFonts w:ascii="Arial" w:cs="Arial" w:eastAsia="Arial" w:hAnsi="Arial"/>
          <w:b/>
          <w:bCs/>
          <w:color w:val="1A1A1A"/>
          <w:sz w:val="56"/>
          <w:szCs w:val="56"/>
        </w:rPr>
        <w:t xml:space="preserve">Shui's Odyssey</w:t>
      </w:r>
    </w:p>
    <w:p>
      <w:pPr>
        <w:spacing w:after="60" w:before="0"/>
      </w:pPr>
      <w:r>
        <w:rPr>
          <w:rFonts w:ascii="Arial" w:cs="Arial" w:eastAsia="Arial" w:hAnsi="Arial"/>
          <w:color w:val="1F4E79"/>
          <w:sz w:val="32"/>
          <w:szCs w:val="32"/>
        </w:rPr>
        <w:t xml:space="preserve">《水远山遥》</w:t>
      </w:r>
    </w:p>
    <w:p>
      <w:pPr>
        <w:spacing w:after="200" w:before="0"/>
      </w:pPr>
      <w:r>
        <w:rPr>
          <w:rFonts w:ascii="Arial" w:cs="Arial" w:eastAsia="Arial" w:hAnsi="Arial"/>
          <w:color w:val="6B6B6B"/>
          <w:sz w:val="24"/>
          <w:szCs w:val="24"/>
        </w:rPr>
        <w:t xml:space="preserve">Project sub-page for Health portfolio site</w:t>
      </w:r>
    </w:p>
    <w:p>
      <w:pPr>
        <w:spacing w:after="60" w:before="60" w:line="300"/>
      </w:pPr>
      <w:r>
        <w:rPr>
          <w:rFonts w:ascii="Arial" w:cs="Arial" w:eastAsia="Arial" w:hAnsi="Arial"/>
          <w:b/>
          <w:bCs/>
          <w:sz w:val="22"/>
          <w:szCs w:val="22"/>
        </w:rPr>
        <w:t xml:space="preserve">Target site: </w:t>
      </w:r>
      <w:r>
        <w:rPr>
          <w:rFonts w:ascii="Arial" w:cs="Arial" w:eastAsia="Arial" w:hAnsi="Arial"/>
          <w:sz w:val="22"/>
          <w:szCs w:val="22"/>
        </w:rPr>
        <w:t xml:space="preserve">elliotyanghealth.com</w:t>
      </w:r>
    </w:p>
    <w:p>
      <w:pPr>
        <w:spacing w:after="60" w:before="60" w:line="300"/>
      </w:pPr>
      <w:r>
        <w:rPr>
          <w:rFonts w:ascii="Arial" w:cs="Arial" w:eastAsia="Arial" w:hAnsi="Arial"/>
          <w:b/>
          <w:bCs/>
          <w:sz w:val="22"/>
          <w:szCs w:val="22"/>
        </w:rPr>
        <w:t xml:space="preserve">Page path: </w:t>
      </w:r>
      <w:r>
        <w:rPr>
          <w:rFonts w:ascii="Arial" w:cs="Arial" w:eastAsia="Arial" w:hAnsi="Arial"/>
          <w:sz w:val="22"/>
          <w:szCs w:val="22"/>
        </w:rPr>
        <w:t xml:space="preserve">/projects/shuis-odyssey</w:t>
      </w:r>
    </w:p>
    <w:p>
      <w:pPr>
        <w:spacing w:after="60" w:before="60" w:line="300"/>
      </w:pPr>
      <w:r>
        <w:rPr>
          <w:rFonts w:ascii="Arial" w:cs="Arial" w:eastAsia="Arial" w:hAnsi="Arial"/>
          <w:b/>
          <w:bCs/>
          <w:sz w:val="22"/>
          <w:szCs w:val="22"/>
        </w:rPr>
        <w:t xml:space="preserve">Page language: </w:t>
      </w:r>
      <w:r>
        <w:rPr>
          <w:rFonts w:ascii="Arial" w:cs="Arial" w:eastAsia="Arial" w:hAnsi="Arial"/>
          <w:sz w:val="22"/>
          <w:szCs w:val="22"/>
        </w:rPr>
        <w:t xml:space="preserve">English (single-language page)</w:t>
      </w:r>
    </w:p>
    <w:p>
      <w:pPr>
        <w:spacing w:after="60" w:before="60" w:line="300"/>
      </w:pPr>
      <w:r>
        <w:rPr>
          <w:rFonts w:ascii="Arial" w:cs="Arial" w:eastAsia="Arial" w:hAnsi="Arial"/>
          <w:b/>
          <w:bCs/>
          <w:sz w:val="22"/>
          <w:szCs w:val="22"/>
        </w:rPr>
        <w:t xml:space="preserve">Document version: </w:t>
      </w:r>
      <w:r>
        <w:rPr>
          <w:rFonts w:ascii="Arial" w:cs="Arial" w:eastAsia="Arial" w:hAnsi="Arial"/>
          <w:sz w:val="22"/>
          <w:szCs w:val="22"/>
        </w:rPr>
        <w:t xml:space="preserve">v2.0 · 2026-04-30</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I. Positioning &amp; Narrative Strategy</w:t>
      </w:r>
    </w:p>
    <w:p>
      <w:pPr>
        <w:pStyle w:val="Heading2"/>
        <w:spacing w:after="140" w:before="280"/>
      </w:pPr>
      <w:r>
        <w:rPr>
          <w:rFonts w:ascii="Arial" w:cs="Arial" w:eastAsia="Arial" w:hAnsi="Arial"/>
          <w:b/>
          <w:bCs/>
          <w:color w:val="1A1A1A"/>
          <w:sz w:val="28"/>
          <w:szCs w:val="28"/>
        </w:rPr>
        <w:t xml:space="preserve">1.1 Core positioning</w:t>
      </w:r>
    </w:p>
    <w:p>
      <w:pPr>
        <w:spacing w:after="80" w:before="80" w:line="320"/>
      </w:pPr>
      <w:r>
        <w:rPr>
          <w:rFonts w:ascii="Arial" w:cs="Arial" w:eastAsia="Arial" w:hAnsi="Arial"/>
          <w:sz w:val="22"/>
          <w:szCs w:val="22"/>
        </w:rPr>
        <w:t xml:space="preserve">This page is not a game promo. It is a project case study, written in the language of the Health Tech industry, that proves the candidate can use interactive media to make a complex aging-related health topic legible, felt, and remembered.</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One-line positioning: A narrative puzzle game that lets players experience, from the inside, what it feels like when memory and perception begin to slip — turning passive awareness of Alzheimer's disease into first-person empathy.</w:t>
      </w:r>
    </w:p>
    <w:p>
      <w:pPr>
        <w:pStyle w:val="Heading2"/>
        <w:spacing w:after="140" w:before="280"/>
      </w:pPr>
      <w:r>
        <w:rPr>
          <w:rFonts w:ascii="Arial" w:cs="Arial" w:eastAsia="Arial" w:hAnsi="Arial"/>
          <w:b/>
          <w:bCs/>
          <w:color w:val="1A1A1A"/>
          <w:sz w:val="28"/>
          <w:szCs w:val="28"/>
        </w:rPr>
        <w:t xml:space="preserve">1.2 Audience reframing</w:t>
      </w:r>
    </w:p>
    <w:p>
      <w:pPr>
        <w:spacing w:after="80" w:before="80" w:line="320"/>
      </w:pPr>
      <w:r>
        <w:rPr>
          <w:rFonts w:ascii="Arial" w:cs="Arial" w:eastAsia="Arial" w:hAnsi="Arial"/>
          <w:sz w:val="22"/>
          <w:szCs w:val="22"/>
        </w:rPr>
        <w:t xml:space="preserve">The original game website (yanzhiyang1.com/game) speaks to players. This page speaks to recruiters and collaborators in Health Tech, digital health, aging-care, patient advocacy, and health communication. Every paragraph and every image must answer one of the following questions:</w:t>
      </w:r>
    </w:p>
    <w:p>
      <w:pPr>
        <w:pStyle w:val="ListParagraph"/>
        <w:numPr>
          <w:ilvl w:val="0"/>
          <w:numId w:val="2"/>
        </w:numPr>
        <w:spacing w:after="60" w:before="60" w:line="300"/>
      </w:pPr>
      <w:r>
        <w:rPr>
          <w:rFonts w:ascii="Arial" w:cs="Arial" w:eastAsia="Arial" w:hAnsi="Arial"/>
          <w:sz w:val="22"/>
          <w:szCs w:val="22"/>
        </w:rPr>
        <w:t xml:space="preserve">Does this candidate truly understand the lived reality of people with dementia and their families?</w:t>
      </w:r>
    </w:p>
    <w:p>
      <w:pPr>
        <w:pStyle w:val="ListParagraph"/>
        <w:numPr>
          <w:ilvl w:val="0"/>
          <w:numId w:val="2"/>
        </w:numPr>
        <w:spacing w:after="60" w:before="60" w:line="300"/>
      </w:pPr>
      <w:r>
        <w:rPr>
          <w:rFonts w:ascii="Arial" w:cs="Arial" w:eastAsia="Arial" w:hAnsi="Arial"/>
          <w:sz w:val="22"/>
          <w:szCs w:val="22"/>
        </w:rPr>
        <w:t xml:space="preserve">Can this candidate translate complex health topics into experiences the public can feel and act on?</w:t>
      </w:r>
    </w:p>
    <w:p>
      <w:pPr>
        <w:pStyle w:val="ListParagraph"/>
        <w:numPr>
          <w:ilvl w:val="0"/>
          <w:numId w:val="2"/>
        </w:numPr>
        <w:spacing w:after="60" w:before="60" w:line="300"/>
      </w:pPr>
      <w:r>
        <w:rPr>
          <w:rFonts w:ascii="Arial" w:cs="Arial" w:eastAsia="Arial" w:hAnsi="Arial"/>
          <w:sz w:val="22"/>
          <w:szCs w:val="22"/>
        </w:rPr>
        <w:t xml:space="preserve">Does this candidate have real research, design, and cross-disciplinary leadership experience?</w:t>
      </w:r>
    </w:p>
    <w:p>
      <w:pPr>
        <w:pStyle w:val="ListParagraph"/>
        <w:numPr>
          <w:ilvl w:val="0"/>
          <w:numId w:val="2"/>
        </w:numPr>
        <w:spacing w:after="60" w:before="60" w:line="300"/>
      </w:pPr>
      <w:r>
        <w:rPr>
          <w:rFonts w:ascii="Arial" w:cs="Arial" w:eastAsia="Arial" w:hAnsi="Arial"/>
          <w:sz w:val="22"/>
          <w:szCs w:val="22"/>
        </w:rPr>
        <w:t xml:space="preserve">Does this candidate hold a sustained, methodical interest in aging and health — not a one-off interest?</w:t>
      </w:r>
    </w:p>
    <w:p>
      <w:pPr>
        <w:pStyle w:val="Heading2"/>
        <w:spacing w:after="140" w:before="280"/>
      </w:pPr>
      <w:r>
        <w:rPr>
          <w:rFonts w:ascii="Arial" w:cs="Arial" w:eastAsia="Arial" w:hAnsi="Arial"/>
          <w:b/>
          <w:bCs/>
          <w:color w:val="1A1A1A"/>
          <w:sz w:val="28"/>
          <w:szCs w:val="28"/>
        </w:rPr>
        <w:t xml:space="preserve">1.3 Narrative arc (the inner logic of the page)</w:t>
      </w:r>
    </w:p>
    <w:p>
      <w:pPr>
        <w:spacing w:after="80" w:before="80" w:line="320"/>
      </w:pPr>
      <w:r>
        <w:rPr>
          <w:rFonts w:ascii="Arial" w:cs="Arial" w:eastAsia="Arial" w:hAnsi="Arial"/>
          <w:sz w:val="22"/>
          <w:szCs w:val="22"/>
        </w:rPr>
        <w:t xml:space="preserve">The page is structured along a five-beat arc rather than a generic intro → screenshots → video chronology. Each beat sends one specific signal to a Health Tech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Beat</w:t>
            </w:r>
          </w:p>
        </w:tc>
        <w:tc>
          <w:tcPr>
            <w:tcW w:type="dxa" w:w="3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Content theme</w:t>
            </w:r>
          </w:p>
        </w:tc>
        <w:tc>
          <w:tcPr>
            <w:tcW w:type="dxa" w:w="46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Signal sent to a Health Tech reader</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Why</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The reality of Alzheimer's; why we made this</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Genuine engagement with the topic, grounded in data and a clear design hypothesis — not topic-tourism</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What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The project itself: core mechanic and experience</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Ability to translate an abstract clinical concept into a concrete, shippable, emotionally legible product</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How</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Design rationale, mechanic-to-symptom mapping, team leadership</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A real method, a real process, real cross-disciplinary leadership — not just a polished surface</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So What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Outcomes: reception, reach, and player response</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Real-world impact on a real audience — not a portfolio piece</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Now What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What this experience translates to for Health Tech work</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Capabilities mapped explicitly to Health Tech needs — the reader does not have to guess</w:t>
            </w:r>
          </w:p>
        </w:tc>
      </w:tr>
    </w:tbl>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II. Visual Design Principles</w:t>
      </w:r>
    </w:p>
    <w:p>
      <w:pPr>
        <w:pStyle w:val="Heading2"/>
        <w:spacing w:after="140" w:before="280"/>
      </w:pPr>
      <w:r>
        <w:rPr>
          <w:rFonts w:ascii="Arial" w:cs="Arial" w:eastAsia="Arial" w:hAnsi="Arial"/>
          <w:b/>
          <w:bCs/>
          <w:color w:val="1A1A1A"/>
          <w:sz w:val="28"/>
          <w:szCs w:val="28"/>
        </w:rPr>
        <w:t xml:space="preserve">2.1 Two-layer visual system</w:t>
      </w:r>
    </w:p>
    <w:p>
      <w:pPr>
        <w:spacing w:after="80" w:before="80" w:line="320"/>
      </w:pPr>
      <w:r>
        <w:rPr>
          <w:rFonts w:ascii="Arial" w:cs="Arial" w:eastAsia="Arial" w:hAnsi="Arial"/>
          <w:sz w:val="22"/>
          <w:szCs w:val="22"/>
        </w:rPr>
        <w:t xml:space="preserve">The page uses a dual-layer system: the outer layer maintains brand consistency with the Health portfolio site; the inner project area introduces a focused atmosphere drawn from the game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Outer (header, footer, navigation, page margins)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Continues elliotyanghealth.com's design language: restrained typography, professional hierarchy, the same nav and footer. The visitor should always know they are still inside Elliot Yang's professional site.</w:t>
            </w:r>
          </w:p>
        </w:tc>
      </w:tr>
      <w:tr>
        <w:tc>
          <w:tcPr>
            <w:tcW w:type="dxa" w:w="234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Inner (project content area)</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A clean, contemplative atmosphere built around the blue palette: deep navy headings, mid-blue accents, off-white body backgrounds, generous whitespace. Reads as serious editorial content, not as game marketing.</w:t>
            </w:r>
          </w:p>
        </w:tc>
      </w:tr>
    </w:tbl>
    <w:p>
      <w:pPr>
        <w:pStyle w:val="Heading2"/>
        <w:spacing w:after="140" w:before="280"/>
      </w:pPr>
      <w:r>
        <w:rPr>
          <w:rFonts w:ascii="Arial" w:cs="Arial" w:eastAsia="Arial" w:hAnsi="Arial"/>
          <w:b/>
          <w:bCs/>
          <w:color w:val="1A1A1A"/>
          <w:sz w:val="28"/>
          <w:szCs w:val="28"/>
        </w:rPr>
        <w:t xml:space="preserve">2.2 Color palette</w:t>
      </w:r>
    </w:p>
    <w:p>
      <w:pPr>
        <w:pStyle w:val="ListParagraph"/>
        <w:numPr>
          <w:ilvl w:val="0"/>
          <w:numId w:val="2"/>
        </w:numPr>
        <w:spacing w:after="60" w:before="60" w:line="300"/>
      </w:pPr>
      <w:r>
        <w:rPr>
          <w:rFonts w:ascii="Arial" w:cs="Arial" w:eastAsia="Arial" w:hAnsi="Arial"/>
          <w:sz w:val="22"/>
          <w:szCs w:val="22"/>
        </w:rPr>
        <w:t xml:space="preserve">Primary accent: Deep Blue #1F4E79 — used for headings, key CTAs, and strong dividers</w:t>
      </w:r>
    </w:p>
    <w:p>
      <w:pPr>
        <w:pStyle w:val="ListParagraph"/>
        <w:numPr>
          <w:ilvl w:val="0"/>
          <w:numId w:val="2"/>
        </w:numPr>
        <w:spacing w:after="60" w:before="60" w:line="300"/>
      </w:pPr>
      <w:r>
        <w:rPr>
          <w:rFonts w:ascii="Arial" w:cs="Arial" w:eastAsia="Arial" w:hAnsi="Arial"/>
          <w:sz w:val="22"/>
          <w:szCs w:val="22"/>
        </w:rPr>
        <w:t xml:space="preserve">Secondary: Mid Blue #5B8DBE — used for hover states, sub-headings, links</w:t>
      </w:r>
    </w:p>
    <w:p>
      <w:pPr>
        <w:pStyle w:val="ListParagraph"/>
        <w:numPr>
          <w:ilvl w:val="0"/>
          <w:numId w:val="2"/>
        </w:numPr>
        <w:spacing w:after="60" w:before="60" w:line="300"/>
      </w:pPr>
      <w:r>
        <w:rPr>
          <w:rFonts w:ascii="Arial" w:cs="Arial" w:eastAsia="Arial" w:hAnsi="Arial"/>
          <w:sz w:val="22"/>
          <w:szCs w:val="22"/>
        </w:rPr>
        <w:t xml:space="preserve">Soft accent: Pale Blue #EAF1F8 — used for callout boxes, quote backgrounds, table headers</w:t>
      </w:r>
    </w:p>
    <w:p>
      <w:pPr>
        <w:pStyle w:val="ListParagraph"/>
        <w:numPr>
          <w:ilvl w:val="0"/>
          <w:numId w:val="2"/>
        </w:numPr>
        <w:spacing w:after="60" w:before="60" w:line="300"/>
      </w:pPr>
      <w:r>
        <w:rPr>
          <w:rFonts w:ascii="Arial" w:cs="Arial" w:eastAsia="Arial" w:hAnsi="Arial"/>
          <w:sz w:val="22"/>
          <w:szCs w:val="22"/>
        </w:rPr>
        <w:t xml:space="preserve">Background layers: pure white #FFFFFF (outer) → very pale blue #F4F8FC (inner sections) → pale blue #EAF1F8 (cards and callouts)</w:t>
      </w:r>
    </w:p>
    <w:p>
      <w:pPr>
        <w:pStyle w:val="ListParagraph"/>
        <w:numPr>
          <w:ilvl w:val="0"/>
          <w:numId w:val="2"/>
        </w:numPr>
        <w:spacing w:after="60" w:before="60" w:line="300"/>
      </w:pPr>
      <w:r>
        <w:rPr>
          <w:rFonts w:ascii="Arial" w:cs="Arial" w:eastAsia="Arial" w:hAnsi="Arial"/>
          <w:sz w:val="22"/>
          <w:szCs w:val="22"/>
        </w:rPr>
        <w:t xml:space="preserve">Text: heading #1A1A1A, body #3A3A3A, secondary #6B6B6B</w:t>
      </w:r>
    </w:p>
    <w:p>
      <w:pPr>
        <w:pStyle w:val="ListParagraph"/>
        <w:numPr>
          <w:ilvl w:val="0"/>
          <w:numId w:val="2"/>
        </w:numPr>
        <w:spacing w:after="60" w:before="60" w:line="300"/>
      </w:pPr>
      <w:r>
        <w:rPr>
          <w:rFonts w:ascii="Arial" w:cs="Arial" w:eastAsia="Arial" w:hAnsi="Arial"/>
          <w:sz w:val="22"/>
          <w:szCs w:val="22"/>
        </w:rPr>
        <w:t xml:space="preserve">The page should never look "cold" — warmth comes from the game artwork itself (warm hand-painted illustrations on cool blue backgrounds creates a deliberate, considered contrast)</w:t>
      </w:r>
    </w:p>
    <w:p>
      <w:pPr>
        <w:pStyle w:val="Heading2"/>
        <w:spacing w:after="140" w:before="280"/>
      </w:pPr>
      <w:r>
        <w:rPr>
          <w:rFonts w:ascii="Arial" w:cs="Arial" w:eastAsia="Arial" w:hAnsi="Arial"/>
          <w:b/>
          <w:bCs/>
          <w:color w:val="1A1A1A"/>
          <w:sz w:val="28"/>
          <w:szCs w:val="28"/>
        </w:rPr>
        <w:t xml:space="preserve">2.3 Typography</w:t>
      </w:r>
    </w:p>
    <w:p>
      <w:pPr>
        <w:pStyle w:val="ListParagraph"/>
        <w:numPr>
          <w:ilvl w:val="0"/>
          <w:numId w:val="2"/>
        </w:numPr>
        <w:spacing w:after="60" w:before="60" w:line="300"/>
      </w:pPr>
      <w:r>
        <w:rPr>
          <w:rFonts w:ascii="Arial" w:cs="Arial" w:eastAsia="Arial" w:hAnsi="Arial"/>
          <w:sz w:val="22"/>
          <w:szCs w:val="22"/>
        </w:rPr>
        <w:t xml:space="preserve">Body and UI: continue the modern sans-serif used on the Health portfolio site (e.g. Inter, system-ui)</w:t>
      </w:r>
    </w:p>
    <w:p>
      <w:pPr>
        <w:pStyle w:val="ListParagraph"/>
        <w:numPr>
          <w:ilvl w:val="0"/>
          <w:numId w:val="2"/>
        </w:numPr>
        <w:spacing w:after="60" w:before="60" w:line="300"/>
      </w:pPr>
      <w:r>
        <w:rPr>
          <w:rFonts w:ascii="Arial" w:cs="Arial" w:eastAsia="Arial" w:hAnsi="Arial"/>
          <w:sz w:val="22"/>
          <w:szCs w:val="22"/>
        </w:rPr>
        <w:t xml:space="preserve">Section headings and pull quotes: a refined serif (e.g. Cormorant Garamond, EB Garamond, or Source Serif) to lend an editorial, narrative-medicine feel</w:t>
      </w:r>
    </w:p>
    <w:p>
      <w:pPr>
        <w:pStyle w:val="ListParagraph"/>
        <w:numPr>
          <w:ilvl w:val="0"/>
          <w:numId w:val="2"/>
        </w:numPr>
        <w:spacing w:after="60" w:before="60" w:line="300"/>
      </w:pPr>
      <w:r>
        <w:rPr>
          <w:rFonts w:ascii="Arial" w:cs="Arial" w:eastAsia="Arial" w:hAnsi="Arial"/>
          <w:sz w:val="22"/>
          <w:szCs w:val="22"/>
        </w:rPr>
        <w:t xml:space="preserve">Numerals in stat callouts: tabular figures, slightly heavier weight, in deep blue — these are the visual anchors of the Why and So What sections</w:t>
      </w:r>
    </w:p>
    <w:p>
      <w:pPr>
        <w:pStyle w:val="Heading2"/>
        <w:spacing w:after="140" w:before="280"/>
      </w:pPr>
      <w:r>
        <w:rPr>
          <w:rFonts w:ascii="Arial" w:cs="Arial" w:eastAsia="Arial" w:hAnsi="Arial"/>
          <w:b/>
          <w:bCs/>
          <w:color w:val="1A1A1A"/>
          <w:sz w:val="28"/>
          <w:szCs w:val="28"/>
        </w:rPr>
        <w:t xml:space="preserve">2.4 Atmospheric details</w:t>
      </w:r>
    </w:p>
    <w:p>
      <w:pPr>
        <w:pStyle w:val="ListParagraph"/>
        <w:numPr>
          <w:ilvl w:val="0"/>
          <w:numId w:val="2"/>
        </w:numPr>
        <w:spacing w:after="60" w:before="60" w:line="300"/>
      </w:pPr>
      <w:r>
        <w:rPr>
          <w:rFonts w:ascii="Arial" w:cs="Arial" w:eastAsia="Arial" w:hAnsi="Arial"/>
          <w:sz w:val="22"/>
          <w:szCs w:val="22"/>
        </w:rPr>
        <w:t xml:space="preserve">Optional very subtle paper grain (5–8% opacity) on inner section backgrounds — reinforces the editorial feel without competing with the artwork</w:t>
      </w:r>
    </w:p>
    <w:p>
      <w:pPr>
        <w:pStyle w:val="ListParagraph"/>
        <w:numPr>
          <w:ilvl w:val="0"/>
          <w:numId w:val="2"/>
        </w:numPr>
        <w:spacing w:after="60" w:before="60" w:line="300"/>
      </w:pPr>
      <w:r>
        <w:rPr>
          <w:rFonts w:ascii="Arial" w:cs="Arial" w:eastAsia="Arial" w:hAnsi="Arial"/>
          <w:sz w:val="22"/>
          <w:szCs w:val="22"/>
        </w:rPr>
        <w:t xml:space="preserve">Dividers: thin hairlines (1px, #CCCCCC) or short centered ornaments — never hard heavy rules</w:t>
      </w:r>
    </w:p>
    <w:p>
      <w:pPr>
        <w:pStyle w:val="ListParagraph"/>
        <w:numPr>
          <w:ilvl w:val="0"/>
          <w:numId w:val="2"/>
        </w:numPr>
        <w:spacing w:after="60" w:before="60" w:line="300"/>
      </w:pPr>
      <w:r>
        <w:rPr>
          <w:rFonts w:ascii="Arial" w:cs="Arial" w:eastAsia="Arial" w:hAnsi="Arial"/>
          <w:sz w:val="22"/>
          <w:szCs w:val="22"/>
        </w:rPr>
        <w:t xml:space="preserve">Image edges: a barely-visible inset shadow on screenshots to suggest a printed page or museum label</w:t>
      </w:r>
    </w:p>
    <w:p>
      <w:pPr>
        <w:pStyle w:val="ListParagraph"/>
        <w:numPr>
          <w:ilvl w:val="0"/>
          <w:numId w:val="2"/>
        </w:numPr>
        <w:spacing w:after="60" w:before="60" w:line="300"/>
      </w:pPr>
      <w:r>
        <w:rPr>
          <w:rFonts w:ascii="Arial" w:cs="Arial" w:eastAsia="Arial" w:hAnsi="Arial"/>
          <w:sz w:val="22"/>
          <w:szCs w:val="22"/>
        </w:rPr>
        <w:t xml:space="preserve">Hover effects stay restrained: small color shift plus 2–4px translation, no flashy animation</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III. Page Structure (top to bottom)</w:t>
      </w:r>
    </w:p>
    <w:p>
      <w:pPr>
        <w:spacing w:after="80" w:before="80" w:line="320"/>
      </w:pPr>
      <w:r>
        <w:rPr>
          <w:rFonts w:ascii="Arial" w:cs="Arial" w:eastAsia="Arial" w:hAnsi="Arial"/>
          <w:sz w:val="22"/>
          <w:szCs w:val="22"/>
        </w:rPr>
        <w:t xml:space="preserve">Below is the full ordered list of sections, each with its design intent, content brief, and visual treatment. All copy is written in English; Chinese characters appear only as the project title's secondary mark.</w:t>
      </w:r>
    </w:p>
    <w:p>
      <w:pPr>
        <w:pStyle w:val="Heading2"/>
        <w:spacing w:after="140" w:before="280"/>
      </w:pPr>
      <w:r>
        <w:rPr>
          <w:rFonts w:ascii="Arial" w:cs="Arial" w:eastAsia="Arial" w:hAnsi="Arial"/>
          <w:b/>
          <w:bCs/>
          <w:color w:val="1A1A1A"/>
          <w:sz w:val="28"/>
          <w:szCs w:val="28"/>
        </w:rPr>
        <w:t xml:space="preserve">3.1 Hero (above the fold)</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Within the first second, the visitor must understand that this is a serious creative project about Alzheimer's disease — not a game ad.</w:t>
      </w:r>
    </w:p>
    <w:p>
      <w:pPr>
        <w:pStyle w:val="Heading3"/>
        <w:spacing w:after="100" w:before="200"/>
      </w:pPr>
      <w:r>
        <w:rPr>
          <w:rFonts w:ascii="Arial" w:cs="Arial" w:eastAsia="Arial" w:hAnsi="Arial"/>
          <w:b/>
          <w:bCs/>
          <w:color w:val="1F4E79"/>
          <w:sz w:val="24"/>
          <w:szCs w:val="24"/>
        </w:rPr>
        <w:t xml:space="preserve">Layout</w:t>
      </w:r>
    </w:p>
    <w:p>
      <w:pPr>
        <w:pStyle w:val="ListParagraph"/>
        <w:numPr>
          <w:ilvl w:val="0"/>
          <w:numId w:val="2"/>
        </w:numPr>
        <w:spacing w:after="60" w:before="60" w:line="300"/>
      </w:pPr>
      <w:r>
        <w:rPr>
          <w:rFonts w:ascii="Arial" w:cs="Arial" w:eastAsia="Arial" w:hAnsi="Arial"/>
          <w:sz w:val="22"/>
          <w:szCs w:val="22"/>
        </w:rPr>
        <w:t xml:space="preserve">Left: project LOGO (LOGO.png) + bilingual title + one narrative subtitle line</w:t>
      </w:r>
    </w:p>
    <w:p>
      <w:pPr>
        <w:pStyle w:val="ListParagraph"/>
        <w:numPr>
          <w:ilvl w:val="0"/>
          <w:numId w:val="2"/>
        </w:numPr>
        <w:spacing w:after="60" w:before="60" w:line="300"/>
      </w:pPr>
      <w:r>
        <w:rPr>
          <w:rFonts w:ascii="Arial" w:cs="Arial" w:eastAsia="Arial" w:hAnsi="Arial"/>
          <w:sz w:val="22"/>
          <w:szCs w:val="22"/>
        </w:rPr>
        <w:t xml:space="preserve">Right: one carefully chosen high-quality game still (recommend selecting from screenshot 1 or 2 — whichever is most emotionally resonant)</w:t>
      </w:r>
    </w:p>
    <w:p>
      <w:pPr>
        <w:pStyle w:val="ListParagraph"/>
        <w:numPr>
          <w:ilvl w:val="0"/>
          <w:numId w:val="2"/>
        </w:numPr>
        <w:spacing w:after="60" w:before="60" w:line="300"/>
      </w:pPr>
      <w:r>
        <w:rPr>
          <w:rFonts w:ascii="Arial" w:cs="Arial" w:eastAsia="Arial" w:hAnsi="Arial"/>
          <w:sz w:val="22"/>
          <w:szCs w:val="22"/>
        </w:rPr>
        <w:t xml:space="preserve">Below: a single-row metadata strip (role, period, team, platform, reception)</w:t>
      </w:r>
    </w:p>
    <w:p>
      <w:pPr>
        <w:pStyle w:val="Heading3"/>
        <w:spacing w:after="100" w:before="200"/>
      </w:pPr>
      <w:r>
        <w:rPr>
          <w:rFonts w:ascii="Arial" w:cs="Arial" w:eastAsia="Arial" w:hAnsi="Arial"/>
          <w:b/>
          <w:bCs/>
          <w:color w:val="1F4E79"/>
          <w:sz w:val="24"/>
          <w:szCs w:val="24"/>
        </w:rPr>
        <w:t xml:space="preserve">Hero copy</w:t>
      </w:r>
    </w:p>
    <w:p>
      <w:pPr>
        <w:spacing w:after="60" w:before="60" w:line="300"/>
      </w:pPr>
      <w:r>
        <w:rPr>
          <w:rFonts w:ascii="Arial" w:cs="Arial" w:eastAsia="Arial" w:hAnsi="Arial"/>
          <w:b/>
          <w:bCs/>
          <w:sz w:val="22"/>
          <w:szCs w:val="22"/>
        </w:rPr>
        <w:t xml:space="preserve">Title: </w:t>
      </w:r>
      <w:r>
        <w:rPr>
          <w:rFonts w:ascii="Arial" w:cs="Arial" w:eastAsia="Arial" w:hAnsi="Arial"/>
          <w:sz w:val="22"/>
          <w:szCs w:val="22"/>
        </w:rPr>
        <w:t xml:space="preserve">Shui's Odyssey</w:t>
      </w:r>
    </w:p>
    <w:p>
      <w:pPr>
        <w:spacing w:after="60" w:before="60" w:line="300"/>
      </w:pPr>
      <w:r>
        <w:rPr>
          <w:rFonts w:ascii="Arial" w:cs="Arial" w:eastAsia="Arial" w:hAnsi="Arial"/>
          <w:b/>
          <w:bCs/>
          <w:sz w:val="22"/>
          <w:szCs w:val="22"/>
        </w:rPr>
        <w:t xml:space="preserve">Subtitle (Chinese mark): </w:t>
      </w:r>
      <w:r>
        <w:rPr>
          <w:rFonts w:ascii="Arial" w:cs="Arial" w:eastAsia="Arial" w:hAnsi="Arial"/>
          <w:sz w:val="22"/>
          <w:szCs w:val="22"/>
        </w:rPr>
        <w:t xml:space="preserve">《水远山遥》</w:t>
      </w:r>
    </w:p>
    <w:p>
      <w:pPr>
        <w:spacing w:after="60" w:before="60" w:line="300"/>
      </w:pPr>
      <w:r>
        <w:rPr>
          <w:rFonts w:ascii="Arial" w:cs="Arial" w:eastAsia="Arial" w:hAnsi="Arial"/>
          <w:b/>
          <w:bCs/>
          <w:sz w:val="22"/>
          <w:szCs w:val="22"/>
        </w:rPr>
        <w:t xml:space="preserve">One-line positioning: </w:t>
      </w:r>
      <w:r>
        <w:rPr>
          <w:rFonts w:ascii="Arial" w:cs="Arial" w:eastAsia="Arial" w:hAnsi="Arial"/>
          <w:sz w:val="22"/>
          <w:szCs w:val="22"/>
        </w:rPr>
        <w:t xml:space="preserve">A narrative puzzle game about memory, family, and the slow disappearance of a person we love.</w:t>
      </w:r>
    </w:p>
    <w:p>
      <w:pPr>
        <w:spacing w:after="120" w:before="120" w:line="320"/>
        <w:jc w:val="center"/>
      </w:pPr>
      <w:r>
        <w:rPr>
          <w:rFonts w:ascii="Arial" w:cs="Arial" w:eastAsia="Arial" w:hAnsi="Arial"/>
          <w:i/>
          <w:iCs/>
          <w:color w:val="1F4E79"/>
          <w:sz w:val="24"/>
          <w:szCs w:val="24"/>
        </w:rPr>
        <w:t xml:space="preserve">“When memory begins to fragment, love remains. A puzzle game that asks the player to live, briefly, inside an Alzheimer's mind.”</w:t>
      </w:r>
    </w:p>
    <w:p>
      <w:pPr>
        <w:pStyle w:val="Heading3"/>
        <w:spacing w:after="100" w:before="200"/>
      </w:pPr>
      <w:r>
        <w:rPr>
          <w:rFonts w:ascii="Arial" w:cs="Arial" w:eastAsia="Arial" w:hAnsi="Arial"/>
          <w:b/>
          <w:bCs/>
          <w:color w:val="1F4E79"/>
          <w:sz w:val="24"/>
          <w:szCs w:val="24"/>
        </w:rPr>
        <w:t xml:space="preserve">Metadata strip (state these explicitly so a recruiter can scan in seconds)</w:t>
      </w:r>
    </w:p>
    <w:p>
      <w:pPr>
        <w:pStyle w:val="ListParagraph"/>
        <w:numPr>
          <w:ilvl w:val="0"/>
          <w:numId w:val="2"/>
        </w:numPr>
        <w:spacing w:after="60" w:before="60" w:line="300"/>
      </w:pPr>
      <w:r>
        <w:rPr>
          <w:rFonts w:ascii="Arial" w:cs="Arial" w:eastAsia="Arial" w:hAnsi="Arial"/>
          <w:sz w:val="22"/>
          <w:szCs w:val="22"/>
        </w:rPr>
        <w:t xml:space="preserve">Role: Game Director &amp; Producer</w:t>
      </w:r>
    </w:p>
    <w:p>
      <w:pPr>
        <w:pStyle w:val="ListParagraph"/>
        <w:numPr>
          <w:ilvl w:val="0"/>
          <w:numId w:val="2"/>
        </w:numPr>
        <w:spacing w:after="60" w:before="60" w:line="300"/>
      </w:pPr>
      <w:r>
        <w:rPr>
          <w:rFonts w:ascii="Arial" w:cs="Arial" w:eastAsia="Arial" w:hAnsi="Arial"/>
          <w:sz w:val="22"/>
          <w:szCs w:val="22"/>
        </w:rPr>
        <w:t xml:space="preserve">Period: March 2023 – December 2024 (22 months)</w:t>
      </w:r>
    </w:p>
    <w:p>
      <w:pPr>
        <w:pStyle w:val="ListParagraph"/>
        <w:numPr>
          <w:ilvl w:val="0"/>
          <w:numId w:val="2"/>
        </w:numPr>
        <w:spacing w:after="60" w:before="60" w:line="300"/>
      </w:pPr>
      <w:r>
        <w:rPr>
          <w:rFonts w:ascii="Arial" w:cs="Arial" w:eastAsia="Arial" w:hAnsi="Arial"/>
          <w:sz w:val="22"/>
          <w:szCs w:val="22"/>
        </w:rPr>
        <w:t xml:space="preserve">Team: Intentional Studio — student-founded interdisciplinary team</w:t>
      </w:r>
    </w:p>
    <w:p>
      <w:pPr>
        <w:pStyle w:val="ListParagraph"/>
        <w:numPr>
          <w:ilvl w:val="0"/>
          <w:numId w:val="2"/>
        </w:numPr>
        <w:spacing w:after="60" w:before="60" w:line="300"/>
      </w:pPr>
      <w:r>
        <w:rPr>
          <w:rFonts w:ascii="Arial" w:cs="Arial" w:eastAsia="Arial" w:hAnsi="Arial"/>
          <w:sz w:val="22"/>
          <w:szCs w:val="22"/>
        </w:rPr>
        <w:t xml:space="preserve">Publisher / Platform: 2P Games · Steam · released December 2024</w:t>
      </w:r>
    </w:p>
    <w:p>
      <w:pPr>
        <w:pStyle w:val="ListParagraph"/>
        <w:numPr>
          <w:ilvl w:val="0"/>
          <w:numId w:val="2"/>
        </w:numPr>
        <w:spacing w:after="60" w:before="60" w:line="300"/>
      </w:pPr>
      <w:r>
        <w:rPr>
          <w:rFonts w:ascii="Arial" w:cs="Arial" w:eastAsia="Arial" w:hAnsi="Arial"/>
          <w:sz w:val="22"/>
          <w:szCs w:val="22"/>
        </w:rPr>
        <w:t xml:space="preserve">Reception: Very Positive on Steam · ~85% positive user reviews</w:t>
      </w:r>
    </w:p>
    <w:p>
      <w:pPr>
        <w:pStyle w:val="Heading2"/>
        <w:spacing w:after="140" w:before="280"/>
      </w:pPr>
      <w:r>
        <w:rPr>
          <w:rFonts w:ascii="Arial" w:cs="Arial" w:eastAsia="Arial" w:hAnsi="Arial"/>
          <w:b/>
          <w:bCs/>
          <w:color w:val="1A1A1A"/>
          <w:sz w:val="28"/>
          <w:szCs w:val="28"/>
        </w:rPr>
        <w:t xml:space="preserve">3.2 Why (the case for the project)</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The single most important section for a Health Tech reader. It must establish three things in quick succession: (1) the public-health weight of the topic, (2) the gap that conventional health communication leaves behind, and (3) the candidate's specific design hypothesis for closing that gap.</w:t>
      </w:r>
    </w:p>
    <w:p>
      <w:pPr>
        <w:pStyle w:val="Heading3"/>
        <w:spacing w:after="100" w:before="200"/>
      </w:pPr>
      <w:r>
        <w:rPr>
          <w:rFonts w:ascii="Arial" w:cs="Arial" w:eastAsia="Arial" w:hAnsi="Arial"/>
          <w:b/>
          <w:bCs/>
          <w:color w:val="1F4E79"/>
          <w:sz w:val="24"/>
          <w:szCs w:val="24"/>
        </w:rPr>
        <w:t xml:space="preserve">Sub-section A — The scale of the problem (data anchors)</w:t>
      </w:r>
    </w:p>
    <w:p>
      <w:pPr>
        <w:spacing w:after="80" w:before="80" w:line="320"/>
      </w:pPr>
      <w:r>
        <w:rPr>
          <w:rFonts w:ascii="Arial" w:cs="Arial" w:eastAsia="Arial" w:hAnsi="Arial"/>
          <w:sz w:val="22"/>
          <w:szCs w:val="22"/>
        </w:rPr>
        <w:t xml:space="preserve">Open with three numbers, each presented as a large blue numeral with a one-line caption. Recommended figures (sourced from Alzheimer's Disease International and the Global Burden of Disease 2021 study — verify and update at build time):</w:t>
      </w:r>
    </w:p>
    <w:p>
      <w:pPr>
        <w:pStyle w:val="ListParagraph"/>
        <w:numPr>
          <w:ilvl w:val="0"/>
          <w:numId w:val="2"/>
        </w:numPr>
        <w:spacing w:after="60" w:before="60" w:line="300"/>
      </w:pPr>
      <w:r>
        <w:rPr>
          <w:rFonts w:ascii="Arial" w:cs="Arial" w:eastAsia="Arial" w:hAnsi="Arial"/>
          <w:sz w:val="22"/>
          <w:szCs w:val="22"/>
        </w:rPr>
        <w:t xml:space="preserve">55 million+ people worldwide are currently living with dementia; the figure is projected to reach 139 million by 2050 (Alzheimer's Disease International)</w:t>
      </w:r>
    </w:p>
    <w:p>
      <w:pPr>
        <w:pStyle w:val="ListParagraph"/>
        <w:numPr>
          <w:ilvl w:val="0"/>
          <w:numId w:val="2"/>
        </w:numPr>
        <w:spacing w:after="60" w:before="60" w:line="300"/>
      </w:pPr>
      <w:r>
        <w:rPr>
          <w:rFonts w:ascii="Arial" w:cs="Arial" w:eastAsia="Arial" w:hAnsi="Arial"/>
          <w:sz w:val="22"/>
          <w:szCs w:val="22"/>
        </w:rPr>
        <w:t xml:space="preserve">Roughly 75% of dementia cases globally remain undiagnosed — closer to 90% in low-income countries (BrightFocus Foundation)</w:t>
      </w:r>
    </w:p>
    <w:p>
      <w:pPr>
        <w:pStyle w:val="ListParagraph"/>
        <w:numPr>
          <w:ilvl w:val="0"/>
          <w:numId w:val="2"/>
        </w:numPr>
        <w:spacing w:after="60" w:before="60" w:line="300"/>
      </w:pPr>
      <w:r>
        <w:rPr>
          <w:rFonts w:ascii="Arial" w:cs="Arial" w:eastAsia="Arial" w:hAnsi="Arial"/>
          <w:sz w:val="22"/>
          <w:szCs w:val="22"/>
        </w:rPr>
        <w:t xml:space="preserve">One new case of dementia is diagnosed somewhere in the world every three seconds (ADI, World Alzheimer Report)</w:t>
      </w:r>
    </w:p>
    <w:p>
      <w:pPr>
        <w:pStyle w:val="Heading3"/>
        <w:spacing w:after="100" w:before="200"/>
      </w:pPr>
      <w:r>
        <w:rPr>
          <w:rFonts w:ascii="Arial" w:cs="Arial" w:eastAsia="Arial" w:hAnsi="Arial"/>
          <w:b/>
          <w:bCs/>
          <w:color w:val="1F4E79"/>
          <w:sz w:val="24"/>
          <w:szCs w:val="24"/>
        </w:rPr>
        <w:t xml:space="preserve">Sub-section B — The empathy gap (industry observation)</w:t>
      </w:r>
    </w:p>
    <w:p>
      <w:pPr>
        <w:spacing w:after="80" w:before="80" w:line="320"/>
      </w:pPr>
      <w:r>
        <w:rPr>
          <w:rFonts w:ascii="Arial" w:cs="Arial" w:eastAsia="Arial" w:hAnsi="Arial"/>
          <w:sz w:val="22"/>
          <w:szCs w:val="22"/>
        </w:rPr>
        <w:t xml:space="preserve">Then a short paragraph of analysis, written from the candidate's perspective. Suggested copy (edit to taste):</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Most health communication about dementia teaches the public what the disease is. Very little teaches the public what the disease feels like. Family caregivers describe a particular, repeated frustration: clinicians and relatives can list symptoms but cannot imagine the inner experience of disorientation, of mistaking a daughter for a mother, of a kitchen suddenly becoming unfamiliar. A growing body of research on serious games for dementia suggests that interactive media can close part of this empathy gap — by letting the well briefly inhabit the perceptual world of the unwell. Shui's Odyssey was built inside that hypothesis.</w:t>
      </w:r>
    </w:p>
    <w:p>
      <w:pPr>
        <w:pStyle w:val="Heading3"/>
        <w:spacing w:after="100" w:before="200"/>
      </w:pPr>
      <w:r>
        <w:rPr>
          <w:rFonts w:ascii="Arial" w:cs="Arial" w:eastAsia="Arial" w:hAnsi="Arial"/>
          <w:b/>
          <w:bCs/>
          <w:color w:val="1F4E79"/>
          <w:sz w:val="24"/>
          <w:szCs w:val="24"/>
        </w:rPr>
        <w:t xml:space="preserve">Sub-section C — Personal motivation</w:t>
      </w:r>
    </w:p>
    <w:p>
      <w:pPr>
        <w:spacing w:after="80" w:before="80" w:line="320"/>
      </w:pPr>
      <w:r>
        <w:rPr>
          <w:rFonts w:ascii="Arial" w:cs="Arial" w:eastAsia="Arial" w:hAnsi="Arial"/>
          <w:sz w:val="22"/>
          <w:szCs w:val="22"/>
        </w:rPr>
        <w:t xml:space="preserve">A short, honest first-person paragraph. Suggested copy (rewritten from the candidate's notes to read as Health-Tech-aware rather than student-naive):</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Shui's Odyssey began as a student research project. Our team wanted to test a question we had not seen answered: when the visual grammar of cinematic montage — a tool film and animation use to compress and re-order memory — is handed to the player as an interactive mechanic, what kind of story can it tell? Alzheimer's disease became our subject because its symptoms are themselves a form of involuntary montage: vision that cannot resolve, memories that surface out of order, the recent past missing while the distant past remains vivid. We wanted players to feel that grammar from the inside, not be told about it from the outside.</w:t>
      </w:r>
    </w:p>
    <w:p>
      <w:pPr>
        <w:pStyle w:val="Heading3"/>
        <w:spacing w:after="100" w:before="200"/>
      </w:pPr>
      <w:r>
        <w:rPr>
          <w:rFonts w:ascii="Arial" w:cs="Arial" w:eastAsia="Arial" w:hAnsi="Arial"/>
          <w:b/>
          <w:bCs/>
          <w:color w:val="1F4E79"/>
          <w:sz w:val="24"/>
          <w:szCs w:val="24"/>
        </w:rPr>
        <w:t xml:space="preserve">Visual treatment</w:t>
      </w:r>
    </w:p>
    <w:p>
      <w:pPr>
        <w:pStyle w:val="ListParagraph"/>
        <w:numPr>
          <w:ilvl w:val="0"/>
          <w:numId w:val="2"/>
        </w:numPr>
        <w:spacing w:after="60" w:before="60" w:line="300"/>
      </w:pPr>
      <w:r>
        <w:rPr>
          <w:rFonts w:ascii="Arial" w:cs="Arial" w:eastAsia="Arial" w:hAnsi="Arial"/>
          <w:sz w:val="22"/>
          <w:szCs w:val="22"/>
        </w:rPr>
        <w:t xml:space="preserve">Single narrow column (max-width ~680px), left-aligned, generous line spacing</w:t>
      </w:r>
    </w:p>
    <w:p>
      <w:pPr>
        <w:pStyle w:val="ListParagraph"/>
        <w:numPr>
          <w:ilvl w:val="0"/>
          <w:numId w:val="2"/>
        </w:numPr>
        <w:spacing w:after="60" w:before="60" w:line="300"/>
      </w:pPr>
      <w:r>
        <w:rPr>
          <w:rFonts w:ascii="Arial" w:cs="Arial" w:eastAsia="Arial" w:hAnsi="Arial"/>
          <w:sz w:val="22"/>
          <w:szCs w:val="22"/>
        </w:rPr>
        <w:t xml:space="preserve">The three data numerals appear in a horizontal row above the narrative paragraphs, each in deep blue at ~64px, with a one-line gray caption beneath</w:t>
      </w:r>
    </w:p>
    <w:p>
      <w:pPr>
        <w:pStyle w:val="ListParagraph"/>
        <w:numPr>
          <w:ilvl w:val="0"/>
          <w:numId w:val="2"/>
        </w:numPr>
        <w:spacing w:after="60" w:before="60" w:line="300"/>
      </w:pPr>
      <w:r>
        <w:rPr>
          <w:rFonts w:ascii="Arial" w:cs="Arial" w:eastAsia="Arial" w:hAnsi="Arial"/>
          <w:sz w:val="22"/>
          <w:szCs w:val="22"/>
        </w:rPr>
        <w:t xml:space="preserve">Insert one or two prop images from /道具/ (recommend 2-2 全家福 / family photo, and 3-3 怀表 / pocket watch) as small, centered emotional anchors between paragraphs, each with a one-line caption</w:t>
      </w:r>
    </w:p>
    <w:p>
      <w:pPr>
        <w:pStyle w:val="Heading2"/>
        <w:spacing w:after="140" w:before="280"/>
      </w:pPr>
      <w:r>
        <w:rPr>
          <w:rFonts w:ascii="Arial" w:cs="Arial" w:eastAsia="Arial" w:hAnsi="Arial"/>
          <w:b/>
          <w:bCs/>
          <w:color w:val="1A1A1A"/>
          <w:sz w:val="28"/>
          <w:szCs w:val="28"/>
        </w:rPr>
        <w:t xml:space="preserve">3.3 Trailer (video)</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After the visitor has been told why this project exists, immediately let them see it. Video is the highest-bandwidth way to convey the game's tone and craft.</w:t>
      </w:r>
    </w:p>
    <w:p>
      <w:pPr>
        <w:pStyle w:val="Heading3"/>
        <w:spacing w:after="100" w:before="200"/>
      </w:pPr>
      <w:r>
        <w:rPr>
          <w:rFonts w:ascii="Arial" w:cs="Arial" w:eastAsia="Arial" w:hAnsi="Arial"/>
          <w:b/>
          <w:bCs/>
          <w:color w:val="1F4E79"/>
          <w:sz w:val="24"/>
          <w:szCs w:val="24"/>
        </w:rPr>
        <w:t xml:space="preserve">Layout</w:t>
      </w:r>
    </w:p>
    <w:p>
      <w:pPr>
        <w:pStyle w:val="ListParagraph"/>
        <w:numPr>
          <w:ilvl w:val="0"/>
          <w:numId w:val="2"/>
        </w:numPr>
        <w:spacing w:after="60" w:before="60" w:line="300"/>
      </w:pPr>
      <w:r>
        <w:rPr>
          <w:rFonts w:ascii="Arial" w:cs="Arial" w:eastAsia="Arial" w:hAnsi="Arial"/>
          <w:sz w:val="22"/>
          <w:szCs w:val="22"/>
        </w:rPr>
        <w:t xml:space="preserve">Full-section-width video container, max-width ~1100px, centered, 16:9 aspect ratio</w:t>
      </w:r>
    </w:p>
    <w:p>
      <w:pPr>
        <w:pStyle w:val="ListParagraph"/>
        <w:numPr>
          <w:ilvl w:val="0"/>
          <w:numId w:val="2"/>
        </w:numPr>
        <w:spacing w:after="60" w:before="60" w:line="300"/>
      </w:pPr>
      <w:r>
        <w:rPr>
          <w:rFonts w:ascii="Arial" w:cs="Arial" w:eastAsia="Arial" w:hAnsi="Arial"/>
          <w:sz w:val="22"/>
          <w:szCs w:val="22"/>
        </w:rPr>
        <w:t xml:space="preserve">Above the video: small section label ("Watch the Trailer") and runtime</w:t>
      </w:r>
    </w:p>
    <w:p>
      <w:pPr>
        <w:pStyle w:val="ListParagraph"/>
        <w:numPr>
          <w:ilvl w:val="0"/>
          <w:numId w:val="2"/>
        </w:numPr>
        <w:spacing w:after="60" w:before="60" w:line="300"/>
      </w:pPr>
      <w:r>
        <w:rPr>
          <w:rFonts w:ascii="Arial" w:cs="Arial" w:eastAsia="Arial" w:hAnsi="Arial"/>
          <w:sz w:val="22"/>
          <w:szCs w:val="22"/>
        </w:rPr>
        <w:t xml:space="preserve">Custom poster frame on the player (do not show YouTube's default thumbnail with related-video chrome)</w:t>
      </w:r>
    </w:p>
    <w:p>
      <w:pPr>
        <w:pStyle w:val="Heading3"/>
        <w:spacing w:after="100" w:before="200"/>
      </w:pPr>
      <w:r>
        <w:rPr>
          <w:rFonts w:ascii="Arial" w:cs="Arial" w:eastAsia="Arial" w:hAnsi="Arial"/>
          <w:b/>
          <w:bCs/>
          <w:color w:val="1F4E79"/>
          <w:sz w:val="24"/>
          <w:szCs w:val="24"/>
        </w:rPr>
        <w:t xml:space="preserve">Embed source</w:t>
      </w:r>
    </w:p>
    <w:p>
      <w:pPr>
        <w:pStyle w:val="ListParagraph"/>
        <w:numPr>
          <w:ilvl w:val="0"/>
          <w:numId w:val="2"/>
        </w:numPr>
        <w:spacing w:after="60" w:before="60" w:line="300"/>
      </w:pPr>
      <w:r>
        <w:rPr>
          <w:rFonts w:ascii="Arial" w:cs="Arial" w:eastAsia="Arial" w:hAnsi="Arial"/>
          <w:sz w:val="22"/>
          <w:szCs w:val="22"/>
        </w:rPr>
        <w:t xml:space="preserve">YouTube URL: https://youtu.be/tBMutOuVpeg</w:t>
      </w:r>
    </w:p>
    <w:p>
      <w:pPr>
        <w:pStyle w:val="ListParagraph"/>
        <w:numPr>
          <w:ilvl w:val="0"/>
          <w:numId w:val="2"/>
        </w:numPr>
        <w:spacing w:after="60" w:before="60" w:line="300"/>
      </w:pPr>
      <w:r>
        <w:rPr>
          <w:rFonts w:ascii="Arial" w:cs="Arial" w:eastAsia="Arial" w:hAnsi="Arial"/>
          <w:sz w:val="22"/>
          <w:szCs w:val="22"/>
        </w:rPr>
        <w:t xml:space="preserve">Use a privacy-enhanced embed (youtube-nocookie.com) with parameters: rel=0, modestbranding=1, controls=1</w:t>
      </w:r>
    </w:p>
    <w:p>
      <w:pPr>
        <w:pStyle w:val="ListParagraph"/>
        <w:numPr>
          <w:ilvl w:val="0"/>
          <w:numId w:val="2"/>
        </w:numPr>
        <w:spacing w:after="60" w:before="60" w:line="300"/>
      </w:pPr>
      <w:r>
        <w:rPr>
          <w:rFonts w:ascii="Arial" w:cs="Arial" w:eastAsia="Arial" w:hAnsi="Arial"/>
          <w:sz w:val="22"/>
          <w:szCs w:val="22"/>
        </w:rPr>
        <w:t xml:space="preserve">Lazy-load the iframe — only request YouTube assets after the visitor clicks the poster, to keep first-paint fast and avoid YouTube tracking on page load</w:t>
      </w:r>
    </w:p>
    <w:p>
      <w:pPr>
        <w:pStyle w:val="ListParagraph"/>
        <w:numPr>
          <w:ilvl w:val="0"/>
          <w:numId w:val="2"/>
        </w:numPr>
        <w:spacing w:after="60" w:before="60" w:line="300"/>
      </w:pPr>
      <w:r>
        <w:rPr>
          <w:rFonts w:ascii="Arial" w:cs="Arial" w:eastAsia="Arial" w:hAnsi="Arial"/>
          <w:sz w:val="22"/>
          <w:szCs w:val="22"/>
        </w:rPr>
        <w:t xml:space="preserve">On mobile, the video remains 16:9 inline (do not force fullscreen)</w:t>
      </w:r>
    </w:p>
    <w:p>
      <w:pPr>
        <w:pStyle w:val="ListParagraph"/>
        <w:numPr>
          <w:ilvl w:val="0"/>
          <w:numId w:val="2"/>
        </w:numPr>
        <w:spacing w:after="60" w:before="60" w:line="300"/>
      </w:pPr>
      <w:r>
        <w:rPr>
          <w:rFonts w:ascii="Arial" w:cs="Arial" w:eastAsia="Arial" w:hAnsi="Arial"/>
          <w:sz w:val="22"/>
          <w:szCs w:val="22"/>
        </w:rPr>
        <w:t xml:space="preserve">Provide an open-captions-on parameter or recommend captioned upload, so the trailer is accessible by default</w:t>
      </w:r>
    </w:p>
    <w:p>
      <w:pPr>
        <w:pStyle w:val="Heading2"/>
        <w:spacing w:after="140" w:before="280"/>
      </w:pPr>
      <w:r>
        <w:rPr>
          <w:rFonts w:ascii="Arial" w:cs="Arial" w:eastAsia="Arial" w:hAnsi="Arial"/>
          <w:b/>
          <w:bCs/>
          <w:color w:val="1A1A1A"/>
          <w:sz w:val="28"/>
          <w:szCs w:val="28"/>
        </w:rPr>
        <w:t xml:space="preserve">3.4 How (design rationale &amp; process)</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This section separates a portfolio piece from a real case study. A Health Tech reader cares less about how the game looks than about whether the candidate can think rigorously about mechanic-to-symptom mapping, lead a team, and ship.</w:t>
      </w:r>
    </w:p>
    <w:p>
      <w:pPr>
        <w:pStyle w:val="Heading3"/>
        <w:spacing w:after="100" w:before="200"/>
      </w:pPr>
      <w:r>
        <w:rPr>
          <w:rFonts w:ascii="Arial" w:cs="Arial" w:eastAsia="Arial" w:hAnsi="Arial"/>
          <w:b/>
          <w:bCs/>
          <w:color w:val="1F4E79"/>
          <w:sz w:val="24"/>
          <w:szCs w:val="24"/>
        </w:rPr>
        <w:t xml:space="preserve">Sub-section A — Mechanic-to-symptom mapping (the centerpiece)</w:t>
      </w:r>
    </w:p>
    <w:p>
      <w:pPr>
        <w:spacing w:after="80" w:before="80" w:line="320"/>
      </w:pPr>
      <w:r>
        <w:rPr>
          <w:rFonts w:ascii="Arial" w:cs="Arial" w:eastAsia="Arial" w:hAnsi="Arial"/>
          <w:sz w:val="22"/>
          <w:szCs w:val="22"/>
        </w:rPr>
        <w:t xml:space="preserve">Present as a two-column layout: left column states the clinical reality, right column states the design response. Three rows, one per 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Clinical reality</w:t>
            </w:r>
          </w:p>
        </w:tc>
        <w:tc>
          <w:tcPr>
            <w:tcW w:type="dxa" w:w="4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Design response in Shui's Odyssey</w:t>
            </w:r>
          </w:p>
        </w:tc>
      </w:tr>
      <w:tr>
        <w:tc>
          <w:tcPr>
            <w:tcW w:type="dxa" w:w="468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People with Alzheimer's frequently experience visual-perceptual difficulties: trouble reading, judging distance, distinguishing colors and contrast, recognizing three-dimensional objects, and in later stages, visual hallucinations.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Visual illusion mechanic: every puzzle frame is a hand-painted scene where what the player sees and what is actually there diverge. The player must learn to read the image the way a person with AD must learn to read the world — with effort, doubt, and patience.</w:t>
            </w:r>
          </w:p>
        </w:tc>
      </w:tr>
      <w:tr>
        <w:tc>
          <w:tcPr>
            <w:tcW w:type="dxa" w:w="468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Memory in AD is asymmetric: distant memories often remain vivid while recent memories vanish first. Patients can be lucid about a childhood meal yet unable to recall a conversation from minutes ago.</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Memory-fragment assembly mechanic: the player pieces together scattered fragments of Shui's life. The temporal logic is deliberately broken — fragments from sixty years ago are sharp, fragments from yesterday are missing.</w:t>
            </w:r>
          </w:p>
        </w:tc>
      </w:tr>
      <w:tr>
        <w:tc>
          <w:tcPr>
            <w:tcW w:type="dxa" w:w="468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Many people with AD lose the ability to reliably recognize the people closest to them, sometimes mistaking a daughter for a mother or a grandchild for a sibling. The misrecognition is not random; it follows the contour of older, stronger memories overwriting newer ones.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Narrative misrecognition: the protagonist Shui mistakes her daughter Xiuhua for her own mother, and her grandson for her younger brother. The player initially reads these as fantasy; only later do they realize they are reading a clinical symptom.</w:t>
            </w:r>
          </w:p>
        </w:tc>
      </w:tr>
    </w:tbl>
    <w:p>
      <w:pPr>
        <w:pStyle w:val="Heading3"/>
        <w:spacing w:after="100" w:before="200"/>
      </w:pPr>
      <w:r>
        <w:rPr>
          <w:rFonts w:ascii="Arial" w:cs="Arial" w:eastAsia="Arial" w:hAnsi="Arial"/>
          <w:b/>
          <w:bCs/>
          <w:color w:val="1F4E79"/>
          <w:sz w:val="24"/>
          <w:szCs w:val="24"/>
        </w:rPr>
        <w:t xml:space="preserve">Sub-section B — The narrative reveal (the design's emotional engine)</w:t>
      </w:r>
    </w:p>
    <w:p>
      <w:pPr>
        <w:spacing w:after="80" w:before="80" w:line="320"/>
      </w:pPr>
      <w:r>
        <w:rPr>
          <w:rFonts w:ascii="Arial" w:cs="Arial" w:eastAsia="Arial" w:hAnsi="Arial"/>
          <w:sz w:val="22"/>
          <w:szCs w:val="22"/>
        </w:rPr>
        <w:t xml:space="preserve">Suggested copy:</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The game opens with Shui as a young woman. Without warning, she becomes old, and the player begins searching for a way to make her young again. Hours of play later, the realization arrives quietly: Shui is not under a spell. She is old, and she has been old for a long time. The sudden aging the player has been trying to undo is the way Alzheimer's disease feels from the inside — a self-image frozen at a much earlier age, colliding with a body and a world that have moved on without permission. The mechanic is the diagnosis. The player learns the disease by being asked to live one of its central confusions.</w:t>
      </w:r>
    </w:p>
    <w:p>
      <w:pPr>
        <w:spacing w:after="80" w:before="80" w:line="320"/>
      </w:pPr>
      <w:r>
        <w:rPr>
          <w:rFonts w:ascii="Arial" w:cs="Arial" w:eastAsia="Arial" w:hAnsi="Arial"/>
          <w:sz w:val="22"/>
          <w:szCs w:val="22"/>
        </w:rPr>
        <w:t xml:space="preserve">This reveal is the project's strongest single piece of evidence that the candidate can use interactive media to teach a clinical concept that resists telling.</w:t>
      </w:r>
    </w:p>
    <w:p>
      <w:pPr>
        <w:pStyle w:val="Heading3"/>
        <w:spacing w:after="100" w:before="200"/>
      </w:pPr>
      <w:r>
        <w:rPr>
          <w:rFonts w:ascii="Arial" w:cs="Arial" w:eastAsia="Arial" w:hAnsi="Arial"/>
          <w:b/>
          <w:bCs/>
          <w:color w:val="1F4E79"/>
          <w:sz w:val="24"/>
          <w:szCs w:val="24"/>
        </w:rPr>
        <w:t xml:space="preserve">Sub-section C — Team leadership</w:t>
      </w:r>
    </w:p>
    <w:p>
      <w:pPr>
        <w:spacing w:after="80" w:before="80" w:line="320"/>
      </w:pPr>
      <w:r>
        <w:rPr>
          <w:rFonts w:ascii="Arial" w:cs="Arial" w:eastAsia="Arial" w:hAnsi="Arial"/>
          <w:sz w:val="22"/>
          <w:szCs w:val="22"/>
        </w:rPr>
        <w:t xml:space="preserve">Short, plainspoken paragraph about the candidate's role:</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As Game Director and Producer, I held the project's center: setting creative direction, driving the production schedule across art, design, and engineering, owning external communication with our publisher 2P Games, and stepping into hands-on art and design work whenever a department needed a second pair of hands. The team operated as a hub-and-spoke, and I was the hub — which meant my measure of success was less my own output than the team's ability to keep moving.</w:t>
      </w:r>
    </w:p>
    <w:p>
      <w:pPr>
        <w:pStyle w:val="Heading3"/>
        <w:spacing w:after="100" w:before="200"/>
      </w:pPr>
      <w:r>
        <w:rPr>
          <w:rFonts w:ascii="Arial" w:cs="Arial" w:eastAsia="Arial" w:hAnsi="Arial"/>
          <w:b/>
          <w:bCs/>
          <w:color w:val="1F4E79"/>
          <w:sz w:val="24"/>
          <w:szCs w:val="24"/>
        </w:rPr>
        <w:t xml:space="preserve">Sub-section D — Honest scope note</w:t>
      </w:r>
    </w:p>
    <w:p>
      <w:pPr>
        <w:spacing w:after="80" w:before="80" w:line="320"/>
      </w:pPr>
      <w:r>
        <w:rPr>
          <w:rFonts w:ascii="Arial" w:cs="Arial" w:eastAsia="Arial" w:hAnsi="Arial"/>
          <w:sz w:val="22"/>
          <w:szCs w:val="22"/>
        </w:rPr>
        <w:t xml:space="preserve">Include one short paragraph that addresses what the project did not do. This is a credibility move, not a weakness:</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A note on research method: the project did not include formal user interviews with people living with dementia. Several team members drew on direct family experience with the disease, and the design was checked against publicly available patient and caregiver writing. A future iteration of this kind of work — especially in a Health Tech context — would build in structured co-design with patients and caregivers from day one. That gap is part of what draws me toward Health-domain teams now.</w:t>
      </w:r>
    </w:p>
    <w:p>
      <w:pPr>
        <w:pStyle w:val="Heading3"/>
        <w:spacing w:after="100" w:before="200"/>
      </w:pPr>
      <w:r>
        <w:rPr>
          <w:rFonts w:ascii="Arial" w:cs="Arial" w:eastAsia="Arial" w:hAnsi="Arial"/>
          <w:b/>
          <w:bCs/>
          <w:color w:val="1F4E79"/>
          <w:sz w:val="24"/>
          <w:szCs w:val="24"/>
        </w:rPr>
        <w:t xml:space="preserve">Visual treatment</w:t>
      </w:r>
    </w:p>
    <w:p>
      <w:pPr>
        <w:pStyle w:val="ListParagraph"/>
        <w:numPr>
          <w:ilvl w:val="0"/>
          <w:numId w:val="2"/>
        </w:numPr>
        <w:spacing w:after="60" w:before="60" w:line="300"/>
      </w:pPr>
      <w:r>
        <w:rPr>
          <w:rFonts w:ascii="Arial" w:cs="Arial" w:eastAsia="Arial" w:hAnsi="Arial"/>
          <w:sz w:val="22"/>
          <w:szCs w:val="22"/>
        </w:rPr>
        <w:t xml:space="preserve">Sub-section A renders as the table above with paired imagery (one game still per row, placed beside the design-response column)</w:t>
      </w:r>
    </w:p>
    <w:p>
      <w:pPr>
        <w:pStyle w:val="ListParagraph"/>
        <w:numPr>
          <w:ilvl w:val="0"/>
          <w:numId w:val="2"/>
        </w:numPr>
        <w:spacing w:after="60" w:before="60" w:line="300"/>
      </w:pPr>
      <w:r>
        <w:rPr>
          <w:rFonts w:ascii="Arial" w:cs="Arial" w:eastAsia="Arial" w:hAnsi="Arial"/>
          <w:sz w:val="22"/>
          <w:szCs w:val="22"/>
        </w:rPr>
        <w:t xml:space="preserve">Sub-section B uses a wide single-column block with one large emotionally weighted screenshot (recommend screenshot 4 or 5)</w:t>
      </w:r>
    </w:p>
    <w:p>
      <w:pPr>
        <w:pStyle w:val="ListParagraph"/>
        <w:numPr>
          <w:ilvl w:val="0"/>
          <w:numId w:val="2"/>
        </w:numPr>
        <w:spacing w:after="60" w:before="60" w:line="300"/>
      </w:pPr>
      <w:r>
        <w:rPr>
          <w:rFonts w:ascii="Arial" w:cs="Arial" w:eastAsia="Arial" w:hAnsi="Arial"/>
          <w:sz w:val="22"/>
          <w:szCs w:val="22"/>
        </w:rPr>
        <w:t xml:space="preserve">Sub-section C uses a small portrait or team photo if available, otherwise text-only</w:t>
      </w:r>
    </w:p>
    <w:p>
      <w:pPr>
        <w:pStyle w:val="ListParagraph"/>
        <w:numPr>
          <w:ilvl w:val="0"/>
          <w:numId w:val="2"/>
        </w:numPr>
        <w:spacing w:after="60" w:before="60" w:line="300"/>
      </w:pPr>
      <w:r>
        <w:rPr>
          <w:rFonts w:ascii="Arial" w:cs="Arial" w:eastAsia="Arial" w:hAnsi="Arial"/>
          <w:sz w:val="22"/>
          <w:szCs w:val="22"/>
        </w:rPr>
        <w:t xml:space="preserve">Sub-section D uses the same callout style as the Why-section quotes — visual signal that this is a deliberate, considered statement</w:t>
      </w:r>
    </w:p>
    <w:p>
      <w:pPr>
        <w:pStyle w:val="Heading2"/>
        <w:spacing w:after="140" w:before="280"/>
      </w:pPr>
      <w:r>
        <w:rPr>
          <w:rFonts w:ascii="Arial" w:cs="Arial" w:eastAsia="Arial" w:hAnsi="Arial"/>
          <w:b/>
          <w:bCs/>
          <w:color w:val="1A1A1A"/>
          <w:sz w:val="28"/>
          <w:szCs w:val="28"/>
        </w:rPr>
        <w:t xml:space="preserve">3.5 Object gallery (light, atmospheric)</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Each in-game object — the glasses, the pillowcase, the family photo, the king of hearts, the flashlight, the pocket watch — is a vessel for memory. Showing them as a quiet museum-style display reinforces the project's emotional register without adding text weight.</w:t>
      </w:r>
    </w:p>
    <w:p>
      <w:pPr>
        <w:pStyle w:val="Heading3"/>
        <w:spacing w:after="100" w:before="200"/>
      </w:pPr>
      <w:r>
        <w:rPr>
          <w:rFonts w:ascii="Arial" w:cs="Arial" w:eastAsia="Arial" w:hAnsi="Arial"/>
          <w:b/>
          <w:bCs/>
          <w:color w:val="1F4E79"/>
          <w:sz w:val="24"/>
          <w:szCs w:val="24"/>
        </w:rPr>
        <w:t xml:space="preserve">Layout</w:t>
      </w:r>
    </w:p>
    <w:p>
      <w:pPr>
        <w:pStyle w:val="ListParagraph"/>
        <w:numPr>
          <w:ilvl w:val="0"/>
          <w:numId w:val="2"/>
        </w:numPr>
        <w:spacing w:after="60" w:before="60" w:line="300"/>
      </w:pPr>
      <w:r>
        <w:rPr>
          <w:rFonts w:ascii="Arial" w:cs="Arial" w:eastAsia="Arial" w:hAnsi="Arial"/>
          <w:sz w:val="22"/>
          <w:szCs w:val="22"/>
        </w:rPr>
        <w:t xml:space="preserve">A single horizontal strip of nine PNGs (or a 3×3 grid on narrower viewports), each on a soft pale-blue square card</w:t>
      </w:r>
    </w:p>
    <w:p>
      <w:pPr>
        <w:pStyle w:val="ListParagraph"/>
        <w:numPr>
          <w:ilvl w:val="0"/>
          <w:numId w:val="2"/>
        </w:numPr>
        <w:spacing w:after="60" w:before="60" w:line="300"/>
      </w:pPr>
      <w:r>
        <w:rPr>
          <w:rFonts w:ascii="Arial" w:cs="Arial" w:eastAsia="Arial" w:hAnsi="Arial"/>
          <w:sz w:val="22"/>
          <w:szCs w:val="22"/>
        </w:rPr>
        <w:t xml:space="preserve">Each object has only its English name beneath it (e.g. Glasses, Pillowcase, Family Photo) — no long captions</w:t>
      </w:r>
    </w:p>
    <w:p>
      <w:pPr>
        <w:pStyle w:val="ListParagraph"/>
        <w:numPr>
          <w:ilvl w:val="0"/>
          <w:numId w:val="2"/>
        </w:numPr>
        <w:spacing w:after="60" w:before="60" w:line="300"/>
      </w:pPr>
      <w:r>
        <w:rPr>
          <w:rFonts w:ascii="Arial" w:cs="Arial" w:eastAsia="Arial" w:hAnsi="Arial"/>
          <w:sz w:val="22"/>
          <w:szCs w:val="22"/>
        </w:rPr>
        <w:t xml:space="preserve">One short header line above the grid: "Nine objects from a fading life."</w:t>
      </w:r>
    </w:p>
    <w:p>
      <w:pPr>
        <w:pStyle w:val="ListParagraph"/>
        <w:numPr>
          <w:ilvl w:val="0"/>
          <w:numId w:val="2"/>
        </w:numPr>
        <w:spacing w:after="60" w:before="60" w:line="300"/>
      </w:pPr>
      <w:r>
        <w:rPr>
          <w:rFonts w:ascii="Arial" w:cs="Arial" w:eastAsia="Arial" w:hAnsi="Arial"/>
          <w:sz w:val="22"/>
          <w:szCs w:val="22"/>
        </w:rPr>
        <w:t xml:space="preserve">No interaction beyond a subtle hover lift; this section is meant to be felt, not clicked</w:t>
      </w:r>
    </w:p>
    <w:p>
      <w:pPr>
        <w:pStyle w:val="Heading2"/>
        <w:spacing w:after="140" w:before="280"/>
      </w:pPr>
      <w:r>
        <w:rPr>
          <w:rFonts w:ascii="Arial" w:cs="Arial" w:eastAsia="Arial" w:hAnsi="Arial"/>
          <w:b/>
          <w:bCs/>
          <w:color w:val="1A1A1A"/>
          <w:sz w:val="28"/>
          <w:szCs w:val="28"/>
        </w:rPr>
        <w:t xml:space="preserve">3.6 Screenshot gallery (immersive)</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Let the artwork speak. The gallery proves visual quality and, by extension, the production discipline that produced it.</w:t>
      </w:r>
    </w:p>
    <w:p>
      <w:pPr>
        <w:pStyle w:val="Heading3"/>
        <w:spacing w:after="100" w:before="200"/>
      </w:pPr>
      <w:r>
        <w:rPr>
          <w:rFonts w:ascii="Arial" w:cs="Arial" w:eastAsia="Arial" w:hAnsi="Arial"/>
          <w:b/>
          <w:bCs/>
          <w:color w:val="1F4E79"/>
          <w:sz w:val="24"/>
          <w:szCs w:val="24"/>
        </w:rPr>
        <w:t xml:space="preserve">Layout (recommend Option B for this project's tone)</w:t>
      </w:r>
    </w:p>
    <w:p>
      <w:pPr>
        <w:pStyle w:val="ListParagraph"/>
        <w:numPr>
          <w:ilvl w:val="0"/>
          <w:numId w:val="2"/>
        </w:numPr>
        <w:spacing w:after="60" w:before="60" w:line="300"/>
      </w:pPr>
      <w:r>
        <w:rPr>
          <w:rFonts w:ascii="Arial" w:cs="Arial" w:eastAsia="Arial" w:hAnsi="Arial"/>
          <w:sz w:val="22"/>
          <w:szCs w:val="22"/>
        </w:rPr>
        <w:t xml:space="preserve">Option A — Masonry: 3–4 column waterfall, click any image for lightbox with arrow navigation</w:t>
      </w:r>
    </w:p>
    <w:p>
      <w:pPr>
        <w:pStyle w:val="ListParagraph"/>
        <w:numPr>
          <w:ilvl w:val="0"/>
          <w:numId w:val="2"/>
        </w:numPr>
        <w:spacing w:after="60" w:before="60" w:line="300"/>
      </w:pPr>
      <w:r>
        <w:rPr>
          <w:rFonts w:ascii="Arial" w:cs="Arial" w:eastAsia="Arial" w:hAnsi="Arial"/>
          <w:sz w:val="22"/>
          <w:szCs w:val="22"/>
        </w:rPr>
        <w:t xml:space="preserve">Option B — Horizontal scroll-snap: full-width container, each screenshot occupies 70–80% of viewport, more cinematic; on mobile, swaps to vertical swipe</w:t>
      </w:r>
    </w:p>
    <w:p>
      <w:pPr>
        <w:pStyle w:val="Heading3"/>
        <w:spacing w:after="100" w:before="200"/>
      </w:pPr>
      <w:r>
        <w:rPr>
          <w:rFonts w:ascii="Arial" w:cs="Arial" w:eastAsia="Arial" w:hAnsi="Arial"/>
          <w:b/>
          <w:bCs/>
          <w:color w:val="1F4E79"/>
          <w:sz w:val="24"/>
          <w:szCs w:val="24"/>
        </w:rPr>
        <w:t xml:space="preserve">Captions</w:t>
      </w:r>
    </w:p>
    <w:p>
      <w:pPr>
        <w:pStyle w:val="ListParagraph"/>
        <w:numPr>
          <w:ilvl w:val="0"/>
          <w:numId w:val="2"/>
        </w:numPr>
        <w:spacing w:after="60" w:before="60" w:line="300"/>
      </w:pPr>
      <w:r>
        <w:rPr>
          <w:rFonts w:ascii="Arial" w:cs="Arial" w:eastAsia="Arial" w:hAnsi="Arial"/>
          <w:sz w:val="22"/>
          <w:szCs w:val="22"/>
        </w:rPr>
        <w:t xml:space="preserve">One short line per screenshot — not describing the image, but naming the design intent (e.g. "Two faces from different decades, occupying the same room.")</w:t>
      </w:r>
    </w:p>
    <w:p>
      <w:pPr>
        <w:pStyle w:val="Heading2"/>
        <w:spacing w:after="140" w:before="280"/>
      </w:pPr>
      <w:r>
        <w:rPr>
          <w:rFonts w:ascii="Arial" w:cs="Arial" w:eastAsia="Arial" w:hAnsi="Arial"/>
          <w:b/>
          <w:bCs/>
          <w:color w:val="1A1A1A"/>
          <w:sz w:val="28"/>
          <w:szCs w:val="28"/>
        </w:rPr>
        <w:t xml:space="preserve">3.7 Reception &amp; impact (So What)</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Prove the project reached a real audience and produced real responses. For Health Tech readers, player testimonials from people with caregiver experience are the most persuasive evidence.</w:t>
      </w:r>
    </w:p>
    <w:p>
      <w:pPr>
        <w:pStyle w:val="Heading3"/>
        <w:spacing w:after="100" w:before="200"/>
      </w:pPr>
      <w:r>
        <w:rPr>
          <w:rFonts w:ascii="Arial" w:cs="Arial" w:eastAsia="Arial" w:hAnsi="Arial"/>
          <w:b/>
          <w:bCs/>
          <w:color w:val="1F4E79"/>
          <w:sz w:val="24"/>
          <w:szCs w:val="24"/>
        </w:rPr>
        <w:t xml:space="preserve">Content</w:t>
      </w:r>
    </w:p>
    <w:p>
      <w:pPr>
        <w:pStyle w:val="ListParagraph"/>
        <w:numPr>
          <w:ilvl w:val="0"/>
          <w:numId w:val="2"/>
        </w:numPr>
        <w:spacing w:after="60" w:before="60" w:line="300"/>
      </w:pPr>
      <w:r>
        <w:rPr>
          <w:rFonts w:ascii="Arial" w:cs="Arial" w:eastAsia="Arial" w:hAnsi="Arial"/>
          <w:sz w:val="22"/>
          <w:szCs w:val="22"/>
        </w:rPr>
        <w:t xml:space="preserve">Top row of stat callouts: Steam review count · percentage positive · number of media mentions (use only verified figures — if a number is unavailable, omit the slot)</w:t>
      </w:r>
    </w:p>
    <w:p>
      <w:pPr>
        <w:pStyle w:val="ListParagraph"/>
        <w:numPr>
          <w:ilvl w:val="0"/>
          <w:numId w:val="2"/>
        </w:numPr>
        <w:spacing w:after="60" w:before="60" w:line="300"/>
      </w:pPr>
      <w:r>
        <w:rPr>
          <w:rFonts w:ascii="Arial" w:cs="Arial" w:eastAsia="Arial" w:hAnsi="Arial"/>
          <w:sz w:val="22"/>
          <w:szCs w:val="22"/>
        </w:rPr>
        <w:t xml:space="preserve">2–4 selected player quotes: prioritize quotes from caregivers or family members of people with AD; each quote in a card with attribution to platform (Steam, social media, etc.)</w:t>
      </w:r>
    </w:p>
    <w:p>
      <w:pPr>
        <w:pStyle w:val="ListParagraph"/>
        <w:numPr>
          <w:ilvl w:val="0"/>
          <w:numId w:val="2"/>
        </w:numPr>
        <w:spacing w:after="60" w:before="60" w:line="300"/>
      </w:pPr>
      <w:r>
        <w:rPr>
          <w:rFonts w:ascii="Arial" w:cs="Arial" w:eastAsia="Arial" w:hAnsi="Arial"/>
          <w:sz w:val="22"/>
          <w:szCs w:val="22"/>
        </w:rPr>
        <w:t xml:space="preserve">Press mentions: short list with publication name, headline excerpt, link out (Adventure Gamers, Adventure Game Hotspot, etc.)</w:t>
      </w:r>
    </w:p>
    <w:p>
      <w:pPr>
        <w:pStyle w:val="Heading3"/>
        <w:spacing w:after="100" w:before="200"/>
      </w:pPr>
      <w:r>
        <w:rPr>
          <w:rFonts w:ascii="Arial" w:cs="Arial" w:eastAsia="Arial" w:hAnsi="Arial"/>
          <w:b/>
          <w:bCs/>
          <w:color w:val="1F4E79"/>
          <w:sz w:val="24"/>
          <w:szCs w:val="24"/>
        </w:rPr>
        <w:t xml:space="preserve">Visual treatment</w:t>
      </w:r>
    </w:p>
    <w:p>
      <w:pPr>
        <w:pStyle w:val="ListParagraph"/>
        <w:numPr>
          <w:ilvl w:val="0"/>
          <w:numId w:val="2"/>
        </w:numPr>
        <w:spacing w:after="60" w:before="60" w:line="300"/>
      </w:pPr>
      <w:r>
        <w:rPr>
          <w:rFonts w:ascii="Arial" w:cs="Arial" w:eastAsia="Arial" w:hAnsi="Arial"/>
          <w:sz w:val="22"/>
          <w:szCs w:val="22"/>
        </w:rPr>
        <w:t xml:space="preserve">Stat callouts: deep blue large numerals + small gray label, in a horizontal three-up row</w:t>
      </w:r>
    </w:p>
    <w:p>
      <w:pPr>
        <w:pStyle w:val="ListParagraph"/>
        <w:numPr>
          <w:ilvl w:val="0"/>
          <w:numId w:val="2"/>
        </w:numPr>
        <w:spacing w:after="60" w:before="60" w:line="300"/>
      </w:pPr>
      <w:r>
        <w:rPr>
          <w:rFonts w:ascii="Arial" w:cs="Arial" w:eastAsia="Arial" w:hAnsi="Arial"/>
          <w:sz w:val="22"/>
          <w:szCs w:val="22"/>
        </w:rPr>
        <w:t xml:space="preserve">Player quotes: pale blue cards, large opening quotation mark in the accent color, italicized body, attribution in small caps below</w:t>
      </w:r>
    </w:p>
    <w:p>
      <w:pPr>
        <w:pStyle w:val="Heading2"/>
        <w:spacing w:after="140" w:before="280"/>
      </w:pPr>
      <w:r>
        <w:rPr>
          <w:rFonts w:ascii="Arial" w:cs="Arial" w:eastAsia="Arial" w:hAnsi="Arial"/>
          <w:b/>
          <w:bCs/>
          <w:color w:val="1A1A1A"/>
          <w:sz w:val="28"/>
          <w:szCs w:val="28"/>
        </w:rPr>
        <w:t xml:space="preserve">3.8 Now What — What this project means for Health Tech work</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This section exists for one reason: to translate the project explicitly into capabilities a Health Tech employer needs. Do not make the reader do this translation themselves — most will not.</w:t>
      </w:r>
    </w:p>
    <w:p>
      <w:pPr>
        <w:pStyle w:val="Heading3"/>
        <w:spacing w:after="100" w:before="200"/>
      </w:pPr>
      <w:r>
        <w:rPr>
          <w:rFonts w:ascii="Arial" w:cs="Arial" w:eastAsia="Arial" w:hAnsi="Arial"/>
          <w:b/>
          <w:bCs/>
          <w:color w:val="1F4E79"/>
          <w:sz w:val="24"/>
          <w:szCs w:val="24"/>
        </w:rPr>
        <w:t xml:space="preserve">Section header copy</w:t>
      </w:r>
    </w:p>
    <w:p>
      <w:pPr>
        <w:spacing w:after="120" w:before="120" w:line="320"/>
        <w:jc w:val="center"/>
      </w:pPr>
      <w:r>
        <w:rPr>
          <w:rFonts w:ascii="Arial" w:cs="Arial" w:eastAsia="Arial" w:hAnsi="Arial"/>
          <w:i/>
          <w:iCs/>
          <w:color w:val="1F4E79"/>
          <w:sz w:val="24"/>
          <w:szCs w:val="24"/>
        </w:rPr>
        <w:t xml:space="preserve">“From a game about memory to the future of health communication.”</w:t>
      </w:r>
    </w:p>
    <w:p>
      <w:pPr>
        <w:pStyle w:val="Heading3"/>
        <w:spacing w:after="100" w:before="200"/>
      </w:pPr>
      <w:r>
        <w:rPr>
          <w:rFonts w:ascii="Arial" w:cs="Arial" w:eastAsia="Arial" w:hAnsi="Arial"/>
          <w:b/>
          <w:bCs/>
          <w:color w:val="1F4E79"/>
          <w:sz w:val="24"/>
          <w:szCs w:val="24"/>
        </w:rPr>
        <w:t xml:space="preserve">Five capability statements (each one or two sentences, with a small line-icon)</w:t>
      </w:r>
    </w:p>
    <w:p>
      <w:pPr>
        <w:pStyle w:val="ListParagraph"/>
        <w:numPr>
          <w:ilvl w:val="0"/>
          <w:numId w:val="2"/>
        </w:numPr>
        <w:spacing w:after="60" w:before="60" w:line="300"/>
      </w:pPr>
      <w:r>
        <w:rPr>
          <w:rFonts w:ascii="Arial" w:cs="Arial" w:eastAsia="Arial" w:hAnsi="Arial"/>
          <w:b/>
          <w:bCs/>
          <w:color w:val="1F4E79"/>
          <w:sz w:val="22"/>
          <w:szCs w:val="22"/>
        </w:rPr>
        <w:t xml:space="preserve">Interactive media for health understanding — </w:t>
      </w:r>
      <w:r>
        <w:rPr>
          <w:rFonts w:ascii="Arial" w:cs="Arial" w:eastAsia="Arial" w:hAnsi="Arial"/>
          <w:sz w:val="22"/>
          <w:szCs w:val="22"/>
        </w:rPr>
        <w:t xml:space="preserve">I can design experiences that move a health concept from the brochure to the body, where users feel rather than skim it.</w:t>
      </w:r>
    </w:p>
    <w:p>
      <w:pPr>
        <w:pStyle w:val="ListParagraph"/>
        <w:numPr>
          <w:ilvl w:val="0"/>
          <w:numId w:val="2"/>
        </w:numPr>
        <w:spacing w:after="60" w:before="60" w:line="300"/>
      </w:pPr>
      <w:r>
        <w:rPr>
          <w:rFonts w:ascii="Arial" w:cs="Arial" w:eastAsia="Arial" w:hAnsi="Arial"/>
          <w:b/>
          <w:bCs/>
          <w:color w:val="1F4E79"/>
          <w:sz w:val="22"/>
          <w:szCs w:val="22"/>
        </w:rPr>
        <w:t xml:space="preserve">Narrative as a clinical translation tool — </w:t>
      </w:r>
      <w:r>
        <w:rPr>
          <w:rFonts w:ascii="Arial" w:cs="Arial" w:eastAsia="Arial" w:hAnsi="Arial"/>
          <w:sz w:val="22"/>
          <w:szCs w:val="22"/>
        </w:rPr>
        <w:t xml:space="preserve">I can take a clinical fact (memory loss in AD is asymmetric, recent first) and turn it into a story beat the public will remember a year later.</w:t>
      </w:r>
    </w:p>
    <w:p>
      <w:pPr>
        <w:pStyle w:val="ListParagraph"/>
        <w:numPr>
          <w:ilvl w:val="0"/>
          <w:numId w:val="2"/>
        </w:numPr>
        <w:spacing w:after="60" w:before="60" w:line="300"/>
      </w:pPr>
      <w:r>
        <w:rPr>
          <w:rFonts w:ascii="Arial" w:cs="Arial" w:eastAsia="Arial" w:hAnsi="Arial"/>
          <w:b/>
          <w:bCs/>
          <w:color w:val="1F4E79"/>
          <w:sz w:val="22"/>
          <w:szCs w:val="22"/>
        </w:rPr>
        <w:t xml:space="preserve">Mechanic-to-symptom design thinking — </w:t>
      </w:r>
      <w:r>
        <w:rPr>
          <w:rFonts w:ascii="Arial" w:cs="Arial" w:eastAsia="Arial" w:hAnsi="Arial"/>
          <w:sz w:val="22"/>
          <w:szCs w:val="22"/>
        </w:rPr>
        <w:t xml:space="preserve">my approach is not to illustrate a condition but to operationalize it: every interaction maps to a specific clinical or experiential dimension.</w:t>
      </w:r>
    </w:p>
    <w:p>
      <w:pPr>
        <w:pStyle w:val="ListParagraph"/>
        <w:numPr>
          <w:ilvl w:val="0"/>
          <w:numId w:val="2"/>
        </w:numPr>
        <w:spacing w:after="60" w:before="60" w:line="300"/>
      </w:pPr>
      <w:r>
        <w:rPr>
          <w:rFonts w:ascii="Arial" w:cs="Arial" w:eastAsia="Arial" w:hAnsi="Arial"/>
          <w:b/>
          <w:bCs/>
          <w:color w:val="1F4E79"/>
          <w:sz w:val="22"/>
          <w:szCs w:val="22"/>
        </w:rPr>
        <w:t xml:space="preserve">End-to-end product leadership — </w:t>
      </w:r>
      <w:r>
        <w:rPr>
          <w:rFonts w:ascii="Arial" w:cs="Arial" w:eastAsia="Arial" w:hAnsi="Arial"/>
          <w:sz w:val="22"/>
          <w:szCs w:val="22"/>
        </w:rPr>
        <w:t xml:space="preserve">22 months from concept to a Steam release with Very Positive reception, leading an interdisciplinary team and managing publisher relations.</w:t>
      </w:r>
    </w:p>
    <w:p>
      <w:pPr>
        <w:pStyle w:val="ListParagraph"/>
        <w:numPr>
          <w:ilvl w:val="0"/>
          <w:numId w:val="2"/>
        </w:numPr>
        <w:spacing w:after="60" w:before="60" w:line="300"/>
      </w:pPr>
      <w:r>
        <w:rPr>
          <w:rFonts w:ascii="Arial" w:cs="Arial" w:eastAsia="Arial" w:hAnsi="Arial"/>
          <w:b/>
          <w:bCs/>
          <w:color w:val="1F4E79"/>
          <w:sz w:val="22"/>
          <w:szCs w:val="22"/>
        </w:rPr>
        <w:t xml:space="preserve">Sensitive-topic communication — </w:t>
      </w:r>
      <w:r>
        <w:rPr>
          <w:rFonts w:ascii="Arial" w:cs="Arial" w:eastAsia="Arial" w:hAnsi="Arial"/>
          <w:sz w:val="22"/>
          <w:szCs w:val="22"/>
        </w:rPr>
        <w:t xml:space="preserve">experience treating illness, aging, and family loss with the restraint they deserve, avoiding both clinical detachment and sentimentality.</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These are written for a general Health Tech audience. When a specific role is identified, swap one or two statements to mirror that JD's exact language (patient education, digital therapeutics, health equity, behavior change, etc.).</w:t>
      </w:r>
    </w:p>
    <w:p>
      <w:pPr>
        <w:pStyle w:val="Heading2"/>
        <w:spacing w:after="140" w:before="280"/>
      </w:pPr>
      <w:r>
        <w:rPr>
          <w:rFonts w:ascii="Arial" w:cs="Arial" w:eastAsia="Arial" w:hAnsi="Arial"/>
          <w:b/>
          <w:bCs/>
          <w:color w:val="1A1A1A"/>
          <w:sz w:val="28"/>
          <w:szCs w:val="28"/>
        </w:rPr>
        <w:t xml:space="preserve">3.9 Resources &amp; links</w:t>
      </w:r>
    </w:p>
    <w:p>
      <w:pPr>
        <w:pStyle w:val="Heading3"/>
        <w:spacing w:after="100" w:before="200"/>
      </w:pPr>
      <w:r>
        <w:rPr>
          <w:rFonts w:ascii="Arial" w:cs="Arial" w:eastAsia="Arial" w:hAnsi="Arial"/>
          <w:b/>
          <w:bCs/>
          <w:color w:val="1F4E79"/>
          <w:sz w:val="24"/>
          <w:szCs w:val="24"/>
        </w:rPr>
        <w:t xml:space="preserve">Content</w:t>
      </w:r>
    </w:p>
    <w:p>
      <w:pPr>
        <w:pStyle w:val="ListParagraph"/>
        <w:numPr>
          <w:ilvl w:val="0"/>
          <w:numId w:val="2"/>
        </w:numPr>
        <w:spacing w:after="60" w:before="60" w:line="300"/>
      </w:pPr>
      <w:r>
        <w:rPr>
          <w:rFonts w:ascii="Arial" w:cs="Arial" w:eastAsia="Arial" w:hAnsi="Arial"/>
          <w:sz w:val="22"/>
          <w:szCs w:val="22"/>
        </w:rPr>
        <w:t xml:space="preserve">Play on Steam (primary CTA) — store.steampowered.com/app/2808960</w:t>
      </w:r>
    </w:p>
    <w:p>
      <w:pPr>
        <w:pStyle w:val="ListParagraph"/>
        <w:numPr>
          <w:ilvl w:val="0"/>
          <w:numId w:val="2"/>
        </w:numPr>
        <w:spacing w:after="60" w:before="60" w:line="300"/>
      </w:pPr>
      <w:r>
        <w:rPr>
          <w:rFonts w:ascii="Arial" w:cs="Arial" w:eastAsia="Arial" w:hAnsi="Arial"/>
          <w:sz w:val="22"/>
          <w:szCs w:val="22"/>
        </w:rPr>
        <w:t xml:space="preserve">Game website — yanzhiyang1.com/game</w:t>
      </w:r>
    </w:p>
    <w:p>
      <w:pPr>
        <w:pStyle w:val="ListParagraph"/>
        <w:numPr>
          <w:ilvl w:val="0"/>
          <w:numId w:val="2"/>
        </w:numPr>
        <w:spacing w:after="60" w:before="60" w:line="300"/>
      </w:pPr>
      <w:r>
        <w:rPr>
          <w:rFonts w:ascii="Arial" w:cs="Arial" w:eastAsia="Arial" w:hAnsi="Arial"/>
          <w:sz w:val="22"/>
          <w:szCs w:val="22"/>
        </w:rPr>
        <w:t xml:space="preserve">Full trailer — YouTube link as above</w:t>
      </w:r>
    </w:p>
    <w:p>
      <w:pPr>
        <w:pStyle w:val="ListParagraph"/>
        <w:numPr>
          <w:ilvl w:val="0"/>
          <w:numId w:val="2"/>
        </w:numPr>
        <w:spacing w:after="60" w:before="60" w:line="300"/>
      </w:pPr>
      <w:r>
        <w:rPr>
          <w:rFonts w:ascii="Arial" w:cs="Arial" w:eastAsia="Arial" w:hAnsi="Arial"/>
          <w:sz w:val="22"/>
          <w:szCs w:val="22"/>
        </w:rPr>
        <w:t xml:space="preserve">Press — Adventure Gamers, Adventure Game Hotspot, etc.</w:t>
      </w:r>
    </w:p>
    <w:p>
      <w:pPr>
        <w:pStyle w:val="Heading3"/>
        <w:spacing w:after="100" w:before="200"/>
      </w:pPr>
      <w:r>
        <w:rPr>
          <w:rFonts w:ascii="Arial" w:cs="Arial" w:eastAsia="Arial" w:hAnsi="Arial"/>
          <w:b/>
          <w:bCs/>
          <w:color w:val="1F4E79"/>
          <w:sz w:val="24"/>
          <w:szCs w:val="24"/>
        </w:rPr>
        <w:t xml:space="preserve">Visual treatment</w:t>
      </w:r>
    </w:p>
    <w:p>
      <w:pPr>
        <w:pStyle w:val="ListParagraph"/>
        <w:numPr>
          <w:ilvl w:val="0"/>
          <w:numId w:val="2"/>
        </w:numPr>
        <w:spacing w:after="60" w:before="60" w:line="300"/>
      </w:pPr>
      <w:r>
        <w:rPr>
          <w:rFonts w:ascii="Arial" w:cs="Arial" w:eastAsia="Arial" w:hAnsi="Arial"/>
          <w:sz w:val="22"/>
          <w:szCs w:val="22"/>
        </w:rPr>
        <w:t xml:space="preserve">Single horizontal row of icon buttons, neutral styling, the Steam button slightly emphasized</w:t>
      </w:r>
    </w:p>
    <w:p>
      <w:pPr>
        <w:pStyle w:val="ListParagraph"/>
        <w:numPr>
          <w:ilvl w:val="0"/>
          <w:numId w:val="2"/>
        </w:numPr>
        <w:spacing w:after="60" w:before="60" w:line="300"/>
      </w:pPr>
      <w:r>
        <w:rPr>
          <w:rFonts w:ascii="Arial" w:cs="Arial" w:eastAsia="Arial" w:hAnsi="Arial"/>
          <w:sz w:val="22"/>
          <w:szCs w:val="22"/>
        </w:rPr>
        <w:t xml:space="preserve">All external links open in a new tab with rel="noopener"</w:t>
      </w:r>
    </w:p>
    <w:p>
      <w:pPr>
        <w:pStyle w:val="Heading2"/>
        <w:spacing w:after="140" w:before="280"/>
      </w:pPr>
      <w:r>
        <w:rPr>
          <w:rFonts w:ascii="Arial" w:cs="Arial" w:eastAsia="Arial" w:hAnsi="Arial"/>
          <w:b/>
          <w:bCs/>
          <w:color w:val="1A1A1A"/>
          <w:sz w:val="28"/>
          <w:szCs w:val="28"/>
        </w:rPr>
        <w:t xml:space="preserve">3.10 Footer / project navigation</w:t>
      </w:r>
    </w:p>
    <w:p>
      <w:pPr>
        <w:pStyle w:val="ListParagraph"/>
        <w:numPr>
          <w:ilvl w:val="0"/>
          <w:numId w:val="2"/>
        </w:numPr>
        <w:spacing w:after="60" w:before="60" w:line="300"/>
      </w:pPr>
      <w:r>
        <w:rPr>
          <w:rFonts w:ascii="Arial" w:cs="Arial" w:eastAsia="Arial" w:hAnsi="Arial"/>
          <w:sz w:val="22"/>
          <w:szCs w:val="22"/>
        </w:rPr>
        <w:t xml:space="preserve">"← Back to Projects" link returning to the Health portfolio's project index</w:t>
      </w:r>
    </w:p>
    <w:p>
      <w:pPr>
        <w:pStyle w:val="ListParagraph"/>
        <w:numPr>
          <w:ilvl w:val="0"/>
          <w:numId w:val="2"/>
        </w:numPr>
        <w:spacing w:after="60" w:before="60" w:line="300"/>
      </w:pPr>
      <w:r>
        <w:rPr>
          <w:rFonts w:ascii="Arial" w:cs="Arial" w:eastAsia="Arial" w:hAnsi="Arial"/>
          <w:sz w:val="22"/>
          <w:szCs w:val="22"/>
        </w:rPr>
        <w:t xml:space="preserve">Optional "Next Project →" link to the next case study</w:t>
      </w:r>
    </w:p>
    <w:p>
      <w:pPr>
        <w:pStyle w:val="ListParagraph"/>
        <w:numPr>
          <w:ilvl w:val="0"/>
          <w:numId w:val="2"/>
        </w:numPr>
        <w:spacing w:after="60" w:before="60" w:line="300"/>
      </w:pPr>
      <w:r>
        <w:rPr>
          <w:rFonts w:ascii="Arial" w:cs="Arial" w:eastAsia="Arial" w:hAnsi="Arial"/>
          <w:sz w:val="22"/>
          <w:szCs w:val="22"/>
        </w:rPr>
        <w:t xml:space="preserve">Site-wide footer (contact, social, copyright) inherited from the Health portfolio site</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IV. Asset Mapping</w:t>
      </w:r>
    </w:p>
    <w:p>
      <w:pPr>
        <w:spacing w:after="80" w:before="80" w:line="320"/>
      </w:pPr>
      <w:r>
        <w:rPr>
          <w:rFonts w:ascii="Arial" w:cs="Arial" w:eastAsia="Arial" w:hAnsi="Arial"/>
          <w:sz w:val="22"/>
          <w:szCs w:val="22"/>
        </w:rPr>
        <w:t xml:space="preserve">Asset-to-section mapping for the build phase. Source filenames are kept in their original Chinese; the build should rename them to lowercase English with hyphens.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Source asset</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Used in</w:t>
            </w:r>
          </w:p>
        </w:tc>
        <w:tc>
          <w:tcPr>
            <w:tcW w:type="dxa" w:w="4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Treatment</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LOGO.png</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Hero left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Preserve transparent background; max width ~240–300px; no shadow or border</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游戏截图1.png
游戏截图2.png</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Hero main image / first gallery slot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Pick the more emotionally resonant for Hero; place the other first in the gallery</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游戏截图3–7</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How section + screenshot gallery</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Distribute by which mechanic each one best illustrates; compress to max-width 1600px; provide WebP</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道具/1-1 眼镜
道具/1-2 通知
道具/1-3 枕巾</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Object gallery</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Preserve transparency; centered on pale-blue card; uniform display height ~200–240px</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道具/2-1 簪子
道具/2-2 全家福
道具/2-3 红桃K</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Object gallery + Why section anchor (2-2)</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Same as above; Family Photo (2-2) also appears once in the Why section as an emotional anchor</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道具/3-1 手电筒
道具/3-2 手册
道具/3-3 怀表</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Object gallery + Why section anchor (3-3)</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Same as above; Pocket Watch (3-3) also appears once in the Why section</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YouTube trailer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Trailer section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youtu.be/tBMutOuVpeg — lazy-loaded, privacy-enhanced (youtube-nocookie.com), custom poster frame</w:t>
            </w:r>
          </w:p>
        </w:tc>
      </w:tr>
    </w:tbl>
    <w:p>
      <w:pPr>
        <w:pStyle w:val="Heading2"/>
        <w:spacing w:after="140" w:before="280"/>
      </w:pPr>
      <w:r>
        <w:rPr>
          <w:rFonts w:ascii="Arial" w:cs="Arial" w:eastAsia="Arial" w:hAnsi="Arial"/>
          <w:b/>
          <w:bCs/>
          <w:color w:val="1A1A1A"/>
          <w:sz w:val="28"/>
          <w:szCs w:val="28"/>
        </w:rPr>
        <w:t xml:space="preserve">4.1 English object names</w:t>
      </w:r>
    </w:p>
    <w:p>
      <w:pPr>
        <w:spacing w:after="80" w:before="80" w:line="320"/>
      </w:pPr>
      <w:r>
        <w:rPr>
          <w:rFonts w:ascii="Arial" w:cs="Arial" w:eastAsia="Arial" w:hAnsi="Arial"/>
          <w:sz w:val="22"/>
          <w:szCs w:val="22"/>
        </w:rPr>
        <w:t xml:space="preserve">Use these exact English names beneath each object in the gallery:</w:t>
      </w:r>
    </w:p>
    <w:p>
      <w:pPr>
        <w:pStyle w:val="ListParagraph"/>
        <w:numPr>
          <w:ilvl w:val="0"/>
          <w:numId w:val="2"/>
        </w:numPr>
        <w:spacing w:after="60" w:before="60" w:line="300"/>
      </w:pPr>
      <w:r>
        <w:rPr>
          <w:rFonts w:ascii="Arial" w:cs="Arial" w:eastAsia="Arial" w:hAnsi="Arial"/>
          <w:sz w:val="22"/>
          <w:szCs w:val="22"/>
        </w:rPr>
        <w:t xml:space="preserve">1-1 眼镜 → Glasses</w:t>
      </w:r>
    </w:p>
    <w:p>
      <w:pPr>
        <w:pStyle w:val="ListParagraph"/>
        <w:numPr>
          <w:ilvl w:val="0"/>
          <w:numId w:val="2"/>
        </w:numPr>
        <w:spacing w:after="60" w:before="60" w:line="300"/>
      </w:pPr>
      <w:r>
        <w:rPr>
          <w:rFonts w:ascii="Arial" w:cs="Arial" w:eastAsia="Arial" w:hAnsi="Arial"/>
          <w:sz w:val="22"/>
          <w:szCs w:val="22"/>
        </w:rPr>
        <w:t xml:space="preserve">1-2 通知 → Notice</w:t>
      </w:r>
    </w:p>
    <w:p>
      <w:pPr>
        <w:pStyle w:val="ListParagraph"/>
        <w:numPr>
          <w:ilvl w:val="0"/>
          <w:numId w:val="2"/>
        </w:numPr>
        <w:spacing w:after="60" w:before="60" w:line="300"/>
      </w:pPr>
      <w:r>
        <w:rPr>
          <w:rFonts w:ascii="Arial" w:cs="Arial" w:eastAsia="Arial" w:hAnsi="Arial"/>
          <w:sz w:val="22"/>
          <w:szCs w:val="22"/>
        </w:rPr>
        <w:t xml:space="preserve">1-3 枕巾 → Pillowcase</w:t>
      </w:r>
    </w:p>
    <w:p>
      <w:pPr>
        <w:pStyle w:val="ListParagraph"/>
        <w:numPr>
          <w:ilvl w:val="0"/>
          <w:numId w:val="2"/>
        </w:numPr>
        <w:spacing w:after="60" w:before="60" w:line="300"/>
      </w:pPr>
      <w:r>
        <w:rPr>
          <w:rFonts w:ascii="Arial" w:cs="Arial" w:eastAsia="Arial" w:hAnsi="Arial"/>
          <w:sz w:val="22"/>
          <w:szCs w:val="22"/>
        </w:rPr>
        <w:t xml:space="preserve">2-1 簪子 → Hairpin</w:t>
      </w:r>
    </w:p>
    <w:p>
      <w:pPr>
        <w:pStyle w:val="ListParagraph"/>
        <w:numPr>
          <w:ilvl w:val="0"/>
          <w:numId w:val="2"/>
        </w:numPr>
        <w:spacing w:after="60" w:before="60" w:line="300"/>
      </w:pPr>
      <w:r>
        <w:rPr>
          <w:rFonts w:ascii="Arial" w:cs="Arial" w:eastAsia="Arial" w:hAnsi="Arial"/>
          <w:sz w:val="22"/>
          <w:szCs w:val="22"/>
        </w:rPr>
        <w:t xml:space="preserve">2-2 全家福 → Family Photo</w:t>
      </w:r>
    </w:p>
    <w:p>
      <w:pPr>
        <w:pStyle w:val="ListParagraph"/>
        <w:numPr>
          <w:ilvl w:val="0"/>
          <w:numId w:val="2"/>
        </w:numPr>
        <w:spacing w:after="60" w:before="60" w:line="300"/>
      </w:pPr>
      <w:r>
        <w:rPr>
          <w:rFonts w:ascii="Arial" w:cs="Arial" w:eastAsia="Arial" w:hAnsi="Arial"/>
          <w:sz w:val="22"/>
          <w:szCs w:val="22"/>
        </w:rPr>
        <w:t xml:space="preserve">2-3 红桃K → King of Hearts</w:t>
      </w:r>
    </w:p>
    <w:p>
      <w:pPr>
        <w:pStyle w:val="ListParagraph"/>
        <w:numPr>
          <w:ilvl w:val="0"/>
          <w:numId w:val="2"/>
        </w:numPr>
        <w:spacing w:after="60" w:before="60" w:line="300"/>
      </w:pPr>
      <w:r>
        <w:rPr>
          <w:rFonts w:ascii="Arial" w:cs="Arial" w:eastAsia="Arial" w:hAnsi="Arial"/>
          <w:sz w:val="22"/>
          <w:szCs w:val="22"/>
        </w:rPr>
        <w:t xml:space="preserve">3-1 手电筒 → Flashlight</w:t>
      </w:r>
    </w:p>
    <w:p>
      <w:pPr>
        <w:pStyle w:val="ListParagraph"/>
        <w:numPr>
          <w:ilvl w:val="0"/>
          <w:numId w:val="2"/>
        </w:numPr>
        <w:spacing w:after="60" w:before="60" w:line="300"/>
      </w:pPr>
      <w:r>
        <w:rPr>
          <w:rFonts w:ascii="Arial" w:cs="Arial" w:eastAsia="Arial" w:hAnsi="Arial"/>
          <w:sz w:val="22"/>
          <w:szCs w:val="22"/>
        </w:rPr>
        <w:t xml:space="preserve">3-2 手册 → Manual</w:t>
      </w:r>
    </w:p>
    <w:p>
      <w:pPr>
        <w:pStyle w:val="ListParagraph"/>
        <w:numPr>
          <w:ilvl w:val="0"/>
          <w:numId w:val="2"/>
        </w:numPr>
        <w:spacing w:after="60" w:before="60" w:line="300"/>
      </w:pPr>
      <w:r>
        <w:rPr>
          <w:rFonts w:ascii="Arial" w:cs="Arial" w:eastAsia="Arial" w:hAnsi="Arial"/>
          <w:sz w:val="22"/>
          <w:szCs w:val="22"/>
        </w:rPr>
        <w:t xml:space="preserve">3-3 怀表 → Pocket Watch</w:t>
      </w:r>
    </w:p>
    <w:p>
      <w:pPr>
        <w:pStyle w:val="Heading2"/>
        <w:spacing w:after="140" w:before="280"/>
      </w:pPr>
      <w:r>
        <w:rPr>
          <w:rFonts w:ascii="Arial" w:cs="Arial" w:eastAsia="Arial" w:hAnsi="Arial"/>
          <w:b/>
          <w:bCs/>
          <w:color w:val="1A1A1A"/>
          <w:sz w:val="28"/>
          <w:szCs w:val="28"/>
        </w:rPr>
        <w:t xml:space="preserve">4.2 File reorganization for delivery</w:t>
      </w:r>
    </w:p>
    <w:p>
      <w:pPr>
        <w:pStyle w:val="ListParagraph"/>
        <w:numPr>
          <w:ilvl w:val="0"/>
          <w:numId w:val="2"/>
        </w:numPr>
        <w:spacing w:after="60" w:before="60" w:line="300"/>
      </w:pPr>
      <w:r>
        <w:rPr>
          <w:rFonts w:ascii="Arial" w:cs="Arial" w:eastAsia="Arial" w:hAnsi="Arial"/>
          <w:sz w:val="22"/>
          <w:szCs w:val="22"/>
        </w:rPr>
        <w:t xml:space="preserve">Rename to lowercase English with hyphens (logo.png, screenshot-01.png, item-glasses.png, etc.)</w:t>
      </w:r>
    </w:p>
    <w:p>
      <w:pPr>
        <w:pStyle w:val="ListParagraph"/>
        <w:numPr>
          <w:ilvl w:val="0"/>
          <w:numId w:val="2"/>
        </w:numPr>
        <w:spacing w:after="60" w:before="60" w:line="300"/>
      </w:pPr>
      <w:r>
        <w:rPr>
          <w:rFonts w:ascii="Arial" w:cs="Arial" w:eastAsia="Arial" w:hAnsi="Arial"/>
          <w:sz w:val="22"/>
          <w:szCs w:val="22"/>
        </w:rPr>
        <w:t xml:space="preserve">Organize by purpose: /hero/, /screenshots/, /items/, /video/</w:t>
      </w:r>
    </w:p>
    <w:p>
      <w:pPr>
        <w:pStyle w:val="ListParagraph"/>
        <w:numPr>
          <w:ilvl w:val="0"/>
          <w:numId w:val="2"/>
        </w:numPr>
        <w:spacing w:after="60" w:before="60" w:line="300"/>
      </w:pPr>
      <w:r>
        <w:rPr>
          <w:rFonts w:ascii="Arial" w:cs="Arial" w:eastAsia="Arial" w:hAnsi="Arial"/>
          <w:sz w:val="22"/>
          <w:szCs w:val="22"/>
        </w:rPr>
        <w:t xml:space="preserve">Generate WebP alongside originals; use &lt;picture&gt; with WebP first and PNG/JPG fallback</w:t>
      </w:r>
    </w:p>
    <w:p>
      <w:pPr>
        <w:pStyle w:val="ListParagraph"/>
        <w:numPr>
          <w:ilvl w:val="0"/>
          <w:numId w:val="2"/>
        </w:numPr>
        <w:spacing w:after="60" w:before="60" w:line="300"/>
      </w:pPr>
      <w:r>
        <w:rPr>
          <w:rFonts w:ascii="Arial" w:cs="Arial" w:eastAsia="Arial" w:hAnsi="Arial"/>
          <w:sz w:val="22"/>
          <w:szCs w:val="22"/>
        </w:rPr>
        <w:t xml:space="preserve">Provide @2x versions for Retina displays</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V. Technical Specifications</w:t>
      </w:r>
    </w:p>
    <w:p>
      <w:pPr>
        <w:pStyle w:val="Heading2"/>
        <w:spacing w:after="140" w:before="280"/>
      </w:pPr>
      <w:r>
        <w:rPr>
          <w:rFonts w:ascii="Arial" w:cs="Arial" w:eastAsia="Arial" w:hAnsi="Arial"/>
          <w:b/>
          <w:bCs/>
          <w:color w:val="1A1A1A"/>
          <w:sz w:val="28"/>
          <w:szCs w:val="28"/>
        </w:rPr>
        <w:t xml:space="preserve">5.1 Responsive breakpoints</w:t>
      </w:r>
    </w:p>
    <w:p>
      <w:pPr>
        <w:pStyle w:val="ListParagraph"/>
        <w:numPr>
          <w:ilvl w:val="0"/>
          <w:numId w:val="2"/>
        </w:numPr>
        <w:spacing w:after="60" w:before="60" w:line="300"/>
      </w:pPr>
      <w:r>
        <w:rPr>
          <w:rFonts w:ascii="Arial" w:cs="Arial" w:eastAsia="Arial" w:hAnsi="Arial"/>
          <w:sz w:val="22"/>
          <w:szCs w:val="22"/>
        </w:rPr>
        <w:t xml:space="preserve">Desktop ≥ 1280px: full two-column layouts, horizontal Hero, multi-column gallery</w:t>
      </w:r>
    </w:p>
    <w:p>
      <w:pPr>
        <w:pStyle w:val="ListParagraph"/>
        <w:numPr>
          <w:ilvl w:val="0"/>
          <w:numId w:val="2"/>
        </w:numPr>
        <w:spacing w:after="60" w:before="60" w:line="300"/>
      </w:pPr>
      <w:r>
        <w:rPr>
          <w:rFonts w:ascii="Arial" w:cs="Arial" w:eastAsia="Arial" w:hAnsi="Arial"/>
          <w:sz w:val="22"/>
          <w:szCs w:val="22"/>
        </w:rPr>
        <w:t xml:space="preserve">Tablet 768–1279px: Hero stacks vertically, gallery 2 columns, object gallery 3 columns</w:t>
      </w:r>
    </w:p>
    <w:p>
      <w:pPr>
        <w:pStyle w:val="ListParagraph"/>
        <w:numPr>
          <w:ilvl w:val="0"/>
          <w:numId w:val="2"/>
        </w:numPr>
        <w:spacing w:after="60" w:before="60" w:line="300"/>
      </w:pPr>
      <w:r>
        <w:rPr>
          <w:rFonts w:ascii="Arial" w:cs="Arial" w:eastAsia="Arial" w:hAnsi="Arial"/>
          <w:sz w:val="22"/>
          <w:szCs w:val="22"/>
        </w:rPr>
        <w:t xml:space="preserve">Mobile &lt; 768px: single column throughout, video stays 16:9, object gallery 3 columns (3×3 grid), reduced font sizes</w:t>
      </w:r>
    </w:p>
    <w:p>
      <w:pPr>
        <w:pStyle w:val="Heading2"/>
        <w:spacing w:after="140" w:before="280"/>
      </w:pPr>
      <w:r>
        <w:rPr>
          <w:rFonts w:ascii="Arial" w:cs="Arial" w:eastAsia="Arial" w:hAnsi="Arial"/>
          <w:b/>
          <w:bCs/>
          <w:color w:val="1A1A1A"/>
          <w:sz w:val="28"/>
          <w:szCs w:val="28"/>
        </w:rPr>
        <w:t xml:space="preserve">5.2 Performance</w:t>
      </w:r>
    </w:p>
    <w:p>
      <w:pPr>
        <w:pStyle w:val="ListParagraph"/>
        <w:numPr>
          <w:ilvl w:val="0"/>
          <w:numId w:val="2"/>
        </w:numPr>
        <w:spacing w:after="60" w:before="60" w:line="300"/>
      </w:pPr>
      <w:r>
        <w:rPr>
          <w:rFonts w:ascii="Arial" w:cs="Arial" w:eastAsia="Arial" w:hAnsi="Arial"/>
          <w:sz w:val="22"/>
          <w:szCs w:val="22"/>
        </w:rPr>
        <w:t xml:space="preserve">First-screen LCP &lt; 2.5s. Hero image must use fetchpriority="high"; everything else loading="lazy"</w:t>
      </w:r>
    </w:p>
    <w:p>
      <w:pPr>
        <w:pStyle w:val="ListParagraph"/>
        <w:numPr>
          <w:ilvl w:val="0"/>
          <w:numId w:val="2"/>
        </w:numPr>
        <w:spacing w:after="60" w:before="60" w:line="300"/>
      </w:pPr>
      <w:r>
        <w:rPr>
          <w:rFonts w:ascii="Arial" w:cs="Arial" w:eastAsia="Arial" w:hAnsi="Arial"/>
          <w:sz w:val="22"/>
          <w:szCs w:val="22"/>
        </w:rPr>
        <w:t xml:space="preserve">Video iframe is not requested until the visitor clicks the poster ("facade pattern")</w:t>
      </w:r>
    </w:p>
    <w:p>
      <w:pPr>
        <w:pStyle w:val="ListParagraph"/>
        <w:numPr>
          <w:ilvl w:val="0"/>
          <w:numId w:val="2"/>
        </w:numPr>
        <w:spacing w:after="60" w:before="60" w:line="300"/>
      </w:pPr>
      <w:r>
        <w:rPr>
          <w:rFonts w:ascii="Arial" w:cs="Arial" w:eastAsia="Arial" w:hAnsi="Arial"/>
          <w:sz w:val="22"/>
          <w:szCs w:val="22"/>
        </w:rPr>
        <w:t xml:space="preserve">Fonts load with font-display: swap to avoid invisible text</w:t>
      </w:r>
    </w:p>
    <w:p>
      <w:pPr>
        <w:pStyle w:val="ListParagraph"/>
        <w:numPr>
          <w:ilvl w:val="0"/>
          <w:numId w:val="2"/>
        </w:numPr>
        <w:spacing w:after="60" w:before="60" w:line="300"/>
      </w:pPr>
      <w:r>
        <w:rPr>
          <w:rFonts w:ascii="Arial" w:cs="Arial" w:eastAsia="Arial" w:hAnsi="Arial"/>
          <w:sz w:val="22"/>
          <w:szCs w:val="22"/>
        </w:rPr>
        <w:t xml:space="preserve">Total page weight ≤ 3MB excluding video</w:t>
      </w:r>
    </w:p>
    <w:p>
      <w:pPr>
        <w:pStyle w:val="Heading2"/>
        <w:spacing w:after="140" w:before="280"/>
      </w:pPr>
      <w:r>
        <w:rPr>
          <w:rFonts w:ascii="Arial" w:cs="Arial" w:eastAsia="Arial" w:hAnsi="Arial"/>
          <w:b/>
          <w:bCs/>
          <w:color w:val="1A1A1A"/>
          <w:sz w:val="28"/>
          <w:szCs w:val="28"/>
        </w:rPr>
        <w:t xml:space="preserve">5.3 Motion</w:t>
      </w:r>
    </w:p>
    <w:p>
      <w:pPr>
        <w:pStyle w:val="ListParagraph"/>
        <w:numPr>
          <w:ilvl w:val="0"/>
          <w:numId w:val="2"/>
        </w:numPr>
        <w:spacing w:after="60" w:before="60" w:line="300"/>
      </w:pPr>
      <w:r>
        <w:rPr>
          <w:rFonts w:ascii="Arial" w:cs="Arial" w:eastAsia="Arial" w:hAnsi="Arial"/>
          <w:sz w:val="22"/>
          <w:szCs w:val="22"/>
        </w:rPr>
        <w:t xml:space="preserve">Restrained throughout. Use micro-motion only for: image fade-in on entry (300–500ms), button color hover transitions (200ms), object cards fading in sequentially as the gallery enters viewport</w:t>
      </w:r>
    </w:p>
    <w:p>
      <w:pPr>
        <w:pStyle w:val="ListParagraph"/>
        <w:numPr>
          <w:ilvl w:val="0"/>
          <w:numId w:val="2"/>
        </w:numPr>
        <w:spacing w:after="60" w:before="60" w:line="300"/>
      </w:pPr>
      <w:r>
        <w:rPr>
          <w:rFonts w:ascii="Arial" w:cs="Arial" w:eastAsia="Arial" w:hAnsi="Arial"/>
          <w:sz w:val="22"/>
          <w:szCs w:val="22"/>
        </w:rPr>
        <w:t xml:space="preserve">Honor prefers-reduced-motion: when set, all animations collapse to instant reveal</w:t>
      </w:r>
    </w:p>
    <w:p>
      <w:pPr>
        <w:pStyle w:val="Heading2"/>
        <w:spacing w:after="140" w:before="280"/>
      </w:pPr>
      <w:r>
        <w:rPr>
          <w:rFonts w:ascii="Arial" w:cs="Arial" w:eastAsia="Arial" w:hAnsi="Arial"/>
          <w:b/>
          <w:bCs/>
          <w:color w:val="1A1A1A"/>
          <w:sz w:val="28"/>
          <w:szCs w:val="28"/>
        </w:rPr>
        <w:t xml:space="preserve">5.4 Accessibility (non-negotiable)</w:t>
      </w:r>
    </w:p>
    <w:p>
      <w:pPr>
        <w:spacing w:after="80" w:before="80" w:line="320"/>
      </w:pPr>
      <w:r>
        <w:rPr>
          <w:rFonts w:ascii="Arial" w:cs="Arial" w:eastAsia="Arial" w:hAnsi="Arial"/>
          <w:sz w:val="22"/>
          <w:szCs w:val="22"/>
        </w:rPr>
        <w:t xml:space="preserve">A health-domain site that fails accessibility loses credibility instantly. This is the floor.</w:t>
      </w:r>
    </w:p>
    <w:p>
      <w:pPr>
        <w:pStyle w:val="ListParagraph"/>
        <w:numPr>
          <w:ilvl w:val="0"/>
          <w:numId w:val="2"/>
        </w:numPr>
        <w:spacing w:after="60" w:before="60" w:line="300"/>
      </w:pPr>
      <w:r>
        <w:rPr>
          <w:rFonts w:ascii="Arial" w:cs="Arial" w:eastAsia="Arial" w:hAnsi="Arial"/>
          <w:sz w:val="22"/>
          <w:szCs w:val="22"/>
        </w:rPr>
        <w:t xml:space="preserve">Every image has meaningful alt text — not "screenshot 1"</w:t>
      </w:r>
    </w:p>
    <w:p>
      <w:pPr>
        <w:pStyle w:val="ListParagraph"/>
        <w:numPr>
          <w:ilvl w:val="0"/>
          <w:numId w:val="2"/>
        </w:numPr>
        <w:spacing w:after="60" w:before="60" w:line="300"/>
      </w:pPr>
      <w:r>
        <w:rPr>
          <w:rFonts w:ascii="Arial" w:cs="Arial" w:eastAsia="Arial" w:hAnsi="Arial"/>
          <w:sz w:val="22"/>
          <w:szCs w:val="22"/>
        </w:rPr>
        <w:t xml:space="preserve">Trailer has captions (CC track) — ideally English subtitles burned in or as a sidecar</w:t>
      </w:r>
    </w:p>
    <w:p>
      <w:pPr>
        <w:pStyle w:val="ListParagraph"/>
        <w:numPr>
          <w:ilvl w:val="0"/>
          <w:numId w:val="2"/>
        </w:numPr>
        <w:spacing w:after="60" w:before="60" w:line="300"/>
      </w:pPr>
      <w:r>
        <w:rPr>
          <w:rFonts w:ascii="Arial" w:cs="Arial" w:eastAsia="Arial" w:hAnsi="Arial"/>
          <w:sz w:val="22"/>
          <w:szCs w:val="22"/>
        </w:rPr>
        <w:t xml:space="preserve">Color contrast meets WCAG AA throughout (body 4.5:1, large headings 3:1)</w:t>
      </w:r>
    </w:p>
    <w:p>
      <w:pPr>
        <w:pStyle w:val="ListParagraph"/>
        <w:numPr>
          <w:ilvl w:val="0"/>
          <w:numId w:val="2"/>
        </w:numPr>
        <w:spacing w:after="60" w:before="60" w:line="300"/>
      </w:pPr>
      <w:r>
        <w:rPr>
          <w:rFonts w:ascii="Arial" w:cs="Arial" w:eastAsia="Arial" w:hAnsi="Arial"/>
          <w:sz w:val="22"/>
          <w:szCs w:val="22"/>
        </w:rPr>
        <w:t xml:space="preserve">Full keyboard navigation; visible focus state on every interactive element</w:t>
      </w:r>
    </w:p>
    <w:p>
      <w:pPr>
        <w:pStyle w:val="ListParagraph"/>
        <w:numPr>
          <w:ilvl w:val="0"/>
          <w:numId w:val="2"/>
        </w:numPr>
        <w:spacing w:after="60" w:before="60" w:line="300"/>
      </w:pPr>
      <w:r>
        <w:rPr>
          <w:rFonts w:ascii="Arial" w:cs="Arial" w:eastAsia="Arial" w:hAnsi="Arial"/>
          <w:sz w:val="22"/>
          <w:szCs w:val="22"/>
        </w:rPr>
        <w:t xml:space="preserve">Semantic HTML: article, section, figure, figcaption used correctly; one H1 per page</w:t>
      </w:r>
    </w:p>
    <w:p>
      <w:pPr>
        <w:pStyle w:val="ListParagraph"/>
        <w:numPr>
          <w:ilvl w:val="0"/>
          <w:numId w:val="2"/>
        </w:numPr>
        <w:spacing w:after="60" w:before="60" w:line="300"/>
      </w:pPr>
      <w:r>
        <w:rPr>
          <w:rFonts w:ascii="Arial" w:cs="Arial" w:eastAsia="Arial" w:hAnsi="Arial"/>
          <w:sz w:val="22"/>
          <w:szCs w:val="22"/>
        </w:rPr>
        <w:t xml:space="preserve">Lightbox (if used): ESC closes, Tab is trapped within the modal, focus returns to trigger on close</w:t>
      </w:r>
    </w:p>
    <w:p>
      <w:pPr>
        <w:pStyle w:val="Heading2"/>
        <w:spacing w:after="140" w:before="280"/>
      </w:pPr>
      <w:r>
        <w:rPr>
          <w:rFonts w:ascii="Arial" w:cs="Arial" w:eastAsia="Arial" w:hAnsi="Arial"/>
          <w:b/>
          <w:bCs/>
          <w:color w:val="1A1A1A"/>
          <w:sz w:val="28"/>
          <w:szCs w:val="28"/>
        </w:rPr>
        <w:t xml:space="preserve">5.5 SEO &amp; social</w:t>
      </w:r>
    </w:p>
    <w:p>
      <w:pPr>
        <w:pStyle w:val="ListParagraph"/>
        <w:numPr>
          <w:ilvl w:val="0"/>
          <w:numId w:val="2"/>
        </w:numPr>
        <w:spacing w:after="60" w:before="60" w:line="300"/>
      </w:pPr>
      <w:r>
        <w:rPr>
          <w:rFonts w:ascii="Arial" w:cs="Arial" w:eastAsia="Arial" w:hAnsi="Arial"/>
          <w:sz w:val="22"/>
          <w:szCs w:val="22"/>
        </w:rPr>
        <w:t xml:space="preserve">Page title: "Shui's Odyssey — A puzzle game about Alzheimer's | Elliot Yang"</w:t>
      </w:r>
    </w:p>
    <w:p>
      <w:pPr>
        <w:pStyle w:val="ListParagraph"/>
        <w:numPr>
          <w:ilvl w:val="0"/>
          <w:numId w:val="2"/>
        </w:numPr>
        <w:spacing w:after="60" w:before="60" w:line="300"/>
      </w:pPr>
      <w:r>
        <w:rPr>
          <w:rFonts w:ascii="Arial" w:cs="Arial" w:eastAsia="Arial" w:hAnsi="Arial"/>
          <w:sz w:val="22"/>
          <w:szCs w:val="22"/>
        </w:rPr>
        <w:t xml:space="preserve">Meta description should include keywords: serious games, dementia, health communication, narrative design</w:t>
      </w:r>
    </w:p>
    <w:p>
      <w:pPr>
        <w:pStyle w:val="ListParagraph"/>
        <w:numPr>
          <w:ilvl w:val="0"/>
          <w:numId w:val="2"/>
        </w:numPr>
        <w:spacing w:after="60" w:before="60" w:line="300"/>
      </w:pPr>
      <w:r>
        <w:rPr>
          <w:rFonts w:ascii="Arial" w:cs="Arial" w:eastAsia="Arial" w:hAnsi="Arial"/>
          <w:sz w:val="22"/>
          <w:szCs w:val="22"/>
        </w:rPr>
        <w:t xml:space="preserve">Open Graph + Twitter Card with a custom social card image (use the most emotionally compelling screenshot)</w:t>
      </w:r>
    </w:p>
    <w:p>
      <w:pPr>
        <w:pStyle w:val="ListParagraph"/>
        <w:numPr>
          <w:ilvl w:val="0"/>
          <w:numId w:val="2"/>
        </w:numPr>
        <w:spacing w:after="60" w:before="60" w:line="300"/>
      </w:pPr>
      <w:r>
        <w:rPr>
          <w:rFonts w:ascii="Arial" w:cs="Arial" w:eastAsia="Arial" w:hAnsi="Arial"/>
          <w:sz w:val="22"/>
          <w:szCs w:val="22"/>
        </w:rPr>
        <w:t xml:space="preserve">Structured data: schema.org CreativeWork (or VideoGame, with appropriate properties)</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VI. Copywriting Guidelines</w:t>
      </w:r>
    </w:p>
    <w:p>
      <w:pPr>
        <w:pStyle w:val="Heading2"/>
        <w:spacing w:after="140" w:before="280"/>
      </w:pPr>
      <w:r>
        <w:rPr>
          <w:rFonts w:ascii="Arial" w:cs="Arial" w:eastAsia="Arial" w:hAnsi="Arial"/>
          <w:b/>
          <w:bCs/>
          <w:color w:val="1A1A1A"/>
          <w:sz w:val="28"/>
          <w:szCs w:val="28"/>
        </w:rPr>
        <w:t xml:space="preserve">6.1 Voice</w:t>
      </w:r>
    </w:p>
    <w:p>
      <w:pPr>
        <w:pStyle w:val="ListParagraph"/>
        <w:numPr>
          <w:ilvl w:val="0"/>
          <w:numId w:val="2"/>
        </w:numPr>
        <w:spacing w:after="60" w:before="60" w:line="300"/>
      </w:pPr>
      <w:r>
        <w:rPr>
          <w:rFonts w:ascii="Arial" w:cs="Arial" w:eastAsia="Arial" w:hAnsi="Arial"/>
          <w:sz w:val="22"/>
          <w:szCs w:val="22"/>
        </w:rPr>
        <w:t xml:space="preserve">Restrained, sincere, never sentimental</w:t>
      </w:r>
    </w:p>
    <w:p>
      <w:pPr>
        <w:pStyle w:val="ListParagraph"/>
        <w:numPr>
          <w:ilvl w:val="0"/>
          <w:numId w:val="2"/>
        </w:numPr>
        <w:spacing w:after="60" w:before="60" w:line="300"/>
      </w:pPr>
      <w:r>
        <w:rPr>
          <w:rFonts w:ascii="Arial" w:cs="Arial" w:eastAsia="Arial" w:hAnsi="Arial"/>
          <w:sz w:val="22"/>
          <w:szCs w:val="22"/>
        </w:rPr>
        <w:t xml:space="preserve">Avoid war metaphors ("fight against Alzheimer's," "battle") — the patient-advocacy community has explicitly pushed back on this framing</w:t>
      </w:r>
    </w:p>
    <w:p>
      <w:pPr>
        <w:pStyle w:val="ListParagraph"/>
        <w:numPr>
          <w:ilvl w:val="0"/>
          <w:numId w:val="2"/>
        </w:numPr>
        <w:spacing w:after="60" w:before="60" w:line="300"/>
      </w:pPr>
      <w:r>
        <w:rPr>
          <w:rFonts w:ascii="Arial" w:cs="Arial" w:eastAsia="Arial" w:hAnsi="Arial"/>
          <w:sz w:val="22"/>
          <w:szCs w:val="22"/>
        </w:rPr>
        <w:t xml:space="preserve">Avoid "heartbreaking," "devastating," "tragic" and similar overdetermined adjectives</w:t>
      </w:r>
    </w:p>
    <w:p>
      <w:pPr>
        <w:pStyle w:val="ListParagraph"/>
        <w:numPr>
          <w:ilvl w:val="0"/>
          <w:numId w:val="2"/>
        </w:numPr>
        <w:spacing w:after="60" w:before="60" w:line="300"/>
      </w:pPr>
      <w:r>
        <w:rPr>
          <w:rFonts w:ascii="Arial" w:cs="Arial" w:eastAsia="Arial" w:hAnsi="Arial"/>
          <w:sz w:val="22"/>
          <w:szCs w:val="22"/>
        </w:rPr>
        <w:t xml:space="preserve">Use person-first language: "a person living with Alzheimer's," not "an Alzheimer's patient/sufferer/victim"</w:t>
      </w:r>
    </w:p>
    <w:p>
      <w:pPr>
        <w:pStyle w:val="ListParagraph"/>
        <w:numPr>
          <w:ilvl w:val="0"/>
          <w:numId w:val="2"/>
        </w:numPr>
        <w:spacing w:after="60" w:before="60" w:line="300"/>
      </w:pPr>
      <w:r>
        <w:rPr>
          <w:rFonts w:ascii="Arial" w:cs="Arial" w:eastAsia="Arial" w:hAnsi="Arial"/>
          <w:sz w:val="22"/>
          <w:szCs w:val="22"/>
        </w:rPr>
        <w:t xml:space="preserve">Write the way the New Yorker writes about science: precise, observational, leaving room for the reader to feel something the writer did not name for them</w:t>
      </w:r>
    </w:p>
    <w:p>
      <w:pPr>
        <w:pStyle w:val="Heading2"/>
        <w:spacing w:after="140" w:before="280"/>
      </w:pPr>
      <w:r>
        <w:rPr>
          <w:rFonts w:ascii="Arial" w:cs="Arial" w:eastAsia="Arial" w:hAnsi="Arial"/>
          <w:b/>
          <w:bCs/>
          <w:color w:val="1A1A1A"/>
          <w:sz w:val="28"/>
          <w:szCs w:val="28"/>
        </w:rPr>
        <w:t xml:space="preserve">6.2 Keyword presence (organic, not stuffed)</w:t>
      </w:r>
    </w:p>
    <w:p>
      <w:pPr>
        <w:spacing w:after="80" w:before="80" w:line="320"/>
      </w:pPr>
      <w:r>
        <w:rPr>
          <w:rFonts w:ascii="Arial" w:cs="Arial" w:eastAsia="Arial" w:hAnsi="Arial"/>
          <w:sz w:val="22"/>
          <w:szCs w:val="22"/>
        </w:rPr>
        <w:t xml:space="preserve">These are the terms a Health Tech recruiter is likely to search for. Work them in naturally, mostly in the Why and Now What sections:</w:t>
      </w:r>
    </w:p>
    <w:p>
      <w:pPr>
        <w:pStyle w:val="ListParagraph"/>
        <w:numPr>
          <w:ilvl w:val="0"/>
          <w:numId w:val="2"/>
        </w:numPr>
        <w:spacing w:after="60" w:before="60" w:line="300"/>
      </w:pPr>
      <w:r>
        <w:rPr>
          <w:rFonts w:ascii="Arial" w:cs="Arial" w:eastAsia="Arial" w:hAnsi="Arial"/>
          <w:sz w:val="22"/>
          <w:szCs w:val="22"/>
        </w:rPr>
        <w:t xml:space="preserve">Health communication · patient education · health literacy</w:t>
      </w:r>
    </w:p>
    <w:p>
      <w:pPr>
        <w:pStyle w:val="ListParagraph"/>
        <w:numPr>
          <w:ilvl w:val="0"/>
          <w:numId w:val="2"/>
        </w:numPr>
        <w:spacing w:after="60" w:before="60" w:line="300"/>
      </w:pPr>
      <w:r>
        <w:rPr>
          <w:rFonts w:ascii="Arial" w:cs="Arial" w:eastAsia="Arial" w:hAnsi="Arial"/>
          <w:sz w:val="22"/>
          <w:szCs w:val="22"/>
        </w:rPr>
        <w:t xml:space="preserve">Dementia awareness · caregiver experience · person-centered care</w:t>
      </w:r>
    </w:p>
    <w:p>
      <w:pPr>
        <w:pStyle w:val="ListParagraph"/>
        <w:numPr>
          <w:ilvl w:val="0"/>
          <w:numId w:val="2"/>
        </w:numPr>
        <w:spacing w:after="60" w:before="60" w:line="300"/>
      </w:pPr>
      <w:r>
        <w:rPr>
          <w:rFonts w:ascii="Arial" w:cs="Arial" w:eastAsia="Arial" w:hAnsi="Arial"/>
          <w:sz w:val="22"/>
          <w:szCs w:val="22"/>
        </w:rPr>
        <w:t xml:space="preserve">Aging population · longevity · cognitive health</w:t>
      </w:r>
    </w:p>
    <w:p>
      <w:pPr>
        <w:pStyle w:val="ListParagraph"/>
        <w:numPr>
          <w:ilvl w:val="0"/>
          <w:numId w:val="2"/>
        </w:numPr>
        <w:spacing w:after="60" w:before="60" w:line="300"/>
      </w:pPr>
      <w:r>
        <w:rPr>
          <w:rFonts w:ascii="Arial" w:cs="Arial" w:eastAsia="Arial" w:hAnsi="Arial"/>
          <w:sz w:val="22"/>
          <w:szCs w:val="22"/>
        </w:rPr>
        <w:t xml:space="preserve">Narrative medicine · serious games · games for health · digital therapeutics</w:t>
      </w:r>
    </w:p>
    <w:p>
      <w:pPr>
        <w:pStyle w:val="ListParagraph"/>
        <w:numPr>
          <w:ilvl w:val="0"/>
          <w:numId w:val="2"/>
        </w:numPr>
        <w:spacing w:after="60" w:before="60" w:line="300"/>
      </w:pPr>
      <w:r>
        <w:rPr>
          <w:rFonts w:ascii="Arial" w:cs="Arial" w:eastAsia="Arial" w:hAnsi="Arial"/>
          <w:sz w:val="22"/>
          <w:szCs w:val="22"/>
        </w:rPr>
        <w:t xml:space="preserve">Empathy design · human-centered design · interactive media</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VII. Open Items Before Build</w:t>
      </w:r>
    </w:p>
    <w:p>
      <w:pPr>
        <w:spacing w:after="80" w:before="80" w:line="320"/>
      </w:pPr>
      <w:r>
        <w:rPr>
          <w:rFonts w:ascii="Arial" w:cs="Arial" w:eastAsia="Arial" w:hAnsi="Arial"/>
          <w:sz w:val="22"/>
          <w:szCs w:val="22"/>
        </w:rPr>
        <w:t xml:space="preserve">Items still to be supplied or confirmed before coding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w:t>
            </w:r>
          </w:p>
        </w:tc>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Item</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Notes</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1</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Steam stat figures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Confirm the current review count and positive percentage at build time — these figures move</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Player quotes for So What section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Select 2–4 quotes, ideally including at least one from a player with caregiver experience</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3</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Press list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Confirm which media outlets covered the game and which excerpts to quote</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4</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Custom video poster frame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A single still chosen as the trailer's poster image (avoids YouTube default thumbnail)</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5</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Health portfolio site design tokens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Color variables, font stack, and component library from elliotyanghealth.com to align the outer layer</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6</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Data citation links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Decide whether to surface footnoted citations for the three Why-section data anchors (recommended for credibility)</w:t>
            </w:r>
          </w:p>
        </w:tc>
      </w:tr>
    </w:tbl>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VIII. Summary</w:t>
      </w:r>
    </w:p>
    <w:p>
      <w:pPr>
        <w:spacing w:after="80" w:before="80" w:line="320"/>
      </w:pPr>
      <w:r>
        <w:rPr>
          <w:rFonts w:ascii="Arial" w:cs="Arial" w:eastAsia="Arial" w:hAnsi="Arial"/>
          <w:sz w:val="22"/>
          <w:szCs w:val="22"/>
        </w:rPr>
        <w:t xml:space="preserve">The core principle of this document: re-tell a game project in the language of Health Tech.</w:t>
      </w:r>
    </w:p>
    <w:p>
      <w:pPr>
        <w:spacing w:after="80" w:before="80" w:line="320"/>
      </w:pPr>
      <w:r>
        <w:rPr>
          <w:rFonts w:ascii="Arial" w:cs="Arial" w:eastAsia="Arial" w:hAnsi="Arial"/>
          <w:sz w:val="22"/>
          <w:szCs w:val="22"/>
        </w:rPr>
        <w:t xml:space="preserve">The page succeeds or fails on three things, in this order:</w:t>
      </w:r>
    </w:p>
    <w:p>
      <w:pPr>
        <w:pStyle w:val="ListParagraph"/>
        <w:numPr>
          <w:ilvl w:val="0"/>
          <w:numId w:val="2"/>
        </w:numPr>
        <w:spacing w:after="60" w:before="60" w:line="300"/>
      </w:pPr>
      <w:r>
        <w:rPr>
          <w:rFonts w:ascii="Arial" w:cs="Arial" w:eastAsia="Arial" w:hAnsi="Arial"/>
          <w:b/>
          <w:bCs/>
          <w:color w:val="1F4E79"/>
          <w:sz w:val="22"/>
          <w:szCs w:val="22"/>
        </w:rPr>
        <w:t xml:space="preserve">First second — </w:t>
      </w:r>
      <w:r>
        <w:rPr>
          <w:rFonts w:ascii="Arial" w:cs="Arial" w:eastAsia="Arial" w:hAnsi="Arial"/>
          <w:sz w:val="22"/>
          <w:szCs w:val="22"/>
        </w:rPr>
        <w:t xml:space="preserve">the visitor understands this is serious work about Alzheimer's by a candidate who knows the topic.</w:t>
      </w:r>
    </w:p>
    <w:p>
      <w:pPr>
        <w:pStyle w:val="ListParagraph"/>
        <w:numPr>
          <w:ilvl w:val="0"/>
          <w:numId w:val="2"/>
        </w:numPr>
        <w:spacing w:after="60" w:before="60" w:line="300"/>
      </w:pPr>
      <w:r>
        <w:rPr>
          <w:rFonts w:ascii="Arial" w:cs="Arial" w:eastAsia="Arial" w:hAnsi="Arial"/>
          <w:b/>
          <w:bCs/>
          <w:color w:val="1F4E79"/>
          <w:sz w:val="22"/>
          <w:szCs w:val="22"/>
        </w:rPr>
        <w:t xml:space="preserve">Middle — </w:t>
      </w:r>
      <w:r>
        <w:rPr>
          <w:rFonts w:ascii="Arial" w:cs="Arial" w:eastAsia="Arial" w:hAnsi="Arial"/>
          <w:sz w:val="22"/>
          <w:szCs w:val="22"/>
        </w:rPr>
        <w:t xml:space="preserve">the visitor sees a real method: data, design hypothesis, mechanic-to-symptom mapping, team leadership, and an honest scope note.</w:t>
      </w:r>
    </w:p>
    <w:p>
      <w:pPr>
        <w:pStyle w:val="ListParagraph"/>
        <w:numPr>
          <w:ilvl w:val="0"/>
          <w:numId w:val="2"/>
        </w:numPr>
        <w:spacing w:after="60" w:before="60" w:line="300"/>
      </w:pPr>
      <w:r>
        <w:rPr>
          <w:rFonts w:ascii="Arial" w:cs="Arial" w:eastAsia="Arial" w:hAnsi="Arial"/>
          <w:b/>
          <w:bCs/>
          <w:color w:val="1F4E79"/>
          <w:sz w:val="22"/>
          <w:szCs w:val="22"/>
        </w:rPr>
        <w:t xml:space="preserve">End — </w:t>
      </w:r>
      <w:r>
        <w:rPr>
          <w:rFonts w:ascii="Arial" w:cs="Arial" w:eastAsia="Arial" w:hAnsi="Arial"/>
          <w:sz w:val="22"/>
          <w:szCs w:val="22"/>
        </w:rPr>
        <w:t xml:space="preserve">the visitor can name what this candidate brings to a Health Tech team without having to do the translation work themselves.</w:t>
      </w:r>
    </w:p>
    <w:p>
      <w:pPr>
        <w:spacing w:after="80" w:before="80" w:line="320"/>
      </w:pPr>
      <w:r>
        <w:rPr>
          <w:rFonts w:ascii="Arial" w:cs="Arial" w:eastAsia="Arial" w:hAnsi="Arial"/>
          <w:sz w:val="22"/>
          <w:szCs w:val="22"/>
        </w:rPr>
        <w:t xml:space="preserve"/>
      </w:r>
    </w:p>
    <w:p>
      <w:pPr>
        <w:spacing w:after="80" w:before="80" w:line="320"/>
      </w:pPr>
      <w:r>
        <w:rPr>
          <w:rFonts w:ascii="Arial" w:cs="Arial" w:eastAsia="Arial" w:hAnsi="Arial"/>
          <w:sz w:val="22"/>
          <w:szCs w:val="22"/>
        </w:rPr>
        <w:t xml:space="preserve">With the open items resolved, the page is ready to enter build. Recommend producing a high-fidelity static HTML/CSS prototype first, then deciding whether framework integration is warranted.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2026-04-30T16:21:21.286Z</dcterms:created>
  <dcterms:modified xsi:type="dcterms:W3CDTF">2026-04-30T16:21:21.305Z</dcterms:modified>
</cp:coreProperties>
</file>

<file path=docProps/custom.xml><?xml version="1.0" encoding="utf-8"?>
<Properties xmlns="http://schemas.openxmlformats.org/officeDocument/2006/custom-properties" xmlns:vt="http://schemas.openxmlformats.org/officeDocument/2006/docPropsVTypes"/>
</file>