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0"/>
      </w:pPr>
      <w:r>
        <w:rPr>
          <w:rFonts w:ascii="Arial" w:cs="Arial" w:eastAsia="Arial" w:hAnsi="Arial"/>
          <w:color w:val="6B6B6B"/>
          <w:sz w:val="22"/>
          <w:szCs w:val="22"/>
        </w:rPr>
        <w:t xml:space="preserve">WEB DESIGN DOCUMENT</w:t>
      </w:r>
    </w:p>
    <w:p>
      <w:pPr>
        <w:spacing w:after="80" w:before="0"/>
      </w:pPr>
      <w:r>
        <w:rPr>
          <w:rFonts w:ascii="Arial" w:cs="Arial" w:eastAsia="Arial" w:hAnsi="Arial"/>
          <w:b/>
          <w:bCs/>
          <w:color w:val="1A1A1A"/>
          <w:sz w:val="56"/>
          <w:szCs w:val="56"/>
        </w:rPr>
        <w:t xml:space="preserve">Xun</w:t>
      </w:r>
    </w:p>
    <w:p>
      <w:pPr>
        <w:spacing w:after="60" w:before="0"/>
      </w:pPr>
      <w:r>
        <w:rPr>
          <w:rFonts w:ascii="Arial" w:cs="Arial" w:eastAsia="Arial" w:hAnsi="Arial"/>
          <w:color w:val="1F4E79"/>
          <w:sz w:val="32"/>
          <w:szCs w:val="32"/>
        </w:rPr>
        <w:t xml:space="preserve">《迅》</w:t>
      </w:r>
    </w:p>
    <w:p>
      <w:pPr>
        <w:spacing w:after="200" w:before="0"/>
      </w:pPr>
      <w:r>
        <w:rPr>
          <w:rFonts w:ascii="Arial" w:cs="Arial" w:eastAsia="Arial" w:hAnsi="Arial"/>
          <w:color w:val="6B6B6B"/>
          <w:sz w:val="24"/>
          <w:szCs w:val="24"/>
        </w:rPr>
        <w:t xml:space="preserve">Animated short film · Project sub-page for Health portfolio site</w:t>
      </w:r>
    </w:p>
    <w:p>
      <w:pPr>
        <w:spacing w:after="60" w:before="60" w:line="300"/>
      </w:pPr>
      <w:r>
        <w:rPr>
          <w:rFonts w:ascii="Arial" w:cs="Arial" w:eastAsia="Arial" w:hAnsi="Arial"/>
          <w:b/>
          <w:bCs/>
          <w:sz w:val="22"/>
          <w:szCs w:val="22"/>
        </w:rPr>
        <w:t xml:space="preserve">Target site: </w:t>
      </w:r>
      <w:r>
        <w:rPr>
          <w:rFonts w:ascii="Arial" w:cs="Arial" w:eastAsia="Arial" w:hAnsi="Arial"/>
          <w:sz w:val="22"/>
          <w:szCs w:val="22"/>
        </w:rPr>
        <w:t xml:space="preserve">elliotyanghealth.com</w:t>
      </w:r>
    </w:p>
    <w:p>
      <w:pPr>
        <w:spacing w:after="60" w:before="60" w:line="300"/>
      </w:pPr>
      <w:r>
        <w:rPr>
          <w:rFonts w:ascii="Arial" w:cs="Arial" w:eastAsia="Arial" w:hAnsi="Arial"/>
          <w:b/>
          <w:bCs/>
          <w:sz w:val="22"/>
          <w:szCs w:val="22"/>
        </w:rPr>
        <w:t xml:space="preserve">Page path: </w:t>
      </w:r>
      <w:r>
        <w:rPr>
          <w:rFonts w:ascii="Arial" w:cs="Arial" w:eastAsia="Arial" w:hAnsi="Arial"/>
          <w:sz w:val="22"/>
          <w:szCs w:val="22"/>
        </w:rPr>
        <w:t xml:space="preserve">/projects/xun</w:t>
      </w:r>
    </w:p>
    <w:p>
      <w:pPr>
        <w:spacing w:after="60" w:before="60" w:line="300"/>
      </w:pPr>
      <w:r>
        <w:rPr>
          <w:rFonts w:ascii="Arial" w:cs="Arial" w:eastAsia="Arial" w:hAnsi="Arial"/>
          <w:b/>
          <w:bCs/>
          <w:sz w:val="22"/>
          <w:szCs w:val="22"/>
        </w:rPr>
        <w:t xml:space="preserve">Page language: </w:t>
      </w:r>
      <w:r>
        <w:rPr>
          <w:rFonts w:ascii="Arial" w:cs="Arial" w:eastAsia="Arial" w:hAnsi="Arial"/>
          <w:sz w:val="22"/>
          <w:szCs w:val="22"/>
        </w:rPr>
        <w:t xml:space="preserve">English (single-language page)</w:t>
      </w:r>
    </w:p>
    <w:p>
      <w:pPr>
        <w:spacing w:after="60" w:before="60" w:line="300"/>
      </w:pPr>
      <w:r>
        <w:rPr>
          <w:rFonts w:ascii="Arial" w:cs="Arial" w:eastAsia="Arial" w:hAnsi="Arial"/>
          <w:b/>
          <w:bCs/>
          <w:sz w:val="22"/>
          <w:szCs w:val="22"/>
        </w:rPr>
        <w:t xml:space="preserve">Document version: </w:t>
      </w:r>
      <w:r>
        <w:rPr>
          <w:rFonts w:ascii="Arial" w:cs="Arial" w:eastAsia="Arial" w:hAnsi="Arial"/>
          <w:sz w:val="22"/>
          <w:szCs w:val="22"/>
        </w:rPr>
        <w:t xml:space="preserve">v1.0 · 2026-04-30</w:t>
      </w:r>
    </w:p>
    <w:p>
      <w:pPr>
        <w:pBdr>
          <w:bottom w:val="single" w:color="CCCCCC" w:sz="6" w:space="1"/>
        </w:pBdr>
        <w:spacing w:after="200" w:before="200"/>
      </w:pPr>
      <w:r>
        <w:t xml:space="preserve"/>
      </w:r>
    </w:p>
    <w:p>
      <w:pPr>
        <w:pStyle w:val="Heading1"/>
        <w:spacing w:after="200" w:before="360"/>
      </w:pPr>
      <w:r>
        <w:rPr>
          <w:rFonts w:ascii="Arial" w:cs="Arial" w:eastAsia="Arial" w:hAnsi="Arial"/>
          <w:b/>
          <w:bCs/>
          <w:color w:val="1A1A1A"/>
          <w:sz w:val="36"/>
          <w:szCs w:val="36"/>
        </w:rPr>
        <w:t xml:space="preserve">I. Positioning &amp; Narrative Strategy</w:t>
      </w:r>
    </w:p>
    <w:p>
      <w:pPr>
        <w:pStyle w:val="Heading2"/>
        <w:spacing w:after="140" w:before="280"/>
      </w:pPr>
      <w:r>
        <w:rPr>
          <w:rFonts w:ascii="Arial" w:cs="Arial" w:eastAsia="Arial" w:hAnsi="Arial"/>
          <w:b/>
          <w:bCs/>
          <w:color w:val="1A1A1A"/>
          <w:sz w:val="28"/>
          <w:szCs w:val="28"/>
        </w:rPr>
        <w:t xml:space="preserve">1.1 Why this project belongs on a Health portfolio site</w:t>
      </w:r>
    </w:p>
    <w:p>
      <w:pPr>
        <w:spacing w:after="80" w:before="80" w:line="320"/>
      </w:pPr>
      <w:r>
        <w:rPr>
          <w:rFonts w:ascii="Arial" w:cs="Arial" w:eastAsia="Arial" w:hAnsi="Arial"/>
          <w:sz w:val="22"/>
          <w:szCs w:val="22"/>
        </w:rPr>
        <w:t xml:space="preserve">Xun is, on its surface, an animated short film about the Chinese writer Lu Xun. It does not look like a Health Tech project. The reason it earns a place on this site is that it is the most direct piece of evidence of a single capability that Health Tech consistently undervalues and consistently needs:</w:t>
      </w:r>
    </w:p>
    <w:p>
      <w:pPr>
        <w:pBdr>
          <w:left w:val="single" w:color="1F4E79" w:sz="18" w:space="8"/>
        </w:pBdr>
        <w:shd w:fill="EAF1F8" w:val="clear"/>
        <w:spacing w:after="100" w:before="100" w:line="300"/>
        <w:ind w:left="200" w:right="200"/>
      </w:pPr>
      <w:r>
        <w:rPr>
          <w:rFonts w:ascii="Arial" w:cs="Arial" w:eastAsia="Arial" w:hAnsi="Arial"/>
          <w:i/>
          <w:iCs/>
          <w:color w:val="3A3A3A"/>
          <w:sz w:val="21"/>
          <w:szCs w:val="21"/>
        </w:rPr>
        <w:t xml:space="preserve">The ability to take a complex, abstract, culturally dense subject — a body of literature, a clinical concept, a behavior-change message — and translate it into a visual language that the audience feels rather than parses.</w:t>
      </w:r>
    </w:p>
    <w:p>
      <w:pPr>
        <w:spacing w:after="80" w:before="80" w:line="320"/>
      </w:pPr>
      <w:r>
        <w:rPr>
          <w:rFonts w:ascii="Arial" w:cs="Arial" w:eastAsia="Arial" w:hAnsi="Arial"/>
          <w:sz w:val="22"/>
          <w:szCs w:val="22"/>
        </w:rPr>
        <w:t xml:space="preserve">Health communication keeps running into the same wall. The science is correct, the pamphlet is well-written, the public still does not act on it. The wall is almost never a research wall; it is a translation wall. Xun is a 22-shot demonstration of how to climb that wall.</w:t>
      </w:r>
    </w:p>
    <w:p>
      <w:pPr>
        <w:pStyle w:val="Heading2"/>
        <w:spacing w:after="140" w:before="280"/>
      </w:pPr>
      <w:r>
        <w:rPr>
          <w:rFonts w:ascii="Arial" w:cs="Arial" w:eastAsia="Arial" w:hAnsi="Arial"/>
          <w:b/>
          <w:bCs/>
          <w:color w:val="1A1A1A"/>
          <w:sz w:val="28"/>
          <w:szCs w:val="28"/>
        </w:rPr>
        <w:t xml:space="preserve">1.2 Audience reframing</w:t>
      </w:r>
    </w:p>
    <w:p>
      <w:pPr>
        <w:spacing w:after="80" w:before="80" w:line="320"/>
      </w:pPr>
      <w:r>
        <w:rPr>
          <w:rFonts w:ascii="Arial" w:cs="Arial" w:eastAsia="Arial" w:hAnsi="Arial"/>
          <w:sz w:val="22"/>
          <w:szCs w:val="22"/>
        </w:rPr>
        <w:t xml:space="preserve">The viewer of this page is not a film critic and not a Lu Xun scholar. They are a Health Tech recruiter, designer, or collaborator who probably does not know who Lu Xun is, and does not need to. Every section must answer one of the following questions for them:</w:t>
      </w:r>
    </w:p>
    <w:p>
      <w:pPr>
        <w:pStyle w:val="ListParagraph"/>
        <w:numPr>
          <w:ilvl w:val="0"/>
          <w:numId w:val="2"/>
        </w:numPr>
        <w:spacing w:after="60" w:before="60" w:line="300"/>
      </w:pPr>
      <w:r>
        <w:rPr>
          <w:rFonts w:ascii="Arial" w:cs="Arial" w:eastAsia="Arial" w:hAnsi="Arial"/>
          <w:sz w:val="22"/>
          <w:szCs w:val="22"/>
        </w:rPr>
        <w:t xml:space="preserve">Can this candidate take a topic the public mostly avoids and make people want to look at it?</w:t>
      </w:r>
    </w:p>
    <w:p>
      <w:pPr>
        <w:pStyle w:val="ListParagraph"/>
        <w:numPr>
          <w:ilvl w:val="0"/>
          <w:numId w:val="2"/>
        </w:numPr>
        <w:spacing w:after="60" w:before="60" w:line="300"/>
      </w:pPr>
      <w:r>
        <w:rPr>
          <w:rFonts w:ascii="Arial" w:cs="Arial" w:eastAsia="Arial" w:hAnsi="Arial"/>
          <w:sz w:val="22"/>
          <w:szCs w:val="22"/>
        </w:rPr>
        <w:t xml:space="preserve">Can this candidate work at the level of individual frames — mapping a specific text to a specific image, on purpose, with a defensible reason?</w:t>
      </w:r>
    </w:p>
    <w:p>
      <w:pPr>
        <w:pStyle w:val="ListParagraph"/>
        <w:numPr>
          <w:ilvl w:val="0"/>
          <w:numId w:val="2"/>
        </w:numPr>
        <w:spacing w:after="60" w:before="60" w:line="300"/>
      </w:pPr>
      <w:r>
        <w:rPr>
          <w:rFonts w:ascii="Arial" w:cs="Arial" w:eastAsia="Arial" w:hAnsi="Arial"/>
          <w:sz w:val="22"/>
          <w:szCs w:val="22"/>
        </w:rPr>
        <w:t xml:space="preserve">Can this candidate hold a long, demanding production through to a finished, publicly released piece of work?</w:t>
      </w:r>
    </w:p>
    <w:p>
      <w:pPr>
        <w:pStyle w:val="ListParagraph"/>
        <w:numPr>
          <w:ilvl w:val="0"/>
          <w:numId w:val="2"/>
        </w:numPr>
        <w:spacing w:after="60" w:before="60" w:line="300"/>
      </w:pPr>
      <w:r>
        <w:rPr>
          <w:rFonts w:ascii="Arial" w:cs="Arial" w:eastAsia="Arial" w:hAnsi="Arial"/>
          <w:sz w:val="22"/>
          <w:szCs w:val="22"/>
        </w:rPr>
        <w:t xml:space="preserve">What does the candidate's range tell me about their fit for sensitive health-domain creative work?</w:t>
      </w:r>
    </w:p>
    <w:p>
      <w:pPr>
        <w:pStyle w:val="Heading2"/>
        <w:spacing w:after="140" w:before="280"/>
      </w:pPr>
      <w:r>
        <w:rPr>
          <w:rFonts w:ascii="Arial" w:cs="Arial" w:eastAsia="Arial" w:hAnsi="Arial"/>
          <w:b/>
          <w:bCs/>
          <w:color w:val="1A1A1A"/>
          <w:sz w:val="28"/>
          <w:szCs w:val="28"/>
        </w:rPr>
        <w:t xml:space="preserve">1.3 Narrative arc</w:t>
      </w:r>
    </w:p>
    <w:p>
      <w:pPr>
        <w:spacing w:after="80" w:before="80" w:line="320"/>
      </w:pPr>
      <w:r>
        <w:rPr>
          <w:rFonts w:ascii="Arial" w:cs="Arial" w:eastAsia="Arial" w:hAnsi="Arial"/>
          <w:sz w:val="22"/>
          <w:szCs w:val="22"/>
        </w:rPr>
        <w:t xml:space="preserve">The page follows a tighter, more focused arc than the Shui's Odyssey case study. The film itself is the centerpiece; the surrounding sections orbit around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200"/>
        <w:gridCol w:w="4660"/>
      </w:tblGrid>
      <w:tr>
        <w:trPr>
          <w:tblHeader/>
        </w:trPr>
        <w:tc>
          <w:tcPr>
            <w:tcW w:type="dxa" w:w="1500"/>
            <w:tcBorders>
              <w:top w:val="single" w:color="CCCCCC" w:sz="4"/>
              <w:left w:val="single" w:color="CCCCCC" w:sz="4"/>
              <w:bottom w:val="single" w:color="CCCCCC" w:sz="4"/>
              <w:right w:val="single" w:color="CCCCCC" w:sz="4"/>
            </w:tcBorders>
            <w:shd w:fill="1F4E79" w:val="clear"/>
            <w:tcMar>
              <w:top w:type="dxa" w:w="100"/>
              <w:left w:type="dxa" w:w="140"/>
              <w:bottom w:type="dxa" w:w="100"/>
              <w:right w:type="dxa" w:w="140"/>
            </w:tcMar>
          </w:tcPr>
          <w:p>
            <w:pPr>
              <w:spacing w:after="40" w:before="40"/>
            </w:pPr>
            <w:r>
              <w:rPr>
                <w:rFonts w:ascii="Arial" w:cs="Arial" w:eastAsia="Arial" w:hAnsi="Arial"/>
                <w:b/>
                <w:bCs/>
                <w:color w:val="FFFFFF"/>
                <w:sz w:val="21"/>
                <w:szCs w:val="21"/>
              </w:rPr>
              <w:t xml:space="preserve">Beat</w:t>
            </w:r>
          </w:p>
        </w:tc>
        <w:tc>
          <w:tcPr>
            <w:tcW w:type="dxa" w:w="3200"/>
            <w:tcBorders>
              <w:top w:val="single" w:color="CCCCCC" w:sz="4"/>
              <w:left w:val="single" w:color="CCCCCC" w:sz="4"/>
              <w:bottom w:val="single" w:color="CCCCCC" w:sz="4"/>
              <w:right w:val="single" w:color="CCCCCC" w:sz="4"/>
            </w:tcBorders>
            <w:shd w:fill="1F4E79" w:val="clear"/>
            <w:tcMar>
              <w:top w:type="dxa" w:w="100"/>
              <w:left w:type="dxa" w:w="140"/>
              <w:bottom w:type="dxa" w:w="100"/>
              <w:right w:type="dxa" w:w="140"/>
            </w:tcMar>
          </w:tcPr>
          <w:p>
            <w:pPr>
              <w:spacing w:after="40" w:before="40"/>
            </w:pPr>
            <w:r>
              <w:rPr>
                <w:rFonts w:ascii="Arial" w:cs="Arial" w:eastAsia="Arial" w:hAnsi="Arial"/>
                <w:b/>
                <w:bCs/>
                <w:color w:val="FFFFFF"/>
                <w:sz w:val="21"/>
                <w:szCs w:val="21"/>
              </w:rPr>
              <w:t xml:space="preserve">Content</w:t>
            </w:r>
          </w:p>
        </w:tc>
        <w:tc>
          <w:tcPr>
            <w:tcW w:type="dxa" w:w="4660"/>
            <w:tcBorders>
              <w:top w:val="single" w:color="CCCCCC" w:sz="4"/>
              <w:left w:val="single" w:color="CCCCCC" w:sz="4"/>
              <w:bottom w:val="single" w:color="CCCCCC" w:sz="4"/>
              <w:right w:val="single" w:color="CCCCCC" w:sz="4"/>
            </w:tcBorders>
            <w:shd w:fill="1F4E79" w:val="clear"/>
            <w:tcMar>
              <w:top w:type="dxa" w:w="100"/>
              <w:left w:type="dxa" w:w="140"/>
              <w:bottom w:type="dxa" w:w="100"/>
              <w:right w:type="dxa" w:w="140"/>
            </w:tcMar>
          </w:tcPr>
          <w:p>
            <w:pPr>
              <w:spacing w:after="40" w:before="40"/>
            </w:pPr>
            <w:r>
              <w:rPr>
                <w:rFonts w:ascii="Arial" w:cs="Arial" w:eastAsia="Arial" w:hAnsi="Arial"/>
                <w:b/>
                <w:bCs/>
                <w:color w:val="FFFFFF"/>
                <w:sz w:val="21"/>
                <w:szCs w:val="21"/>
              </w:rPr>
              <w:t xml:space="preserve">Signal sent to a Health Tech reader</w:t>
            </w:r>
          </w:p>
        </w:tc>
      </w:tr>
      <w:tr>
        <w:tc>
          <w:tcPr>
            <w:tcW w:type="dxa" w:w="1500"/>
            <w:tcBorders>
              <w:top w:val="single" w:color="CCCCCC" w:sz="4"/>
              <w:left w:val="single" w:color="CCCCCC" w:sz="4"/>
              <w:bottom w:val="single" w:color="CCCCCC" w:sz="4"/>
              <w:right w:val="single" w:color="CCCCCC" w:sz="4"/>
            </w:tcBorders>
            <w:shd w:fill="F4F8FC" w:val="clear"/>
            <w:tcMar>
              <w:top w:type="dxa" w:w="100"/>
              <w:left w:type="dxa" w:w="140"/>
              <w:bottom w:type="dxa" w:w="100"/>
              <w:right w:type="dxa" w:w="140"/>
            </w:tcMar>
          </w:tcPr>
          <w:p>
            <w:pPr>
              <w:spacing w:after="40" w:before="40"/>
            </w:pPr>
            <w:r>
              <w:rPr>
                <w:rFonts w:ascii="Arial" w:cs="Arial" w:eastAsia="Arial" w:hAnsi="Arial"/>
                <w:b/>
                <w:bCs/>
                <w:sz w:val="21"/>
                <w:szCs w:val="21"/>
              </w:rPr>
              <w:t xml:space="preserve">The film</w:t>
            </w:r>
          </w:p>
        </w:tc>
        <w:tc>
          <w:tcPr>
            <w:tcW w:type="dxa" w:w="32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before="40"/>
            </w:pPr>
            <w:r>
              <w:rPr>
                <w:rFonts w:ascii="Arial" w:cs="Arial" w:eastAsia="Arial" w:hAnsi="Arial"/>
                <w:sz w:val="21"/>
                <w:szCs w:val="21"/>
              </w:rPr>
              <w:t xml:space="preserve">Watch first — the trailer leads, before context</w:t>
            </w:r>
          </w:p>
        </w:tc>
        <w:tc>
          <w:tcPr>
            <w:tcW w:type="dxa" w:w="46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before="40"/>
            </w:pPr>
            <w:r>
              <w:rPr>
                <w:rFonts w:ascii="Arial" w:cs="Arial" w:eastAsia="Arial" w:hAnsi="Arial"/>
                <w:sz w:val="21"/>
                <w:szCs w:val="21"/>
              </w:rPr>
              <w:t xml:space="preserve">Confidence in the work itself; respect for the viewer's time</w:t>
            </w:r>
          </w:p>
        </w:tc>
      </w:tr>
      <w:tr>
        <w:tc>
          <w:tcPr>
            <w:tcW w:type="dxa" w:w="1500"/>
            <w:tcBorders>
              <w:top w:val="single" w:color="CCCCCC" w:sz="4"/>
              <w:left w:val="single" w:color="CCCCCC" w:sz="4"/>
              <w:bottom w:val="single" w:color="CCCCCC" w:sz="4"/>
              <w:right w:val="single" w:color="CCCCCC" w:sz="4"/>
            </w:tcBorders>
            <w:shd w:fill="F4F8FC" w:val="clear"/>
            <w:tcMar>
              <w:top w:type="dxa" w:w="100"/>
              <w:left w:type="dxa" w:w="140"/>
              <w:bottom w:type="dxa" w:w="100"/>
              <w:right w:type="dxa" w:w="140"/>
            </w:tcMar>
          </w:tcPr>
          <w:p>
            <w:pPr>
              <w:spacing w:after="40" w:before="40"/>
            </w:pPr>
            <w:r>
              <w:rPr>
                <w:rFonts w:ascii="Arial" w:cs="Arial" w:eastAsia="Arial" w:hAnsi="Arial"/>
                <w:b/>
                <w:bCs/>
                <w:sz w:val="21"/>
                <w:szCs w:val="21"/>
              </w:rPr>
              <w:t xml:space="preserve">The challenge</w:t>
            </w:r>
          </w:p>
        </w:tc>
        <w:tc>
          <w:tcPr>
            <w:tcW w:type="dxa" w:w="32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before="40"/>
            </w:pPr>
            <w:r>
              <w:rPr>
                <w:rFonts w:ascii="Arial" w:cs="Arial" w:eastAsia="Arial" w:hAnsi="Arial"/>
                <w:sz w:val="21"/>
                <w:szCs w:val="21"/>
              </w:rPr>
              <w:t xml:space="preserve">Why this subject was hard to visualize, and why most prior attempts plateau</w:t>
            </w:r>
          </w:p>
        </w:tc>
        <w:tc>
          <w:tcPr>
            <w:tcW w:type="dxa" w:w="46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before="40"/>
            </w:pPr>
            <w:r>
              <w:rPr>
                <w:rFonts w:ascii="Arial" w:cs="Arial" w:eastAsia="Arial" w:hAnsi="Arial"/>
                <w:sz w:val="21"/>
                <w:szCs w:val="21"/>
              </w:rPr>
              <w:t xml:space="preserve">Diagnostic thinking: the candidate names the problem before solving it</w:t>
            </w:r>
          </w:p>
        </w:tc>
      </w:tr>
      <w:tr>
        <w:tc>
          <w:tcPr>
            <w:tcW w:type="dxa" w:w="1500"/>
            <w:tcBorders>
              <w:top w:val="single" w:color="CCCCCC" w:sz="4"/>
              <w:left w:val="single" w:color="CCCCCC" w:sz="4"/>
              <w:bottom w:val="single" w:color="CCCCCC" w:sz="4"/>
              <w:right w:val="single" w:color="CCCCCC" w:sz="4"/>
            </w:tcBorders>
            <w:shd w:fill="F4F8FC" w:val="clear"/>
            <w:tcMar>
              <w:top w:type="dxa" w:w="100"/>
              <w:left w:type="dxa" w:w="140"/>
              <w:bottom w:type="dxa" w:w="100"/>
              <w:right w:type="dxa" w:w="140"/>
            </w:tcMar>
          </w:tcPr>
          <w:p>
            <w:pPr>
              <w:spacing w:after="40" w:before="40"/>
            </w:pPr>
            <w:r>
              <w:rPr>
                <w:rFonts w:ascii="Arial" w:cs="Arial" w:eastAsia="Arial" w:hAnsi="Arial"/>
                <w:b/>
                <w:bCs/>
                <w:sz w:val="21"/>
                <w:szCs w:val="21"/>
              </w:rPr>
              <w:t xml:space="preserve">The method</w:t>
            </w:r>
          </w:p>
        </w:tc>
        <w:tc>
          <w:tcPr>
            <w:tcW w:type="dxa" w:w="32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before="40"/>
            </w:pPr>
            <w:r>
              <w:rPr>
                <w:rFonts w:ascii="Arial" w:cs="Arial" w:eastAsia="Arial" w:hAnsi="Arial"/>
                <w:sz w:val="21"/>
                <w:szCs w:val="21"/>
              </w:rPr>
              <w:t xml:space="preserve">Non-linear, emotion-and-motion driven structure; image-logic over text-logic</w:t>
            </w:r>
          </w:p>
        </w:tc>
        <w:tc>
          <w:tcPr>
            <w:tcW w:type="dxa" w:w="46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before="40"/>
            </w:pPr>
            <w:r>
              <w:rPr>
                <w:rFonts w:ascii="Arial" w:cs="Arial" w:eastAsia="Arial" w:hAnsi="Arial"/>
                <w:sz w:val="21"/>
                <w:szCs w:val="21"/>
              </w:rPr>
              <w:t xml:space="preserve">A real working method, not a stylistic preference</w:t>
            </w:r>
          </w:p>
        </w:tc>
      </w:tr>
      <w:tr>
        <w:tc>
          <w:tcPr>
            <w:tcW w:type="dxa" w:w="1500"/>
            <w:tcBorders>
              <w:top w:val="single" w:color="CCCCCC" w:sz="4"/>
              <w:left w:val="single" w:color="CCCCCC" w:sz="4"/>
              <w:bottom w:val="single" w:color="CCCCCC" w:sz="4"/>
              <w:right w:val="single" w:color="CCCCCC" w:sz="4"/>
            </w:tcBorders>
            <w:shd w:fill="F4F8FC" w:val="clear"/>
            <w:tcMar>
              <w:top w:type="dxa" w:w="100"/>
              <w:left w:type="dxa" w:w="140"/>
              <w:bottom w:type="dxa" w:w="100"/>
              <w:right w:type="dxa" w:w="140"/>
            </w:tcMar>
          </w:tcPr>
          <w:p>
            <w:pPr>
              <w:spacing w:after="40" w:before="40"/>
            </w:pPr>
            <w:r>
              <w:rPr>
                <w:rFonts w:ascii="Arial" w:cs="Arial" w:eastAsia="Arial" w:hAnsi="Arial"/>
                <w:b/>
                <w:bCs/>
                <w:sz w:val="21"/>
                <w:szCs w:val="21"/>
              </w:rPr>
              <w:t xml:space="preserve">The evidence</w:t>
            </w:r>
          </w:p>
        </w:tc>
        <w:tc>
          <w:tcPr>
            <w:tcW w:type="dxa" w:w="32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before="40"/>
            </w:pPr>
            <w:r>
              <w:rPr>
                <w:rFonts w:ascii="Arial" w:cs="Arial" w:eastAsia="Arial" w:hAnsi="Arial"/>
                <w:sz w:val="21"/>
                <w:szCs w:val="21"/>
              </w:rPr>
              <w:t xml:space="preserve">Four shots, each with the source text and the design decision</w:t>
            </w:r>
          </w:p>
        </w:tc>
        <w:tc>
          <w:tcPr>
            <w:tcW w:type="dxa" w:w="46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before="40"/>
            </w:pPr>
            <w:r>
              <w:rPr>
                <w:rFonts w:ascii="Arial" w:cs="Arial" w:eastAsia="Arial" w:hAnsi="Arial"/>
                <w:sz w:val="21"/>
                <w:szCs w:val="21"/>
              </w:rPr>
              <w:t xml:space="preserve">Frame-level rigor; can defend every choice with a source</w:t>
            </w:r>
          </w:p>
        </w:tc>
      </w:tr>
      <w:tr>
        <w:tc>
          <w:tcPr>
            <w:tcW w:type="dxa" w:w="1500"/>
            <w:tcBorders>
              <w:top w:val="single" w:color="CCCCCC" w:sz="4"/>
              <w:left w:val="single" w:color="CCCCCC" w:sz="4"/>
              <w:bottom w:val="single" w:color="CCCCCC" w:sz="4"/>
              <w:right w:val="single" w:color="CCCCCC" w:sz="4"/>
            </w:tcBorders>
            <w:shd w:fill="F4F8FC" w:val="clear"/>
            <w:tcMar>
              <w:top w:type="dxa" w:w="100"/>
              <w:left w:type="dxa" w:w="140"/>
              <w:bottom w:type="dxa" w:w="100"/>
              <w:right w:type="dxa" w:w="140"/>
            </w:tcMar>
          </w:tcPr>
          <w:p>
            <w:pPr>
              <w:spacing w:after="40" w:before="40"/>
            </w:pPr>
            <w:r>
              <w:rPr>
                <w:rFonts w:ascii="Arial" w:cs="Arial" w:eastAsia="Arial" w:hAnsi="Arial"/>
                <w:b/>
                <w:bCs/>
                <w:sz w:val="21"/>
                <w:szCs w:val="21"/>
              </w:rPr>
              <w:t xml:space="preserve">The bridge</w:t>
            </w:r>
          </w:p>
        </w:tc>
        <w:tc>
          <w:tcPr>
            <w:tcW w:type="dxa" w:w="32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before="40"/>
            </w:pPr>
            <w:r>
              <w:rPr>
                <w:rFonts w:ascii="Arial" w:cs="Arial" w:eastAsia="Arial" w:hAnsi="Arial"/>
                <w:sz w:val="21"/>
                <w:szCs w:val="21"/>
              </w:rPr>
              <w:t xml:space="preserve">What this method gives Health Tech work</w:t>
            </w:r>
          </w:p>
        </w:tc>
        <w:tc>
          <w:tcPr>
            <w:tcW w:type="dxa" w:w="46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before="40"/>
            </w:pPr>
            <w:r>
              <w:rPr>
                <w:rFonts w:ascii="Arial" w:cs="Arial" w:eastAsia="Arial" w:hAnsi="Arial"/>
                <w:sz w:val="21"/>
                <w:szCs w:val="21"/>
              </w:rPr>
              <w:t xml:space="preserve">Explicit translation; the reader does not have to do the bridging</w:t>
            </w:r>
          </w:p>
        </w:tc>
      </w:tr>
    </w:tbl>
    <w:p>
      <w:pPr>
        <w:pBdr>
          <w:bottom w:val="single" w:color="CCCCCC" w:sz="6" w:space="1"/>
        </w:pBdr>
        <w:spacing w:after="200" w:before="200"/>
      </w:pPr>
      <w:r>
        <w:t xml:space="preserve"/>
      </w:r>
    </w:p>
    <w:p>
      <w:pPr>
        <w:pStyle w:val="Heading1"/>
        <w:spacing w:after="200" w:before="360"/>
      </w:pPr>
      <w:r>
        <w:rPr>
          <w:rFonts w:ascii="Arial" w:cs="Arial" w:eastAsia="Arial" w:hAnsi="Arial"/>
          <w:b/>
          <w:bCs/>
          <w:color w:val="1A1A1A"/>
          <w:sz w:val="36"/>
          <w:szCs w:val="36"/>
        </w:rPr>
        <w:t xml:space="preserve">II. Visual Design Principles</w:t>
      </w:r>
    </w:p>
    <w:p>
      <w:pPr>
        <w:pStyle w:val="Heading2"/>
        <w:spacing w:after="140" w:before="280"/>
      </w:pPr>
      <w:r>
        <w:rPr>
          <w:rFonts w:ascii="Arial" w:cs="Arial" w:eastAsia="Arial" w:hAnsi="Arial"/>
          <w:b/>
          <w:bCs/>
          <w:color w:val="1A1A1A"/>
          <w:sz w:val="28"/>
          <w:szCs w:val="28"/>
        </w:rPr>
        <w:t xml:space="preserve">2.1 The frame-and-pop system</w:t>
      </w:r>
    </w:p>
    <w:p>
      <w:pPr>
        <w:spacing w:after="80" w:before="80" w:line="320"/>
      </w:pPr>
      <w:r>
        <w:rPr>
          <w:rFonts w:ascii="Arial" w:cs="Arial" w:eastAsia="Arial" w:hAnsi="Arial"/>
          <w:sz w:val="22"/>
          <w:szCs w:val="22"/>
        </w:rPr>
        <w:t xml:space="preserve">This page extends the Health portfolio's blue framework, but injects two specific qualities from the film's own visual language into the inner project area: paper-grain texture and saturated color punctuation. The result is a page that reads as serious editorial work but rewards the eye — mirroring the film's own balance of seriousness and visual play.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4"/>
              <w:left w:val="single" w:color="CCCCCC" w:sz="4"/>
              <w:bottom w:val="single" w:color="CCCCCC" w:sz="4"/>
              <w:right w:val="single" w:color="CCCCCC" w:sz="4"/>
            </w:tcBorders>
            <w:shd w:fill="F4F8FC" w:val="clear"/>
            <w:tcMar>
              <w:top w:type="dxa" w:w="100"/>
              <w:left w:type="dxa" w:w="140"/>
              <w:bottom w:type="dxa" w:w="100"/>
              <w:right w:type="dxa" w:w="140"/>
            </w:tcMar>
          </w:tcPr>
          <w:p>
            <w:pPr>
              <w:spacing w:after="40" w:before="40"/>
            </w:pPr>
            <w:r>
              <w:rPr>
                <w:rFonts w:ascii="Arial" w:cs="Arial" w:eastAsia="Arial" w:hAnsi="Arial"/>
                <w:b/>
                <w:bCs/>
                <w:sz w:val="21"/>
                <w:szCs w:val="21"/>
              </w:rPr>
              <w:t xml:space="preserve">Outer frame (header, footer, navigation, page margins)</w:t>
            </w:r>
          </w:p>
        </w:tc>
        <w:tc>
          <w:tcPr>
            <w:tcW w:type="dxa" w:w="702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before="40"/>
            </w:pPr>
            <w:r>
              <w:rPr>
                <w:rFonts w:ascii="Arial" w:cs="Arial" w:eastAsia="Arial" w:hAnsi="Arial"/>
                <w:sz w:val="21"/>
                <w:szCs w:val="21"/>
              </w:rPr>
              <w:t xml:space="preserve">Identical to the Health portfolio site. Deep blue accents, modern sans, restrained typography. The visitor never doubts they are still on Elliot Yang's professional site.</w:t>
            </w:r>
          </w:p>
        </w:tc>
      </w:tr>
      <w:tr>
        <w:tc>
          <w:tcPr>
            <w:tcW w:type="dxa" w:w="2340"/>
            <w:tcBorders>
              <w:top w:val="single" w:color="CCCCCC" w:sz="4"/>
              <w:left w:val="single" w:color="CCCCCC" w:sz="4"/>
              <w:bottom w:val="single" w:color="CCCCCC" w:sz="4"/>
              <w:right w:val="single" w:color="CCCCCC" w:sz="4"/>
            </w:tcBorders>
            <w:shd w:fill="F4F8FC" w:val="clear"/>
            <w:tcMar>
              <w:top w:type="dxa" w:w="100"/>
              <w:left w:type="dxa" w:w="140"/>
              <w:bottom w:type="dxa" w:w="100"/>
              <w:right w:type="dxa" w:w="140"/>
            </w:tcMar>
          </w:tcPr>
          <w:p>
            <w:pPr>
              <w:spacing w:after="40" w:before="40"/>
            </w:pPr>
            <w:r>
              <w:rPr>
                <w:rFonts w:ascii="Arial" w:cs="Arial" w:eastAsia="Arial" w:hAnsi="Arial"/>
                <w:b/>
                <w:bCs/>
                <w:sz w:val="21"/>
                <w:szCs w:val="21"/>
              </w:rPr>
              <w:t xml:space="preserve">Inner project area (content sections)</w:t>
            </w:r>
          </w:p>
        </w:tc>
        <w:tc>
          <w:tcPr>
            <w:tcW w:type="dxa" w:w="702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before="40"/>
            </w:pPr>
            <w:r>
              <w:rPr>
                <w:rFonts w:ascii="Arial" w:cs="Arial" w:eastAsia="Arial" w:hAnsi="Arial"/>
                <w:sz w:val="21"/>
                <w:szCs w:val="21"/>
              </w:rPr>
              <w:t xml:space="preserve">Continues the blue base, but adds a low-opacity paper-grain texture (5–8%) on backgrounds, and uses two Xun-derived accent colors — a warm vermillion red (#C8362C) and an ochre (#D4923B) — for small, deliberate punctuation: pull-quote marks, in-line emphasis, shot-number badges, hover states. These accents appear sparingly so they read as intentional, not decorative.</w:t>
            </w:r>
          </w:p>
        </w:tc>
      </w:tr>
      <w:tr>
        <w:tc>
          <w:tcPr>
            <w:tcW w:type="dxa" w:w="2340"/>
            <w:tcBorders>
              <w:top w:val="single" w:color="CCCCCC" w:sz="4"/>
              <w:left w:val="single" w:color="CCCCCC" w:sz="4"/>
              <w:bottom w:val="single" w:color="CCCCCC" w:sz="4"/>
              <w:right w:val="single" w:color="CCCCCC" w:sz="4"/>
            </w:tcBorders>
            <w:shd w:fill="F4F8FC" w:val="clear"/>
            <w:tcMar>
              <w:top w:type="dxa" w:w="100"/>
              <w:left w:type="dxa" w:w="140"/>
              <w:bottom w:type="dxa" w:w="100"/>
              <w:right w:type="dxa" w:w="140"/>
            </w:tcMar>
          </w:tcPr>
          <w:p>
            <w:pPr>
              <w:spacing w:after="40" w:before="40"/>
            </w:pPr>
            <w:r>
              <w:rPr>
                <w:rFonts w:ascii="Arial" w:cs="Arial" w:eastAsia="Arial" w:hAnsi="Arial"/>
                <w:b/>
                <w:bCs/>
                <w:sz w:val="21"/>
                <w:szCs w:val="21"/>
              </w:rPr>
              <w:t xml:space="preserve">Shot-case sections</w:t>
            </w:r>
          </w:p>
        </w:tc>
        <w:tc>
          <w:tcPr>
            <w:tcW w:type="dxa" w:w="702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before="40"/>
            </w:pPr>
            <w:r>
              <w:rPr>
                <w:rFonts w:ascii="Arial" w:cs="Arial" w:eastAsia="Arial" w:hAnsi="Arial"/>
                <w:sz w:val="21"/>
                <w:szCs w:val="21"/>
              </w:rPr>
              <w:t xml:space="preserve">These sections receive a slightly warmer paper-tone background (#F5EFE2) to set them apart from the blue base. The visual logic: the surrounding analytical text is on cool blue paper; the film artwork sits on warm paper, the way artwork sits on a museum wall.</w:t>
            </w:r>
          </w:p>
        </w:tc>
      </w:tr>
    </w:tbl>
    <w:p>
      <w:pPr>
        <w:pStyle w:val="Heading2"/>
        <w:spacing w:after="140" w:before="280"/>
      </w:pPr>
      <w:r>
        <w:rPr>
          <w:rFonts w:ascii="Arial" w:cs="Arial" w:eastAsia="Arial" w:hAnsi="Arial"/>
          <w:b/>
          <w:bCs/>
          <w:color w:val="1A1A1A"/>
          <w:sz w:val="28"/>
          <w:szCs w:val="28"/>
        </w:rPr>
        <w:t xml:space="preserve">2.2 Color palette</w:t>
      </w:r>
    </w:p>
    <w:p>
      <w:pPr>
        <w:pStyle w:val="ListParagraph"/>
        <w:numPr>
          <w:ilvl w:val="0"/>
          <w:numId w:val="2"/>
        </w:numPr>
        <w:spacing w:after="60" w:before="60" w:line="300"/>
      </w:pPr>
      <w:r>
        <w:rPr>
          <w:rFonts w:ascii="Arial" w:cs="Arial" w:eastAsia="Arial" w:hAnsi="Arial"/>
          <w:sz w:val="22"/>
          <w:szCs w:val="22"/>
        </w:rPr>
        <w:t xml:space="preserve">Primary accent (carry-over): Deep Blue #1F4E79</w:t>
      </w:r>
    </w:p>
    <w:p>
      <w:pPr>
        <w:pStyle w:val="ListParagraph"/>
        <w:numPr>
          <w:ilvl w:val="0"/>
          <w:numId w:val="2"/>
        </w:numPr>
        <w:spacing w:after="60" w:before="60" w:line="300"/>
      </w:pPr>
      <w:r>
        <w:rPr>
          <w:rFonts w:ascii="Arial" w:cs="Arial" w:eastAsia="Arial" w:hAnsi="Arial"/>
          <w:sz w:val="22"/>
          <w:szCs w:val="22"/>
        </w:rPr>
        <w:t xml:space="preserve">Secondary: Mid Blue #5B8DBE</w:t>
      </w:r>
    </w:p>
    <w:p>
      <w:pPr>
        <w:pStyle w:val="ListParagraph"/>
        <w:numPr>
          <w:ilvl w:val="0"/>
          <w:numId w:val="2"/>
        </w:numPr>
        <w:spacing w:after="60" w:before="60" w:line="300"/>
      </w:pPr>
      <w:r>
        <w:rPr>
          <w:rFonts w:ascii="Arial" w:cs="Arial" w:eastAsia="Arial" w:hAnsi="Arial"/>
          <w:sz w:val="22"/>
          <w:szCs w:val="22"/>
        </w:rPr>
        <w:t xml:space="preserve">Soft section background: Pale Blue #EAF1F8 / #F4F8FC</w:t>
      </w:r>
    </w:p>
    <w:p>
      <w:pPr>
        <w:pStyle w:val="ListParagraph"/>
        <w:numPr>
          <w:ilvl w:val="0"/>
          <w:numId w:val="2"/>
        </w:numPr>
        <w:spacing w:after="60" w:before="60" w:line="300"/>
      </w:pPr>
      <w:r>
        <w:rPr>
          <w:rFonts w:ascii="Arial" w:cs="Arial" w:eastAsia="Arial" w:hAnsi="Arial"/>
          <w:sz w:val="22"/>
          <w:szCs w:val="22"/>
        </w:rPr>
        <w:t xml:space="preserve">Shot-case background: Paper Tone #F5EFE2 (warm, low-saturation)</w:t>
      </w:r>
    </w:p>
    <w:p>
      <w:pPr>
        <w:pStyle w:val="ListParagraph"/>
        <w:numPr>
          <w:ilvl w:val="0"/>
          <w:numId w:val="2"/>
        </w:numPr>
        <w:spacing w:after="60" w:before="60" w:line="300"/>
      </w:pPr>
      <w:r>
        <w:rPr>
          <w:rFonts w:ascii="Arial" w:cs="Arial" w:eastAsia="Arial" w:hAnsi="Arial"/>
          <w:sz w:val="22"/>
          <w:szCs w:val="22"/>
        </w:rPr>
        <w:t xml:space="preserve">Punctuation accent A: Xun Red #C8362C (used for shot-number badges, key in-line emphasis, the opening quotation mark on pull quotes)</w:t>
      </w:r>
    </w:p>
    <w:p>
      <w:pPr>
        <w:pStyle w:val="ListParagraph"/>
        <w:numPr>
          <w:ilvl w:val="0"/>
          <w:numId w:val="2"/>
        </w:numPr>
        <w:spacing w:after="60" w:before="60" w:line="300"/>
      </w:pPr>
      <w:r>
        <w:rPr>
          <w:rFonts w:ascii="Arial" w:cs="Arial" w:eastAsia="Arial" w:hAnsi="Arial"/>
          <w:sz w:val="22"/>
          <w:szCs w:val="22"/>
        </w:rPr>
        <w:t xml:space="preserve">Punctuation accent B: Xun Ochre #D4923B (used for secondary emphasis, link hover, decorative ornaments)</w:t>
      </w:r>
    </w:p>
    <w:p>
      <w:pPr>
        <w:pStyle w:val="ListParagraph"/>
        <w:numPr>
          <w:ilvl w:val="0"/>
          <w:numId w:val="2"/>
        </w:numPr>
        <w:spacing w:after="60" w:before="60" w:line="300"/>
      </w:pPr>
      <w:r>
        <w:rPr>
          <w:rFonts w:ascii="Arial" w:cs="Arial" w:eastAsia="Arial" w:hAnsi="Arial"/>
          <w:sz w:val="22"/>
          <w:szCs w:val="22"/>
        </w:rPr>
        <w:t xml:space="preserve">Text: heading #1A1A1A, body #3A3A3A, secondary #6B6B6B</w:t>
      </w:r>
    </w:p>
    <w:p>
      <w:pPr>
        <w:pStyle w:val="Heading2"/>
        <w:spacing w:after="140" w:before="280"/>
      </w:pPr>
      <w:r>
        <w:rPr>
          <w:rFonts w:ascii="Arial" w:cs="Arial" w:eastAsia="Arial" w:hAnsi="Arial"/>
          <w:b/>
          <w:bCs/>
          <w:color w:val="1A1A1A"/>
          <w:sz w:val="28"/>
          <w:szCs w:val="28"/>
        </w:rPr>
        <w:t xml:space="preserve">2.3 Texture rules (the discipline that prevents kitsch)</w:t>
      </w:r>
    </w:p>
    <w:p>
      <w:pPr>
        <w:pStyle w:val="ListParagraph"/>
        <w:numPr>
          <w:ilvl w:val="0"/>
          <w:numId w:val="2"/>
        </w:numPr>
        <w:spacing w:after="60" w:before="60" w:line="300"/>
      </w:pPr>
      <w:r>
        <w:rPr>
          <w:rFonts w:ascii="Arial" w:cs="Arial" w:eastAsia="Arial" w:hAnsi="Arial"/>
          <w:sz w:val="22"/>
          <w:szCs w:val="22"/>
        </w:rPr>
        <w:t xml:space="preserve">Paper grain appears only on inner section backgrounds, never overlapping image content</w:t>
      </w:r>
    </w:p>
    <w:p>
      <w:pPr>
        <w:pStyle w:val="ListParagraph"/>
        <w:numPr>
          <w:ilvl w:val="0"/>
          <w:numId w:val="2"/>
        </w:numPr>
        <w:spacing w:after="60" w:before="60" w:line="300"/>
      </w:pPr>
      <w:r>
        <w:rPr>
          <w:rFonts w:ascii="Arial" w:cs="Arial" w:eastAsia="Arial" w:hAnsi="Arial"/>
          <w:sz w:val="22"/>
          <w:szCs w:val="22"/>
        </w:rPr>
        <w:t xml:space="preserve">Grain opacity stays at 5–8% — visible only when looking for it</w:t>
      </w:r>
    </w:p>
    <w:p>
      <w:pPr>
        <w:pStyle w:val="ListParagraph"/>
        <w:numPr>
          <w:ilvl w:val="0"/>
          <w:numId w:val="2"/>
        </w:numPr>
        <w:spacing w:after="60" w:before="60" w:line="300"/>
      </w:pPr>
      <w:r>
        <w:rPr>
          <w:rFonts w:ascii="Arial" w:cs="Arial" w:eastAsia="Arial" w:hAnsi="Arial"/>
          <w:sz w:val="22"/>
          <w:szCs w:val="22"/>
        </w:rPr>
        <w:t xml:space="preserve">The two warm accent colors are quota-limited: no more than three vermillion accents and three ochre accents per viewport at any time</w:t>
      </w:r>
    </w:p>
    <w:p>
      <w:pPr>
        <w:pStyle w:val="ListParagraph"/>
        <w:numPr>
          <w:ilvl w:val="0"/>
          <w:numId w:val="2"/>
        </w:numPr>
        <w:spacing w:after="60" w:before="60" w:line="300"/>
      </w:pPr>
      <w:r>
        <w:rPr>
          <w:rFonts w:ascii="Arial" w:cs="Arial" w:eastAsia="Arial" w:hAnsi="Arial"/>
          <w:sz w:val="22"/>
          <w:szCs w:val="22"/>
        </w:rPr>
        <w:t xml:space="preserve">Headings stay deep blue, not vermillion — the warm colors are punctuation, not structure</w:t>
      </w:r>
    </w:p>
    <w:p>
      <w:pPr>
        <w:pStyle w:val="Heading2"/>
        <w:spacing w:after="140" w:before="280"/>
      </w:pPr>
      <w:r>
        <w:rPr>
          <w:rFonts w:ascii="Arial" w:cs="Arial" w:eastAsia="Arial" w:hAnsi="Arial"/>
          <w:b/>
          <w:bCs/>
          <w:color w:val="1A1A1A"/>
          <w:sz w:val="28"/>
          <w:szCs w:val="28"/>
        </w:rPr>
        <w:t xml:space="preserve">2.4 Typography</w:t>
      </w:r>
    </w:p>
    <w:p>
      <w:pPr>
        <w:pStyle w:val="ListParagraph"/>
        <w:numPr>
          <w:ilvl w:val="0"/>
          <w:numId w:val="2"/>
        </w:numPr>
        <w:spacing w:after="60" w:before="60" w:line="300"/>
      </w:pPr>
      <w:r>
        <w:rPr>
          <w:rFonts w:ascii="Arial" w:cs="Arial" w:eastAsia="Arial" w:hAnsi="Arial"/>
          <w:sz w:val="22"/>
          <w:szCs w:val="22"/>
        </w:rPr>
        <w:t xml:space="preserve">Body and UI: same modern sans-serif as the Health portfolio site (e.g. Inter, system-ui)</w:t>
      </w:r>
    </w:p>
    <w:p>
      <w:pPr>
        <w:pStyle w:val="ListParagraph"/>
        <w:numPr>
          <w:ilvl w:val="0"/>
          <w:numId w:val="2"/>
        </w:numPr>
        <w:spacing w:after="60" w:before="60" w:line="300"/>
      </w:pPr>
      <w:r>
        <w:rPr>
          <w:rFonts w:ascii="Arial" w:cs="Arial" w:eastAsia="Arial" w:hAnsi="Arial"/>
          <w:sz w:val="22"/>
          <w:szCs w:val="22"/>
        </w:rPr>
        <w:t xml:space="preserve">Section headings and pull quotes: refined serif (Cormorant Garamond, EB Garamond, or Source Serif) — lends the editorial register the project deserves</w:t>
      </w:r>
    </w:p>
    <w:p>
      <w:pPr>
        <w:pStyle w:val="ListParagraph"/>
        <w:numPr>
          <w:ilvl w:val="0"/>
          <w:numId w:val="2"/>
        </w:numPr>
        <w:spacing w:after="60" w:before="60" w:line="300"/>
      </w:pPr>
      <w:r>
        <w:rPr>
          <w:rFonts w:ascii="Arial" w:cs="Arial" w:eastAsia="Arial" w:hAnsi="Arial"/>
          <w:sz w:val="22"/>
          <w:szCs w:val="22"/>
        </w:rPr>
        <w:t xml:space="preserve">Shot numbers ("Shot 02", "Shots 07–11"): tabular numerals in vermillion, slightly heavier weight, used as visual anchors in the shot-case section</w:t>
      </w:r>
    </w:p>
    <w:p>
      <w:pPr>
        <w:pBdr>
          <w:bottom w:val="single" w:color="CCCCCC" w:sz="6" w:space="1"/>
        </w:pBdr>
        <w:spacing w:after="200" w:before="200"/>
      </w:pPr>
      <w:r>
        <w:t xml:space="preserve"/>
      </w:r>
    </w:p>
    <w:p>
      <w:pPr>
        <w:pStyle w:val="Heading1"/>
        <w:spacing w:after="200" w:before="360"/>
      </w:pPr>
      <w:r>
        <w:rPr>
          <w:rFonts w:ascii="Arial" w:cs="Arial" w:eastAsia="Arial" w:hAnsi="Arial"/>
          <w:b/>
          <w:bCs/>
          <w:color w:val="1A1A1A"/>
          <w:sz w:val="36"/>
          <w:szCs w:val="36"/>
        </w:rPr>
        <w:t xml:space="preserve">III. Page Structure (top to bottom)</w:t>
      </w:r>
    </w:p>
    <w:p>
      <w:pPr>
        <w:spacing w:after="80" w:before="80" w:line="320"/>
      </w:pPr>
      <w:r>
        <w:rPr>
          <w:rFonts w:ascii="Arial" w:cs="Arial" w:eastAsia="Arial" w:hAnsi="Arial"/>
          <w:sz w:val="22"/>
          <w:szCs w:val="22"/>
        </w:rPr>
        <w:t xml:space="preserve">Below is the full ordered list of sections. The film leads; the analysis follows.</w:t>
      </w:r>
    </w:p>
    <w:p>
      <w:pPr>
        <w:pStyle w:val="Heading2"/>
        <w:spacing w:after="140" w:before="280"/>
      </w:pPr>
      <w:r>
        <w:rPr>
          <w:rFonts w:ascii="Arial" w:cs="Arial" w:eastAsia="Arial" w:hAnsi="Arial"/>
          <w:b/>
          <w:bCs/>
          <w:color w:val="1A1A1A"/>
          <w:sz w:val="28"/>
          <w:szCs w:val="28"/>
        </w:rPr>
        <w:t xml:space="preserve">3.1 Hero (above the fold)</w:t>
      </w:r>
    </w:p>
    <w:p>
      <w:pPr>
        <w:pStyle w:val="Heading3"/>
        <w:spacing w:after="100" w:before="200"/>
      </w:pPr>
      <w:r>
        <w:rPr>
          <w:rFonts w:ascii="Arial" w:cs="Arial" w:eastAsia="Arial" w:hAnsi="Arial"/>
          <w:b/>
          <w:bCs/>
          <w:color w:val="1F4E79"/>
          <w:sz w:val="24"/>
          <w:szCs w:val="24"/>
        </w:rPr>
        <w:t xml:space="preserve">Design intent</w:t>
      </w:r>
    </w:p>
    <w:p>
      <w:pPr>
        <w:spacing w:after="80" w:before="80" w:line="320"/>
      </w:pPr>
      <w:r>
        <w:rPr>
          <w:rFonts w:ascii="Arial" w:cs="Arial" w:eastAsia="Arial" w:hAnsi="Arial"/>
          <w:sz w:val="22"/>
          <w:szCs w:val="22"/>
        </w:rPr>
        <w:t xml:space="preserve">Lead with mood, not with information. The Hero is one carefully chosen still from the film at full bleed, the title in serif over it, and three lines of metadata. No paragraph copy here — the visitor's first second is for the image.</w:t>
      </w:r>
    </w:p>
    <w:p>
      <w:pPr>
        <w:pStyle w:val="Heading3"/>
        <w:spacing w:after="100" w:before="200"/>
      </w:pPr>
      <w:r>
        <w:rPr>
          <w:rFonts w:ascii="Arial" w:cs="Arial" w:eastAsia="Arial" w:hAnsi="Arial"/>
          <w:b/>
          <w:bCs/>
          <w:color w:val="1F4E79"/>
          <w:sz w:val="24"/>
          <w:szCs w:val="24"/>
        </w:rPr>
        <w:t xml:space="preserve">Layout</w:t>
      </w:r>
    </w:p>
    <w:p>
      <w:pPr>
        <w:pStyle w:val="ListParagraph"/>
        <w:numPr>
          <w:ilvl w:val="0"/>
          <w:numId w:val="2"/>
        </w:numPr>
        <w:spacing w:after="60" w:before="60" w:line="300"/>
      </w:pPr>
      <w:r>
        <w:rPr>
          <w:rFonts w:ascii="Arial" w:cs="Arial" w:eastAsia="Arial" w:hAnsi="Arial"/>
          <w:sz w:val="22"/>
          <w:szCs w:val="22"/>
        </w:rPr>
        <w:t xml:space="preserve">Full-bleed background: a single still from the film with the most striking color contrast (recommend the vermillion-flooded scene from Shot 21, or the bone-and-flower scene from Shots 30–32)</w:t>
      </w:r>
    </w:p>
    <w:p>
      <w:pPr>
        <w:pStyle w:val="ListParagraph"/>
        <w:numPr>
          <w:ilvl w:val="0"/>
          <w:numId w:val="2"/>
        </w:numPr>
        <w:spacing w:after="60" w:before="60" w:line="300"/>
      </w:pPr>
      <w:r>
        <w:rPr>
          <w:rFonts w:ascii="Arial" w:cs="Arial" w:eastAsia="Arial" w:hAnsi="Arial"/>
          <w:sz w:val="22"/>
          <w:szCs w:val="22"/>
        </w:rPr>
        <w:t xml:space="preserve">Title "Xun" in serif, large, white or pale, set over the image with a subtle gradient overlay for legibility</w:t>
      </w:r>
    </w:p>
    <w:p>
      <w:pPr>
        <w:pStyle w:val="ListParagraph"/>
        <w:numPr>
          <w:ilvl w:val="0"/>
          <w:numId w:val="2"/>
        </w:numPr>
        <w:spacing w:after="60" w:before="60" w:line="300"/>
      </w:pPr>
      <w:r>
        <w:rPr>
          <w:rFonts w:ascii="Arial" w:cs="Arial" w:eastAsia="Arial" w:hAnsi="Arial"/>
          <w:sz w:val="22"/>
          <w:szCs w:val="22"/>
        </w:rPr>
        <w:t xml:space="preserve">Below the title, the Chinese title 《迅》 as a smaller mark</w:t>
      </w:r>
    </w:p>
    <w:p>
      <w:pPr>
        <w:pStyle w:val="ListParagraph"/>
        <w:numPr>
          <w:ilvl w:val="0"/>
          <w:numId w:val="2"/>
        </w:numPr>
        <w:spacing w:after="60" w:before="60" w:line="300"/>
      </w:pPr>
      <w:r>
        <w:rPr>
          <w:rFonts w:ascii="Arial" w:cs="Arial" w:eastAsia="Arial" w:hAnsi="Arial"/>
          <w:sz w:val="22"/>
          <w:szCs w:val="22"/>
        </w:rPr>
        <w:t xml:space="preserve">Three-line metadata strip beneath: role, year, source institution</w:t>
      </w:r>
    </w:p>
    <w:p>
      <w:pPr>
        <w:pStyle w:val="Heading3"/>
        <w:spacing w:after="100" w:before="200"/>
      </w:pPr>
      <w:r>
        <w:rPr>
          <w:rFonts w:ascii="Arial" w:cs="Arial" w:eastAsia="Arial" w:hAnsi="Arial"/>
          <w:b/>
          <w:bCs/>
          <w:color w:val="1F4E79"/>
          <w:sz w:val="24"/>
          <w:szCs w:val="24"/>
        </w:rPr>
        <w:t xml:space="preserve">Hero copy</w:t>
      </w:r>
    </w:p>
    <w:p>
      <w:pPr>
        <w:spacing w:after="60" w:before="60" w:line="300"/>
      </w:pPr>
      <w:r>
        <w:rPr>
          <w:rFonts w:ascii="Arial" w:cs="Arial" w:eastAsia="Arial" w:hAnsi="Arial"/>
          <w:b/>
          <w:bCs/>
          <w:sz w:val="22"/>
          <w:szCs w:val="22"/>
        </w:rPr>
        <w:t xml:space="preserve">Title: </w:t>
      </w:r>
      <w:r>
        <w:rPr>
          <w:rFonts w:ascii="Arial" w:cs="Arial" w:eastAsia="Arial" w:hAnsi="Arial"/>
          <w:sz w:val="22"/>
          <w:szCs w:val="22"/>
        </w:rPr>
        <w:t xml:space="preserve">Xun</w:t>
      </w:r>
    </w:p>
    <w:p>
      <w:pPr>
        <w:spacing w:after="60" w:before="60" w:line="300"/>
      </w:pPr>
      <w:r>
        <w:rPr>
          <w:rFonts w:ascii="Arial" w:cs="Arial" w:eastAsia="Arial" w:hAnsi="Arial"/>
          <w:b/>
          <w:bCs/>
          <w:sz w:val="22"/>
          <w:szCs w:val="22"/>
        </w:rPr>
        <w:t xml:space="preserve">Chinese mark: </w:t>
      </w:r>
      <w:r>
        <w:rPr>
          <w:rFonts w:ascii="Arial" w:cs="Arial" w:eastAsia="Arial" w:hAnsi="Arial"/>
          <w:sz w:val="22"/>
          <w:szCs w:val="22"/>
        </w:rPr>
        <w:t xml:space="preserve">《迅》</w:t>
      </w:r>
    </w:p>
    <w:p>
      <w:pPr>
        <w:spacing w:after="60" w:before="60" w:line="300"/>
      </w:pPr>
      <w:r>
        <w:rPr>
          <w:rFonts w:ascii="Arial" w:cs="Arial" w:eastAsia="Arial" w:hAnsi="Arial"/>
          <w:b/>
          <w:bCs/>
          <w:sz w:val="22"/>
          <w:szCs w:val="22"/>
        </w:rPr>
        <w:t xml:space="preserve">One-line positioning: </w:t>
      </w:r>
      <w:r>
        <w:rPr>
          <w:rFonts w:ascii="Arial" w:cs="Arial" w:eastAsia="Arial" w:hAnsi="Arial"/>
          <w:sz w:val="22"/>
          <w:szCs w:val="22"/>
        </w:rPr>
        <w:t xml:space="preserve">An animated short film that translates the literary world of Lu Xun into image, motion, and emotion.</w:t>
      </w:r>
    </w:p>
    <w:p>
      <w:pPr>
        <w:pStyle w:val="Heading3"/>
        <w:spacing w:after="100" w:before="200"/>
      </w:pPr>
      <w:r>
        <w:rPr>
          <w:rFonts w:ascii="Arial" w:cs="Arial" w:eastAsia="Arial" w:hAnsi="Arial"/>
          <w:b/>
          <w:bCs/>
          <w:color w:val="1F4E79"/>
          <w:sz w:val="24"/>
          <w:szCs w:val="24"/>
        </w:rPr>
        <w:t xml:space="preserve">Metadata strip</w:t>
      </w:r>
    </w:p>
    <w:p>
      <w:pPr>
        <w:pStyle w:val="ListParagraph"/>
        <w:numPr>
          <w:ilvl w:val="0"/>
          <w:numId w:val="2"/>
        </w:numPr>
        <w:spacing w:after="60" w:before="60" w:line="300"/>
      </w:pPr>
      <w:r>
        <w:rPr>
          <w:rFonts w:ascii="Arial" w:cs="Arial" w:eastAsia="Arial" w:hAnsi="Arial"/>
          <w:sz w:val="22"/>
          <w:szCs w:val="22"/>
        </w:rPr>
        <w:t xml:space="preserve">Role: Director, Animator, Writer (sole creative lead)</w:t>
      </w:r>
    </w:p>
    <w:p>
      <w:pPr>
        <w:pStyle w:val="ListParagraph"/>
        <w:numPr>
          <w:ilvl w:val="0"/>
          <w:numId w:val="2"/>
        </w:numPr>
        <w:spacing w:after="60" w:before="60" w:line="300"/>
      </w:pPr>
      <w:r>
        <w:rPr>
          <w:rFonts w:ascii="Arial" w:cs="Arial" w:eastAsia="Arial" w:hAnsi="Arial"/>
          <w:sz w:val="22"/>
          <w:szCs w:val="22"/>
        </w:rPr>
        <w:t xml:space="preserve">Year: 2024 · Tsinghua University Academy of Arts &amp; Design · BFA Thesis Film</w:t>
      </w:r>
    </w:p>
    <w:p>
      <w:pPr>
        <w:pStyle w:val="ListParagraph"/>
        <w:numPr>
          <w:ilvl w:val="0"/>
          <w:numId w:val="2"/>
        </w:numPr>
        <w:spacing w:after="60" w:before="60" w:line="300"/>
      </w:pPr>
      <w:r>
        <w:rPr>
          <w:rFonts w:ascii="Arial" w:cs="Arial" w:eastAsia="Arial" w:hAnsi="Arial"/>
          <w:sz w:val="22"/>
          <w:szCs w:val="22"/>
        </w:rPr>
        <w:t xml:space="preserve">Advisor: Associate Professor Chen Lei</w:t>
      </w:r>
    </w:p>
    <w:p>
      <w:pPr>
        <w:pStyle w:val="ListParagraph"/>
        <w:numPr>
          <w:ilvl w:val="0"/>
          <w:numId w:val="2"/>
        </w:numPr>
        <w:spacing w:after="60" w:before="60" w:line="300"/>
      </w:pPr>
      <w:r>
        <w:rPr>
          <w:rFonts w:ascii="Arial" w:cs="Arial" w:eastAsia="Arial" w:hAnsi="Arial"/>
          <w:sz w:val="22"/>
          <w:szCs w:val="22"/>
        </w:rPr>
        <w:t xml:space="preserve">Runtime: [confirm at build time]</w:t>
      </w:r>
    </w:p>
    <w:p>
      <w:pPr>
        <w:pStyle w:val="Heading2"/>
        <w:spacing w:after="140" w:before="280"/>
      </w:pPr>
      <w:r>
        <w:rPr>
          <w:rFonts w:ascii="Arial" w:cs="Arial" w:eastAsia="Arial" w:hAnsi="Arial"/>
          <w:b/>
          <w:bCs/>
          <w:color w:val="1A1A1A"/>
          <w:sz w:val="28"/>
          <w:szCs w:val="28"/>
        </w:rPr>
        <w:t xml:space="preserve">3.2 The film (video, plays first)</w:t>
      </w:r>
    </w:p>
    <w:p>
      <w:pPr>
        <w:pStyle w:val="Heading3"/>
        <w:spacing w:after="100" w:before="200"/>
      </w:pPr>
      <w:r>
        <w:rPr>
          <w:rFonts w:ascii="Arial" w:cs="Arial" w:eastAsia="Arial" w:hAnsi="Arial"/>
          <w:b/>
          <w:bCs/>
          <w:color w:val="1F4E79"/>
          <w:sz w:val="24"/>
          <w:szCs w:val="24"/>
        </w:rPr>
        <w:t xml:space="preserve">Design intent</w:t>
      </w:r>
    </w:p>
    <w:p>
      <w:pPr>
        <w:spacing w:after="80" w:before="80" w:line="320"/>
      </w:pPr>
      <w:r>
        <w:rPr>
          <w:rFonts w:ascii="Arial" w:cs="Arial" w:eastAsia="Arial" w:hAnsi="Arial"/>
          <w:sz w:val="22"/>
          <w:szCs w:val="22"/>
        </w:rPr>
        <w:t xml:space="preserve">Place the trailer immediately after the Hero, before any explanatory text. A film should be watched before it is described. Anything else patronizes the viewer.</w:t>
      </w:r>
    </w:p>
    <w:p>
      <w:pPr>
        <w:pStyle w:val="Heading3"/>
        <w:spacing w:after="100" w:before="200"/>
      </w:pPr>
      <w:r>
        <w:rPr>
          <w:rFonts w:ascii="Arial" w:cs="Arial" w:eastAsia="Arial" w:hAnsi="Arial"/>
          <w:b/>
          <w:bCs/>
          <w:color w:val="1F4E79"/>
          <w:sz w:val="24"/>
          <w:szCs w:val="24"/>
        </w:rPr>
        <w:t xml:space="preserve">Layout</w:t>
      </w:r>
    </w:p>
    <w:p>
      <w:pPr>
        <w:pStyle w:val="ListParagraph"/>
        <w:numPr>
          <w:ilvl w:val="0"/>
          <w:numId w:val="2"/>
        </w:numPr>
        <w:spacing w:after="60" w:before="60" w:line="300"/>
      </w:pPr>
      <w:r>
        <w:rPr>
          <w:rFonts w:ascii="Arial" w:cs="Arial" w:eastAsia="Arial" w:hAnsi="Arial"/>
          <w:sz w:val="22"/>
          <w:szCs w:val="22"/>
        </w:rPr>
        <w:t xml:space="preserve">Full-section-width video container, max-width ~1100px, centered, 16:9</w:t>
      </w:r>
    </w:p>
    <w:p>
      <w:pPr>
        <w:pStyle w:val="ListParagraph"/>
        <w:numPr>
          <w:ilvl w:val="0"/>
          <w:numId w:val="2"/>
        </w:numPr>
        <w:spacing w:after="60" w:before="60" w:line="300"/>
      </w:pPr>
      <w:r>
        <w:rPr>
          <w:rFonts w:ascii="Arial" w:cs="Arial" w:eastAsia="Arial" w:hAnsi="Arial"/>
          <w:sz w:val="22"/>
          <w:szCs w:val="22"/>
        </w:rPr>
        <w:t xml:space="preserve">Above the video: a single line of small text — "Watch the film. Three minutes." (or actual runtime)</w:t>
      </w:r>
    </w:p>
    <w:p>
      <w:pPr>
        <w:pStyle w:val="ListParagraph"/>
        <w:numPr>
          <w:ilvl w:val="0"/>
          <w:numId w:val="2"/>
        </w:numPr>
        <w:spacing w:after="60" w:before="60" w:line="300"/>
      </w:pPr>
      <w:r>
        <w:rPr>
          <w:rFonts w:ascii="Arial" w:cs="Arial" w:eastAsia="Arial" w:hAnsi="Arial"/>
          <w:sz w:val="22"/>
          <w:szCs w:val="22"/>
        </w:rPr>
        <w:t xml:space="preserve">Custom poster frame chosen by the candidate, not Bilibili's default</w:t>
      </w:r>
    </w:p>
    <w:p>
      <w:pPr>
        <w:pStyle w:val="Heading3"/>
        <w:spacing w:after="100" w:before="200"/>
      </w:pPr>
      <w:r>
        <w:rPr>
          <w:rFonts w:ascii="Arial" w:cs="Arial" w:eastAsia="Arial" w:hAnsi="Arial"/>
          <w:b/>
          <w:bCs/>
          <w:color w:val="1F4E79"/>
          <w:sz w:val="24"/>
          <w:szCs w:val="24"/>
        </w:rPr>
        <w:t xml:space="preserve">Embed source</w:t>
      </w:r>
    </w:p>
    <w:p>
      <w:pPr>
        <w:pStyle w:val="ListParagraph"/>
        <w:numPr>
          <w:ilvl w:val="0"/>
          <w:numId w:val="2"/>
        </w:numPr>
        <w:spacing w:after="60" w:before="60" w:line="300"/>
      </w:pPr>
      <w:r>
        <w:rPr>
          <w:rFonts w:ascii="Arial" w:cs="Arial" w:eastAsia="Arial" w:hAnsi="Arial"/>
          <w:sz w:val="22"/>
          <w:szCs w:val="22"/>
        </w:rPr>
        <w:t xml:space="preserve">Bilibili URL: https://www.bilibili.com/video/BV1Tms8eSEPq/</w:t>
      </w:r>
    </w:p>
    <w:p>
      <w:pPr>
        <w:pStyle w:val="ListParagraph"/>
        <w:numPr>
          <w:ilvl w:val="0"/>
          <w:numId w:val="2"/>
        </w:numPr>
        <w:spacing w:after="60" w:before="60" w:line="300"/>
      </w:pPr>
      <w:r>
        <w:rPr>
          <w:rFonts w:ascii="Arial" w:cs="Arial" w:eastAsia="Arial" w:hAnsi="Arial"/>
          <w:sz w:val="22"/>
          <w:szCs w:val="22"/>
        </w:rPr>
        <w:t xml:space="preserve">Use Bilibili's standard embed iframe (//player.bilibili.com/player.html?bvid=BV1Tms8eSEPq)</w:t>
      </w:r>
    </w:p>
    <w:p>
      <w:pPr>
        <w:pStyle w:val="ListParagraph"/>
        <w:numPr>
          <w:ilvl w:val="0"/>
          <w:numId w:val="2"/>
        </w:numPr>
        <w:spacing w:after="60" w:before="60" w:line="300"/>
      </w:pPr>
      <w:r>
        <w:rPr>
          <w:rFonts w:ascii="Arial" w:cs="Arial" w:eastAsia="Arial" w:hAnsi="Arial"/>
          <w:sz w:val="22"/>
          <w:szCs w:val="22"/>
        </w:rPr>
        <w:t xml:space="preserve">Lazy-load with a facade pattern: the iframe is only requested after the visitor clicks the poster, so first paint stays fast and the page does not call Bilibili on every load</w:t>
      </w:r>
    </w:p>
    <w:p>
      <w:pPr>
        <w:pStyle w:val="ListParagraph"/>
        <w:numPr>
          <w:ilvl w:val="0"/>
          <w:numId w:val="2"/>
        </w:numPr>
        <w:spacing w:after="60" w:before="60" w:line="300"/>
      </w:pPr>
      <w:r>
        <w:rPr>
          <w:rFonts w:ascii="Arial" w:cs="Arial" w:eastAsia="Arial" w:hAnsi="Arial"/>
          <w:sz w:val="22"/>
          <w:szCs w:val="22"/>
        </w:rPr>
        <w:t xml:space="preserve">Provide a YouTube mirror as a fallback if available — international visitors (the page's primary audience) sometimes cannot reach Bilibili reliably; a YouTube version eliminates that risk</w:t>
      </w:r>
    </w:p>
    <w:p>
      <w:pPr>
        <w:pStyle w:val="ListParagraph"/>
        <w:numPr>
          <w:ilvl w:val="0"/>
          <w:numId w:val="2"/>
        </w:numPr>
        <w:spacing w:after="60" w:before="60" w:line="300"/>
      </w:pPr>
      <w:r>
        <w:rPr>
          <w:rFonts w:ascii="Arial" w:cs="Arial" w:eastAsia="Arial" w:hAnsi="Arial"/>
          <w:sz w:val="22"/>
          <w:szCs w:val="22"/>
        </w:rPr>
        <w:t xml:space="preserve">On mobile, the player stays inline and 16:9; do not force fullscreen</w:t>
      </w:r>
    </w:p>
    <w:p>
      <w:pPr>
        <w:pStyle w:val="Heading3"/>
        <w:spacing w:after="100" w:before="200"/>
      </w:pPr>
      <w:r>
        <w:rPr>
          <w:rFonts w:ascii="Arial" w:cs="Arial" w:eastAsia="Arial" w:hAnsi="Arial"/>
          <w:b/>
          <w:bCs/>
          <w:color w:val="1F4E79"/>
          <w:sz w:val="24"/>
          <w:szCs w:val="24"/>
        </w:rPr>
        <w:t xml:space="preserve">Build note on Bilibili reachability</w:t>
      </w:r>
    </w:p>
    <w:p>
      <w:pPr>
        <w:pBdr>
          <w:left w:val="single" w:color="1F4E79" w:sz="18" w:space="8"/>
        </w:pBdr>
        <w:shd w:fill="EAF1F8" w:val="clear"/>
        <w:spacing w:after="100" w:before="100" w:line="300"/>
        <w:ind w:left="200" w:right="200"/>
      </w:pPr>
      <w:r>
        <w:rPr>
          <w:rFonts w:ascii="Arial" w:cs="Arial" w:eastAsia="Arial" w:hAnsi="Arial"/>
          <w:i/>
          <w:iCs/>
          <w:color w:val="3A3A3A"/>
          <w:sz w:val="21"/>
          <w:szCs w:val="21"/>
        </w:rPr>
        <w:t xml:space="preserve">Bilibili is the canonical home for the film inside China but is intermittently slow or blocked from many Western networks. Since the page's audience is primarily international Health Tech recruiters, we should either (a) host a self-hosted MP4 mirror as the primary embed and link out to Bilibili as the canonical version, or (b) maintain a YouTube mirror. Recommend option (a) for fastest first-paint and full control over the playback chrome.</w:t>
      </w:r>
    </w:p>
    <w:p>
      <w:pPr>
        <w:pStyle w:val="Heading2"/>
        <w:spacing w:after="140" w:before="280"/>
      </w:pPr>
      <w:r>
        <w:rPr>
          <w:rFonts w:ascii="Arial" w:cs="Arial" w:eastAsia="Arial" w:hAnsi="Arial"/>
          <w:b/>
          <w:bCs/>
          <w:color w:val="1A1A1A"/>
          <w:sz w:val="28"/>
          <w:szCs w:val="28"/>
        </w:rPr>
        <w:t xml:space="preserve">3.3 The challenge (why this subject was hard)</w:t>
      </w:r>
    </w:p>
    <w:p>
      <w:pPr>
        <w:pStyle w:val="Heading3"/>
        <w:spacing w:after="100" w:before="200"/>
      </w:pPr>
      <w:r>
        <w:rPr>
          <w:rFonts w:ascii="Arial" w:cs="Arial" w:eastAsia="Arial" w:hAnsi="Arial"/>
          <w:b/>
          <w:bCs/>
          <w:color w:val="1F4E79"/>
          <w:sz w:val="24"/>
          <w:szCs w:val="24"/>
        </w:rPr>
        <w:t xml:space="preserve">Design intent</w:t>
      </w:r>
    </w:p>
    <w:p>
      <w:pPr>
        <w:spacing w:after="80" w:before="80" w:line="320"/>
      </w:pPr>
      <w:r>
        <w:rPr>
          <w:rFonts w:ascii="Arial" w:cs="Arial" w:eastAsia="Arial" w:hAnsi="Arial"/>
          <w:sz w:val="22"/>
          <w:szCs w:val="22"/>
        </w:rPr>
        <w:t xml:space="preserve">Before the visitor reads about how the film works, they need a single paragraph that establishes why the problem the film addresses is a real problem. This paragraph also doubles as cultural context for international viewers who may not know Lu Xun.</w:t>
      </w:r>
    </w:p>
    <w:p>
      <w:pPr>
        <w:pStyle w:val="Heading3"/>
        <w:spacing w:after="100" w:before="200"/>
      </w:pPr>
      <w:r>
        <w:rPr>
          <w:rFonts w:ascii="Arial" w:cs="Arial" w:eastAsia="Arial" w:hAnsi="Arial"/>
          <w:b/>
          <w:bCs/>
          <w:color w:val="1F4E79"/>
          <w:sz w:val="24"/>
          <w:szCs w:val="24"/>
        </w:rPr>
        <w:t xml:space="preserve">Suggested copy</w:t>
      </w:r>
    </w:p>
    <w:p>
      <w:pPr>
        <w:pBdr>
          <w:left w:val="single" w:color="1F4E79" w:sz="18" w:space="8"/>
        </w:pBdr>
        <w:shd w:fill="EAF1F8" w:val="clear"/>
        <w:spacing w:after="100" w:before="100" w:line="300"/>
        <w:ind w:left="200" w:right="200"/>
      </w:pPr>
      <w:r>
        <w:rPr>
          <w:rFonts w:ascii="Arial" w:cs="Arial" w:eastAsia="Arial" w:hAnsi="Arial"/>
          <w:i/>
          <w:iCs/>
          <w:color w:val="3A3A3A"/>
          <w:sz w:val="21"/>
          <w:szCs w:val="21"/>
        </w:rPr>
        <w:t xml:space="preserve">Lu Xun (1881–1936) is one of the most consequential writers in modern Chinese literature — a critic, satirist, and reformer whose work shaped how generations of Chinese readers think about their own society. He is also, paradoxically, a writer most younger Chinese readers have come to avoid: required in textbooks, weighed down by exams, frozen in the public imagination as a stern figure with a sharp pen. His full range — the affection, the absurdity, the appetite for sweets, the stubborn humor — rarely survives the translation into the classroom. Decades of visual adaptations have not helped: most reach for the same heavy palette, the same realist register, the same selection of his darkest stories. The result is a writer the public respects and rarely reads. Xun was made to test a different hypothesis: that bright color, dream-logic, and image-driven storytelling could give a contemporary audience a way back into a body of work they have learned to keep at arm's length.</w:t>
      </w:r>
    </w:p>
    <w:p>
      <w:pPr>
        <w:pStyle w:val="Heading3"/>
        <w:spacing w:after="100" w:before="200"/>
      </w:pPr>
      <w:r>
        <w:rPr>
          <w:rFonts w:ascii="Arial" w:cs="Arial" w:eastAsia="Arial" w:hAnsi="Arial"/>
          <w:b/>
          <w:bCs/>
          <w:color w:val="1F4E79"/>
          <w:sz w:val="24"/>
          <w:szCs w:val="24"/>
        </w:rPr>
        <w:t xml:space="preserve">Visual treatment</w:t>
      </w:r>
    </w:p>
    <w:p>
      <w:pPr>
        <w:pStyle w:val="ListParagraph"/>
        <w:numPr>
          <w:ilvl w:val="0"/>
          <w:numId w:val="2"/>
        </w:numPr>
        <w:spacing w:after="60" w:before="60" w:line="300"/>
      </w:pPr>
      <w:r>
        <w:rPr>
          <w:rFonts w:ascii="Arial" w:cs="Arial" w:eastAsia="Arial" w:hAnsi="Arial"/>
          <w:sz w:val="22"/>
          <w:szCs w:val="22"/>
        </w:rPr>
        <w:t xml:space="preserve">Single narrow-column block, max-width ~680px, left-aligned</w:t>
      </w:r>
    </w:p>
    <w:p>
      <w:pPr>
        <w:pStyle w:val="ListParagraph"/>
        <w:numPr>
          <w:ilvl w:val="0"/>
          <w:numId w:val="2"/>
        </w:numPr>
        <w:spacing w:after="60" w:before="60" w:line="300"/>
      </w:pPr>
      <w:r>
        <w:rPr>
          <w:rFonts w:ascii="Arial" w:cs="Arial" w:eastAsia="Arial" w:hAnsi="Arial"/>
          <w:sz w:val="22"/>
          <w:szCs w:val="22"/>
        </w:rPr>
        <w:t xml:space="preserve">One small in-line ornament between paragraphs in vermillion — the only warm accent in this section</w:t>
      </w:r>
    </w:p>
    <w:p>
      <w:pPr>
        <w:pStyle w:val="Heading2"/>
        <w:spacing w:after="140" w:before="280"/>
      </w:pPr>
      <w:r>
        <w:rPr>
          <w:rFonts w:ascii="Arial" w:cs="Arial" w:eastAsia="Arial" w:hAnsi="Arial"/>
          <w:b/>
          <w:bCs/>
          <w:color w:val="1A1A1A"/>
          <w:sz w:val="28"/>
          <w:szCs w:val="28"/>
        </w:rPr>
        <w:t xml:space="preserve">3.4 The method</w:t>
      </w:r>
    </w:p>
    <w:p>
      <w:pPr>
        <w:pStyle w:val="Heading3"/>
        <w:spacing w:after="100" w:before="200"/>
      </w:pPr>
      <w:r>
        <w:rPr>
          <w:rFonts w:ascii="Arial" w:cs="Arial" w:eastAsia="Arial" w:hAnsi="Arial"/>
          <w:b/>
          <w:bCs/>
          <w:color w:val="1F4E79"/>
          <w:sz w:val="24"/>
          <w:szCs w:val="24"/>
        </w:rPr>
        <w:t xml:space="preserve">Design intent</w:t>
      </w:r>
    </w:p>
    <w:p>
      <w:pPr>
        <w:spacing w:after="80" w:before="80" w:line="320"/>
      </w:pPr>
      <w:r>
        <w:rPr>
          <w:rFonts w:ascii="Arial" w:cs="Arial" w:eastAsia="Arial" w:hAnsi="Arial"/>
          <w:sz w:val="22"/>
          <w:szCs w:val="22"/>
        </w:rPr>
        <w:t xml:space="preserve">Three short sub-sections, each one a specific design move. Together they form the candidate's working method — transferable to any project that has to translate text or concept into image.</w:t>
      </w:r>
    </w:p>
    <w:p>
      <w:pPr>
        <w:pStyle w:val="Heading3"/>
        <w:spacing w:after="100" w:before="200"/>
      </w:pPr>
      <w:r>
        <w:rPr>
          <w:rFonts w:ascii="Arial" w:cs="Arial" w:eastAsia="Arial" w:hAnsi="Arial"/>
          <w:b/>
          <w:bCs/>
          <w:color w:val="1F4E79"/>
          <w:sz w:val="24"/>
          <w:szCs w:val="24"/>
        </w:rPr>
        <w:t xml:space="preserve">3.4.1 Image-logic over text-logic</w:t>
      </w:r>
    </w:p>
    <w:p>
      <w:pPr>
        <w:pBdr>
          <w:left w:val="single" w:color="1F4E79" w:sz="18" w:space="8"/>
        </w:pBdr>
        <w:shd w:fill="EAF1F8" w:val="clear"/>
        <w:spacing w:after="100" w:before="100" w:line="300"/>
        <w:ind w:left="200" w:right="200"/>
      </w:pPr>
      <w:r>
        <w:rPr>
          <w:rFonts w:ascii="Arial" w:cs="Arial" w:eastAsia="Arial" w:hAnsi="Arial"/>
          <w:i/>
          <w:iCs/>
          <w:color w:val="3A3A3A"/>
          <w:sz w:val="21"/>
          <w:szCs w:val="21"/>
        </w:rPr>
        <w:t xml:space="preserve">Most adaptations of literary work are organized by the original's plot. Xun is not. The film is organized by the visual and emotional through-line of Lu Xun's own writing — the recurring images of fragmented light, sudden cold, falling, biting, opening doors — not by the chronology of his life or the order of his books. A scene transitions to the next not because the next event happened, but because an emotion or a movement carries the eye there. This is the working principle Patrick Wells calls "subjective relevance" in his essay on classic literature and animation: build the adaptation around the viewer's felt connection to the work, not around the source's structural skeleton.</w:t>
      </w:r>
    </w:p>
    <w:p>
      <w:pPr>
        <w:pStyle w:val="Heading3"/>
        <w:spacing w:after="100" w:before="200"/>
      </w:pPr>
      <w:r>
        <w:rPr>
          <w:rFonts w:ascii="Arial" w:cs="Arial" w:eastAsia="Arial" w:hAnsi="Arial"/>
          <w:b/>
          <w:bCs/>
          <w:color w:val="1F4E79"/>
          <w:sz w:val="24"/>
          <w:szCs w:val="24"/>
        </w:rPr>
        <w:t xml:space="preserve">3.4.2 Non-linear time as a design choice, not a difficulty</w:t>
      </w:r>
    </w:p>
    <w:p>
      <w:pPr>
        <w:pBdr>
          <w:left w:val="single" w:color="1F4E79" w:sz="18" w:space="8"/>
        </w:pBdr>
        <w:shd w:fill="EAF1F8" w:val="clear"/>
        <w:spacing w:after="100" w:before="100" w:line="300"/>
        <w:ind w:left="200" w:right="200"/>
      </w:pPr>
      <w:r>
        <w:rPr>
          <w:rFonts w:ascii="Arial" w:cs="Arial" w:eastAsia="Arial" w:hAnsi="Arial"/>
          <w:i/>
          <w:iCs/>
          <w:color w:val="3A3A3A"/>
          <w:sz w:val="21"/>
          <w:szCs w:val="21"/>
        </w:rPr>
        <w:t xml:space="preserve">The film runs without timestamps and without captions naming which story is being shown. The young Lu Xun fights a pig under a tamarind tree; a hairpin becomes a row of teeth; a stack of pastries collapses into the famous human-blood mantou; a book eats a child and becomes an iron house. Audiences who know Lu Xun's work recognize the references; audiences who do not still feel the structure. This is the design bet: that the felt logic of one writer's whole imagination can be conveyed without the prose.</w:t>
      </w:r>
    </w:p>
    <w:p>
      <w:pPr>
        <w:pStyle w:val="Heading3"/>
        <w:spacing w:after="100" w:before="200"/>
      </w:pPr>
      <w:r>
        <w:rPr>
          <w:rFonts w:ascii="Arial" w:cs="Arial" w:eastAsia="Arial" w:hAnsi="Arial"/>
          <w:b/>
          <w:bCs/>
          <w:color w:val="1F4E79"/>
          <w:sz w:val="24"/>
          <w:szCs w:val="24"/>
        </w:rPr>
        <w:t xml:space="preserve">3.4.3 Color and grain as emotional infrastructure</w:t>
      </w:r>
    </w:p>
    <w:p>
      <w:pPr>
        <w:pBdr>
          <w:left w:val="single" w:color="1F4E79" w:sz="18" w:space="8"/>
        </w:pBdr>
        <w:shd w:fill="EAF1F8" w:val="clear"/>
        <w:spacing w:after="100" w:before="100" w:line="300"/>
        <w:ind w:left="200" w:right="200"/>
      </w:pPr>
      <w:r>
        <w:rPr>
          <w:rFonts w:ascii="Arial" w:cs="Arial" w:eastAsia="Arial" w:hAnsi="Arial"/>
          <w:i/>
          <w:iCs/>
          <w:color w:val="3A3A3A"/>
          <w:sz w:val="21"/>
          <w:szCs w:val="21"/>
        </w:rPr>
        <w:t xml:space="preserve">Xun deliberately breaks with the grayscale convention of Lu Xun adaptations. Saturated reds, warm yellows, deep blues, and a printed-paper grain make the film feel like a vintage comic book — a register that signals affection, play, and seriousness simultaneously. The choice is not decorative: it is an argument that Lu Xun's writing itself contains all of these tones, and that previous adaptations have under-served his range.</w:t>
      </w:r>
    </w:p>
    <w:p>
      <w:pPr>
        <w:pStyle w:val="Heading2"/>
        <w:spacing w:after="140" w:before="280"/>
      </w:pPr>
      <w:r>
        <w:rPr>
          <w:rFonts w:ascii="Arial" w:cs="Arial" w:eastAsia="Arial" w:hAnsi="Arial"/>
          <w:b/>
          <w:bCs/>
          <w:color w:val="1A1A1A"/>
          <w:sz w:val="28"/>
          <w:szCs w:val="28"/>
        </w:rPr>
        <w:t xml:space="preserve">3.5 The evidence (four shots, fully decoded)</w:t>
      </w:r>
    </w:p>
    <w:p>
      <w:pPr>
        <w:pStyle w:val="Heading3"/>
        <w:spacing w:after="100" w:before="200"/>
      </w:pPr>
      <w:r>
        <w:rPr>
          <w:rFonts w:ascii="Arial" w:cs="Arial" w:eastAsia="Arial" w:hAnsi="Arial"/>
          <w:b/>
          <w:bCs/>
          <w:color w:val="1F4E79"/>
          <w:sz w:val="24"/>
          <w:szCs w:val="24"/>
        </w:rPr>
        <w:t xml:space="preserve">Design intent</w:t>
      </w:r>
    </w:p>
    <w:p>
      <w:pPr>
        <w:spacing w:after="80" w:before="80" w:line="320"/>
      </w:pPr>
      <w:r>
        <w:rPr>
          <w:rFonts w:ascii="Arial" w:cs="Arial" w:eastAsia="Arial" w:hAnsi="Arial"/>
          <w:sz w:val="22"/>
          <w:szCs w:val="22"/>
        </w:rPr>
        <w:t xml:space="preserve">This is the section that does the heaviest work for a Health Tech reader. Four shots, each presented in a three-part structure: source text → design move → reason. The reader sees frame-level rigor — not just "I made a film," but "every choice I made can be sourced and defended." The same rigor is what Health Tech needs from anyone designing patient-facing content.</w:t>
      </w:r>
    </w:p>
    <w:p>
      <w:pPr>
        <w:pStyle w:val="Heading3"/>
        <w:spacing w:after="100" w:before="200"/>
      </w:pPr>
      <w:r>
        <w:rPr>
          <w:rFonts w:ascii="Arial" w:cs="Arial" w:eastAsia="Arial" w:hAnsi="Arial"/>
          <w:b/>
          <w:bCs/>
          <w:color w:val="1F4E79"/>
          <w:sz w:val="24"/>
          <w:szCs w:val="24"/>
        </w:rPr>
        <w:t xml:space="preserve">Layout per shot-case</w:t>
      </w:r>
    </w:p>
    <w:p>
      <w:pPr>
        <w:pStyle w:val="ListParagraph"/>
        <w:numPr>
          <w:ilvl w:val="0"/>
          <w:numId w:val="2"/>
        </w:numPr>
        <w:spacing w:after="60" w:before="60" w:line="300"/>
      </w:pPr>
      <w:r>
        <w:rPr>
          <w:rFonts w:ascii="Arial" w:cs="Arial" w:eastAsia="Arial" w:hAnsi="Arial"/>
          <w:sz w:val="22"/>
          <w:szCs w:val="22"/>
        </w:rPr>
        <w:t xml:space="preserve">Shot number badge in vermillion at the top ("Shot 02", "Shots 07–11", etc.)</w:t>
      </w:r>
    </w:p>
    <w:p>
      <w:pPr>
        <w:pStyle w:val="ListParagraph"/>
        <w:numPr>
          <w:ilvl w:val="0"/>
          <w:numId w:val="2"/>
        </w:numPr>
        <w:spacing w:after="60" w:before="60" w:line="300"/>
      </w:pPr>
      <w:r>
        <w:rPr>
          <w:rFonts w:ascii="Arial" w:cs="Arial" w:eastAsia="Arial" w:hAnsi="Arial"/>
          <w:sz w:val="22"/>
          <w:szCs w:val="22"/>
        </w:rPr>
        <w:t xml:space="preserve">One short title in serif (e.g. "The Pastry Shop of Dao Xiang Cun")</w:t>
      </w:r>
    </w:p>
    <w:p>
      <w:pPr>
        <w:pStyle w:val="ListParagraph"/>
        <w:numPr>
          <w:ilvl w:val="0"/>
          <w:numId w:val="2"/>
        </w:numPr>
        <w:spacing w:after="60" w:before="60" w:line="300"/>
      </w:pPr>
      <w:r>
        <w:rPr>
          <w:rFonts w:ascii="Arial" w:cs="Arial" w:eastAsia="Arial" w:hAnsi="Arial"/>
          <w:sz w:val="22"/>
          <w:szCs w:val="22"/>
        </w:rPr>
        <w:t xml:space="preserve">Large still or short looping clip from the film — occupying the upper half of the case</w:t>
      </w:r>
    </w:p>
    <w:p>
      <w:pPr>
        <w:pStyle w:val="ListParagraph"/>
        <w:numPr>
          <w:ilvl w:val="0"/>
          <w:numId w:val="2"/>
        </w:numPr>
        <w:spacing w:after="60" w:before="60" w:line="300"/>
      </w:pPr>
      <w:r>
        <w:rPr>
          <w:rFonts w:ascii="Arial" w:cs="Arial" w:eastAsia="Arial" w:hAnsi="Arial"/>
          <w:sz w:val="22"/>
          <w:szCs w:val="22"/>
        </w:rPr>
        <w:t xml:space="preserve">Three labeled blocks below the image: SOURCE TEXT (Lu Xun original or biographical record), DESIGN MOVE (what the shot does), and REASON (why this move was chosen)</w:t>
      </w:r>
    </w:p>
    <w:p>
      <w:pPr>
        <w:pStyle w:val="ListParagraph"/>
        <w:numPr>
          <w:ilvl w:val="0"/>
          <w:numId w:val="2"/>
        </w:numPr>
        <w:spacing w:after="60" w:before="60" w:line="300"/>
      </w:pPr>
      <w:r>
        <w:rPr>
          <w:rFonts w:ascii="Arial" w:cs="Arial" w:eastAsia="Arial" w:hAnsi="Arial"/>
          <w:sz w:val="22"/>
          <w:szCs w:val="22"/>
        </w:rPr>
        <w:t xml:space="preserve">Each shot-case sits on the warm paper-tone background; cases are separated by generous whitespace</w:t>
      </w:r>
    </w:p>
    <w:p>
      <w:pPr>
        <w:pStyle w:val="Heading3"/>
        <w:spacing w:after="100" w:before="200"/>
      </w:pPr>
      <w:r>
        <w:rPr>
          <w:rFonts w:ascii="Arial" w:cs="Arial" w:eastAsia="Arial" w:hAnsi="Arial"/>
          <w:b/>
          <w:bCs/>
          <w:color w:val="1F4E79"/>
          <w:sz w:val="24"/>
          <w:szCs w:val="24"/>
        </w:rPr>
        <w:t xml:space="preserve">Case 1 — Shots 02–03: The Pastry Shop</w:t>
      </w:r>
    </w:p>
    <w:p>
      <w:pPr>
        <w:spacing w:after="80" w:before="80" w:line="320"/>
      </w:pPr>
      <w:r>
        <w:rPr>
          <w:rFonts w:ascii="Arial" w:cs="Arial" w:eastAsia="Arial" w:hAnsi="Arial"/>
          <w:sz w:val="22"/>
          <w:szCs w:val="22"/>
        </w:rPr>
        <w:t xml:space="preserve">Suggested copy:</w:t>
      </w:r>
    </w:p>
    <w:p>
      <w:pPr>
        <w:spacing w:after="60" w:before="60" w:line="300"/>
      </w:pPr>
      <w:r>
        <w:rPr>
          <w:rFonts w:ascii="Arial" w:cs="Arial" w:eastAsia="Arial" w:hAnsi="Arial"/>
          <w:b/>
          <w:bCs/>
          <w:sz w:val="22"/>
          <w:szCs w:val="22"/>
        </w:rPr>
        <w:t xml:space="preserve">SOURCE TEXT: </w:t>
      </w:r>
      <w:r>
        <w:rPr>
          <w:rFonts w:ascii="Arial" w:cs="Arial" w:eastAsia="Arial" w:hAnsi="Arial"/>
          <w:sz w:val="22"/>
          <w:szCs w:val="22"/>
        </w:rPr>
        <w:t xml:space="preserve">Lu Xun's diaries from 1913–1915 record fifteen separate visits to Dao Xiang Cun, the first "Southern-style pastry shop" in Beijing. The stickier truth: the man known to the public for sharp political prose was, privately, a documented sweets enthusiast.</w:t>
      </w:r>
    </w:p>
    <w:p>
      <w:pPr>
        <w:spacing w:after="60" w:before="60" w:line="300"/>
      </w:pPr>
      <w:r>
        <w:rPr>
          <w:rFonts w:ascii="Arial" w:cs="Arial" w:eastAsia="Arial" w:hAnsi="Arial"/>
          <w:b/>
          <w:bCs/>
          <w:sz w:val="22"/>
          <w:szCs w:val="22"/>
        </w:rPr>
        <w:t xml:space="preserve">DESIGN MOVE: </w:t>
      </w:r>
      <w:r>
        <w:rPr>
          <w:rFonts w:ascii="Arial" w:cs="Arial" w:eastAsia="Arial" w:hAnsi="Arial"/>
          <w:sz w:val="22"/>
          <w:szCs w:val="22"/>
        </w:rPr>
        <w:t xml:space="preserve">After Lu Xun trips and a tooth flies free, the screen floods with pastries — yang-geng, lotus-seed porridge, sticky rice in white sugar, persimmon-frost cakes, lun-jiao gao, and a few generic moon cakes added for visual rhythm. Most of the named pastries appear in the actual diaries.</w:t>
      </w:r>
    </w:p>
    <w:p>
      <w:pPr>
        <w:spacing w:after="60" w:before="60" w:line="300"/>
      </w:pPr>
      <w:r>
        <w:rPr>
          <w:rFonts w:ascii="Arial" w:cs="Arial" w:eastAsia="Arial" w:hAnsi="Arial"/>
          <w:b/>
          <w:bCs/>
          <w:sz w:val="22"/>
          <w:szCs w:val="22"/>
        </w:rPr>
        <w:t xml:space="preserve">REASON: </w:t>
      </w:r>
      <w:r>
        <w:rPr>
          <w:rFonts w:ascii="Arial" w:cs="Arial" w:eastAsia="Arial" w:hAnsi="Arial"/>
          <w:sz w:val="22"/>
          <w:szCs w:val="22"/>
        </w:rPr>
        <w:t xml:space="preserve">The shot operates as a single visual joke that does serious work: it argues, in three seconds, that the figure the audience thinks they know is incomplete. It does this without a line of dialogue. For Health Tech: the same move — a single delightful visual that re-frames a person the audience thought they had pegged — is exactly what patient-facing content needs when fighting stigma.</w:t>
      </w:r>
    </w:p>
    <w:p>
      <w:pPr>
        <w:pStyle w:val="Heading3"/>
        <w:spacing w:after="100" w:before="200"/>
      </w:pPr>
      <w:r>
        <w:rPr>
          <w:rFonts w:ascii="Arial" w:cs="Arial" w:eastAsia="Arial" w:hAnsi="Arial"/>
          <w:b/>
          <w:bCs/>
          <w:color w:val="1F4E79"/>
          <w:sz w:val="24"/>
          <w:szCs w:val="24"/>
        </w:rPr>
        <w:t xml:space="preserve">Case 2 — Shots 07–11: The Twenty-Four Filial Exemplars</w:t>
      </w:r>
    </w:p>
    <w:p>
      <w:pPr>
        <w:spacing w:after="80" w:before="80" w:line="320"/>
      </w:pPr>
      <w:r>
        <w:rPr>
          <w:rFonts w:ascii="Arial" w:cs="Arial" w:eastAsia="Arial" w:hAnsi="Arial"/>
          <w:sz w:val="22"/>
          <w:szCs w:val="22"/>
        </w:rPr>
        <w:t xml:space="preserve">Suggested copy:</w:t>
      </w:r>
    </w:p>
    <w:p>
      <w:pPr>
        <w:spacing w:after="60" w:before="60" w:line="300"/>
      </w:pPr>
      <w:r>
        <w:rPr>
          <w:rFonts w:ascii="Arial" w:cs="Arial" w:eastAsia="Arial" w:hAnsi="Arial"/>
          <w:b/>
          <w:bCs/>
          <w:sz w:val="22"/>
          <w:szCs w:val="22"/>
        </w:rPr>
        <w:t xml:space="preserve">SOURCE TEXT: </w:t>
      </w:r>
      <w:r>
        <w:rPr>
          <w:rFonts w:ascii="Arial" w:cs="Arial" w:eastAsia="Arial" w:hAnsi="Arial"/>
          <w:sz w:val="22"/>
          <w:szCs w:val="22"/>
        </w:rPr>
        <w:t xml:space="preserve">Lu Xun's essay The Twenty-Four Filial Exemplars critiques three classical "filial piety" tales: an old man dressing as a child to amuse his parents, a son lying on a frozen river to thaw it for his mother, and a father preparing to bury his own infant alive to save resources for his elder relative. Lu Xun grew increasingly bitter about each.</w:t>
      </w:r>
    </w:p>
    <w:p>
      <w:pPr>
        <w:spacing w:after="60" w:before="60" w:line="300"/>
      </w:pPr>
      <w:r>
        <w:rPr>
          <w:rFonts w:ascii="Arial" w:cs="Arial" w:eastAsia="Arial" w:hAnsi="Arial"/>
          <w:b/>
          <w:bCs/>
          <w:sz w:val="22"/>
          <w:szCs w:val="22"/>
        </w:rPr>
        <w:t xml:space="preserve">DESIGN MOVE: </w:t>
      </w:r>
      <w:r>
        <w:rPr>
          <w:rFonts w:ascii="Arial" w:cs="Arial" w:eastAsia="Arial" w:hAnsi="Arial"/>
          <w:sz w:val="22"/>
          <w:szCs w:val="22"/>
        </w:rPr>
        <w:t xml:space="preserve">Lu Xun himself enters the book and meets each scene. The conflict escalates per page: the first scene is merely awkward; in the second, the freezing man Lu Xun tries to help knocks him out of the page; in the third, a couple casually tries to bury Lu Xun and the baby together. He flees with the child.</w:t>
      </w:r>
    </w:p>
    <w:p>
      <w:pPr>
        <w:spacing w:after="60" w:before="60" w:line="300"/>
      </w:pPr>
      <w:r>
        <w:rPr>
          <w:rFonts w:ascii="Arial" w:cs="Arial" w:eastAsia="Arial" w:hAnsi="Arial"/>
          <w:b/>
          <w:bCs/>
          <w:sz w:val="22"/>
          <w:szCs w:val="22"/>
        </w:rPr>
        <w:t xml:space="preserve">REASON: </w:t>
      </w:r>
      <w:r>
        <w:rPr>
          <w:rFonts w:ascii="Arial" w:cs="Arial" w:eastAsia="Arial" w:hAnsi="Arial"/>
          <w:sz w:val="22"/>
          <w:szCs w:val="22"/>
        </w:rPr>
        <w:t xml:space="preserve">The film does not tell the viewer that Lu Xun's critique sharpens across the three tales — it makes the viewer feel the sharpening, by escalating the on-screen conflict in lockstep with the original essay's rising contempt. Image-logic carrying argumentative logic. For Health Tech: the same principle is how you turn a clinical guideline ("these three behaviors progressively worsen outcomes") into something a patient viscerally understands rather than nods through.</w:t>
      </w:r>
    </w:p>
    <w:p>
      <w:pPr>
        <w:pStyle w:val="Heading3"/>
        <w:spacing w:after="100" w:before="200"/>
      </w:pPr>
      <w:r>
        <w:rPr>
          <w:rFonts w:ascii="Arial" w:cs="Arial" w:eastAsia="Arial" w:hAnsi="Arial"/>
          <w:b/>
          <w:bCs/>
          <w:color w:val="1F4E79"/>
          <w:sz w:val="24"/>
          <w:szCs w:val="24"/>
        </w:rPr>
        <w:t xml:space="preserve">Case 3 — Shots 16–17: The Iron House</w:t>
      </w:r>
    </w:p>
    <w:p>
      <w:pPr>
        <w:spacing w:after="80" w:before="80" w:line="320"/>
      </w:pPr>
      <w:r>
        <w:rPr>
          <w:rFonts w:ascii="Arial" w:cs="Arial" w:eastAsia="Arial" w:hAnsi="Arial"/>
          <w:sz w:val="22"/>
          <w:szCs w:val="22"/>
        </w:rPr>
        <w:t xml:space="preserve">Suggested copy:</w:t>
      </w:r>
    </w:p>
    <w:p>
      <w:pPr>
        <w:spacing w:after="60" w:before="60" w:line="300"/>
      </w:pPr>
      <w:r>
        <w:rPr>
          <w:rFonts w:ascii="Arial" w:cs="Arial" w:eastAsia="Arial" w:hAnsi="Arial"/>
          <w:b/>
          <w:bCs/>
          <w:sz w:val="22"/>
          <w:szCs w:val="22"/>
        </w:rPr>
        <w:t xml:space="preserve">SOURCE TEXT: </w:t>
      </w:r>
      <w:r>
        <w:rPr>
          <w:rFonts w:ascii="Arial" w:cs="Arial" w:eastAsia="Arial" w:hAnsi="Arial"/>
          <w:sz w:val="22"/>
          <w:szCs w:val="22"/>
        </w:rPr>
        <w:t xml:space="preserve">Three of Lu Xun's most famous images, drawn from different works: the cry of “eat people” from A Madman's Diary; the closing plea “save the children” from the same; and the iron-house metaphor from the preface to Call to Arms — a sealed iron room full of sleeping people who will suffocate; should one shout to wake them, knowing they cannot escape?</w:t>
      </w:r>
    </w:p>
    <w:p>
      <w:pPr>
        <w:spacing w:after="60" w:before="60" w:line="300"/>
      </w:pPr>
      <w:r>
        <w:rPr>
          <w:rFonts w:ascii="Arial" w:cs="Arial" w:eastAsia="Arial" w:hAnsi="Arial"/>
          <w:b/>
          <w:bCs/>
          <w:sz w:val="22"/>
          <w:szCs w:val="22"/>
        </w:rPr>
        <w:t xml:space="preserve">DESIGN MOVE: </w:t>
      </w:r>
      <w:r>
        <w:rPr>
          <w:rFonts w:ascii="Arial" w:cs="Arial" w:eastAsia="Arial" w:hAnsi="Arial"/>
          <w:sz w:val="22"/>
          <w:szCs w:val="22"/>
        </w:rPr>
        <w:t xml:space="preserve">Lu Xun, fleeing, looks down to find the child gone. He turns to see the giant book in front of him eat the child. The page bleeds red and contracts into a long red form, then folds itself into a cube, which is then bound with iron strips into a sealed iron house.</w:t>
      </w:r>
    </w:p>
    <w:p>
      <w:pPr>
        <w:spacing w:after="60" w:before="60" w:line="300"/>
      </w:pPr>
      <w:r>
        <w:rPr>
          <w:rFonts w:ascii="Arial" w:cs="Arial" w:eastAsia="Arial" w:hAnsi="Arial"/>
          <w:b/>
          <w:bCs/>
          <w:sz w:val="22"/>
          <w:szCs w:val="22"/>
        </w:rPr>
        <w:t xml:space="preserve">REASON: </w:t>
      </w:r>
      <w:r>
        <w:rPr>
          <w:rFonts w:ascii="Arial" w:cs="Arial" w:eastAsia="Arial" w:hAnsi="Arial"/>
          <w:sz w:val="22"/>
          <w:szCs w:val="22"/>
        </w:rPr>
        <w:t xml:space="preserve">Three textual images from three different sources are sequenced into a single continuous visual transformation — the most ambitious twelve seconds in the film. The shot proves something specific: that multiple separate textual ideas can be braided into one image-sequence without losing any of them. For Health Tech: this is the move that turns a multi-factor health concept (genetics + environment + behavior) into one coherent visual story instead of three disconnected explainers.</w:t>
      </w:r>
    </w:p>
    <w:p>
      <w:pPr>
        <w:pStyle w:val="Heading3"/>
        <w:spacing w:after="100" w:before="200"/>
      </w:pPr>
      <w:r>
        <w:rPr>
          <w:rFonts w:ascii="Arial" w:cs="Arial" w:eastAsia="Arial" w:hAnsi="Arial"/>
          <w:b/>
          <w:bCs/>
          <w:color w:val="1F4E79"/>
          <w:sz w:val="24"/>
          <w:szCs w:val="24"/>
        </w:rPr>
        <w:t xml:space="preserve">Case 4 — Shots 34–37: The Tear and the Bud</w:t>
      </w:r>
    </w:p>
    <w:p>
      <w:pPr>
        <w:spacing w:after="80" w:before="80" w:line="320"/>
      </w:pPr>
      <w:r>
        <w:rPr>
          <w:rFonts w:ascii="Arial" w:cs="Arial" w:eastAsia="Arial" w:hAnsi="Arial"/>
          <w:sz w:val="22"/>
          <w:szCs w:val="22"/>
        </w:rPr>
        <w:t xml:space="preserve">Suggested copy:</w:t>
      </w:r>
    </w:p>
    <w:p>
      <w:pPr>
        <w:spacing w:after="60" w:before="60" w:line="300"/>
      </w:pPr>
      <w:r>
        <w:rPr>
          <w:rFonts w:ascii="Arial" w:cs="Arial" w:eastAsia="Arial" w:hAnsi="Arial"/>
          <w:b/>
          <w:bCs/>
          <w:sz w:val="22"/>
          <w:szCs w:val="22"/>
        </w:rPr>
        <w:t xml:space="preserve">SOURCE TEXT: </w:t>
      </w:r>
      <w:r>
        <w:rPr>
          <w:rFonts w:ascii="Arial" w:cs="Arial" w:eastAsia="Arial" w:hAnsi="Arial"/>
          <w:sz w:val="22"/>
          <w:szCs w:val="22"/>
        </w:rPr>
        <w:t xml:space="preserve">Lu Xun: “She shivered in the cold night air, dreaming of the coming spring, dreaming of the coming autumn, dreaming of the gaunt poet wiping his tears onto her last petal…” (Autumn Night). And from his essay The Mentor: “Youth cannot be generalized about. Some are awake, some are asleep, some are dazed, some are lying down, some are playing. But there are also those who want to move forward.”</w:t>
      </w:r>
    </w:p>
    <w:p>
      <w:pPr>
        <w:spacing w:after="60" w:before="60" w:line="300"/>
      </w:pPr>
      <w:r>
        <w:rPr>
          <w:rFonts w:ascii="Arial" w:cs="Arial" w:eastAsia="Arial" w:hAnsi="Arial"/>
          <w:b/>
          <w:bCs/>
          <w:sz w:val="22"/>
          <w:szCs w:val="22"/>
        </w:rPr>
        <w:t xml:space="preserve">DESIGN MOVE: </w:t>
      </w:r>
      <w:r>
        <w:rPr>
          <w:rFonts w:ascii="Arial" w:cs="Arial" w:eastAsia="Arial" w:hAnsi="Arial"/>
          <w:sz w:val="22"/>
          <w:szCs w:val="22"/>
        </w:rPr>
        <w:t xml:space="preserve">A tear from the kneeling Lu Xun falls into the eye-socket of a skeleton, lands precisely on a flower bud growing inside, and the bud opens. The opening becomes a yawning young person waking up. More young people wake. They are dazzled by light from across the floor: a pen has propped open a heavy door. A maple leaf with a worm-hole drifts in.</w:t>
      </w:r>
    </w:p>
    <w:p>
      <w:pPr>
        <w:spacing w:after="60" w:before="60" w:line="300"/>
      </w:pPr>
      <w:r>
        <w:rPr>
          <w:rFonts w:ascii="Arial" w:cs="Arial" w:eastAsia="Arial" w:hAnsi="Arial"/>
          <w:b/>
          <w:bCs/>
          <w:sz w:val="22"/>
          <w:szCs w:val="22"/>
        </w:rPr>
        <w:t xml:space="preserve">REASON: </w:t>
      </w:r>
      <w:r>
        <w:rPr>
          <w:rFonts w:ascii="Arial" w:cs="Arial" w:eastAsia="Arial" w:hAnsi="Arial"/>
          <w:sz w:val="22"/>
          <w:szCs w:val="22"/>
        </w:rPr>
        <w:t xml:space="preserve">The most demanding sequence in the film: it has to convey, in pure image, the idea that one writer's grief becomes the next generation's awakening. No narration, no on-screen text. The visual causal chain (tear → bud → opening → youth waking → light → propped door → leaf) does the work. For Health Tech: causal chains delivered visually outperform causal chains delivered verbally for almost every patient-education task that has been measured. This shot is the candidate's proof of fluency in that mode.</w:t>
      </w:r>
    </w:p>
    <w:p>
      <w:pPr>
        <w:pStyle w:val="Heading2"/>
        <w:spacing w:after="140" w:before="280"/>
      </w:pPr>
      <w:r>
        <w:rPr>
          <w:rFonts w:ascii="Arial" w:cs="Arial" w:eastAsia="Arial" w:hAnsi="Arial"/>
          <w:b/>
          <w:bCs/>
          <w:color w:val="1A1A1A"/>
          <w:sz w:val="28"/>
          <w:szCs w:val="28"/>
        </w:rPr>
        <w:t xml:space="preserve">3.6 Stills gallery (atmospheric)</w:t>
      </w:r>
    </w:p>
    <w:p>
      <w:pPr>
        <w:pStyle w:val="Heading3"/>
        <w:spacing w:after="100" w:before="200"/>
      </w:pPr>
      <w:r>
        <w:rPr>
          <w:rFonts w:ascii="Arial" w:cs="Arial" w:eastAsia="Arial" w:hAnsi="Arial"/>
          <w:b/>
          <w:bCs/>
          <w:color w:val="1F4E79"/>
          <w:sz w:val="24"/>
          <w:szCs w:val="24"/>
        </w:rPr>
        <w:t xml:space="preserve">Design intent</w:t>
      </w:r>
    </w:p>
    <w:p>
      <w:pPr>
        <w:spacing w:after="80" w:before="80" w:line="320"/>
      </w:pPr>
      <w:r>
        <w:rPr>
          <w:rFonts w:ascii="Arial" w:cs="Arial" w:eastAsia="Arial" w:hAnsi="Arial"/>
          <w:sz w:val="22"/>
          <w:szCs w:val="22"/>
        </w:rPr>
        <w:t xml:space="preserve">After the structured shot-case section, a quieter gallery lets the film's overall visual palette speak for itself. This section's job is sensory, not analytical.</w:t>
      </w:r>
    </w:p>
    <w:p>
      <w:pPr>
        <w:pStyle w:val="Heading3"/>
        <w:spacing w:after="100" w:before="200"/>
      </w:pPr>
      <w:r>
        <w:rPr>
          <w:rFonts w:ascii="Arial" w:cs="Arial" w:eastAsia="Arial" w:hAnsi="Arial"/>
          <w:b/>
          <w:bCs/>
          <w:color w:val="1F4E79"/>
          <w:sz w:val="24"/>
          <w:szCs w:val="24"/>
        </w:rPr>
        <w:t xml:space="preserve">Layout</w:t>
      </w:r>
    </w:p>
    <w:p>
      <w:pPr>
        <w:pStyle w:val="ListParagraph"/>
        <w:numPr>
          <w:ilvl w:val="0"/>
          <w:numId w:val="2"/>
        </w:numPr>
        <w:spacing w:after="60" w:before="60" w:line="300"/>
      </w:pPr>
      <w:r>
        <w:rPr>
          <w:rFonts w:ascii="Arial" w:cs="Arial" w:eastAsia="Arial" w:hAnsi="Arial"/>
          <w:sz w:val="22"/>
          <w:szCs w:val="22"/>
        </w:rPr>
        <w:t xml:space="preserve">Horizontal scroll-snap container, full-width on desktop — each still occupies 70–80% of the viewport width, allowing the eye to dwell</w:t>
      </w:r>
    </w:p>
    <w:p>
      <w:pPr>
        <w:pStyle w:val="ListParagraph"/>
        <w:numPr>
          <w:ilvl w:val="0"/>
          <w:numId w:val="2"/>
        </w:numPr>
        <w:spacing w:after="60" w:before="60" w:line="300"/>
      </w:pPr>
      <w:r>
        <w:rPr>
          <w:rFonts w:ascii="Arial" w:cs="Arial" w:eastAsia="Arial" w:hAnsi="Arial"/>
          <w:sz w:val="22"/>
          <w:szCs w:val="22"/>
        </w:rPr>
        <w:t xml:space="preserve">On mobile, swaps to vertical swipe with each still occupying 90% of the viewport</w:t>
      </w:r>
    </w:p>
    <w:p>
      <w:pPr>
        <w:pStyle w:val="ListParagraph"/>
        <w:numPr>
          <w:ilvl w:val="0"/>
          <w:numId w:val="2"/>
        </w:numPr>
        <w:spacing w:after="60" w:before="60" w:line="300"/>
      </w:pPr>
      <w:r>
        <w:rPr>
          <w:rFonts w:ascii="Arial" w:cs="Arial" w:eastAsia="Arial" w:hAnsi="Arial"/>
          <w:sz w:val="22"/>
          <w:szCs w:val="22"/>
        </w:rPr>
        <w:t xml:space="preserve">8–12 stills selected for visual diversity rather than narrative completeness</w:t>
      </w:r>
    </w:p>
    <w:p>
      <w:pPr>
        <w:pStyle w:val="ListParagraph"/>
        <w:numPr>
          <w:ilvl w:val="0"/>
          <w:numId w:val="2"/>
        </w:numPr>
        <w:spacing w:after="60" w:before="60" w:line="300"/>
      </w:pPr>
      <w:r>
        <w:rPr>
          <w:rFonts w:ascii="Arial" w:cs="Arial" w:eastAsia="Arial" w:hAnsi="Arial"/>
          <w:sz w:val="22"/>
          <w:szCs w:val="22"/>
        </w:rPr>
        <w:t xml:space="preserve">No captions — this section is meant to be felt, not read</w:t>
      </w:r>
    </w:p>
    <w:p>
      <w:pPr>
        <w:pStyle w:val="ListParagraph"/>
        <w:numPr>
          <w:ilvl w:val="0"/>
          <w:numId w:val="2"/>
        </w:numPr>
        <w:spacing w:after="60" w:before="60" w:line="300"/>
      </w:pPr>
      <w:r>
        <w:rPr>
          <w:rFonts w:ascii="Arial" w:cs="Arial" w:eastAsia="Arial" w:hAnsi="Arial"/>
          <w:sz w:val="22"/>
          <w:szCs w:val="22"/>
        </w:rPr>
        <w:t xml:space="preserve">Below the gallery, a single line in serif: “For frame-by-frame correspondences with Lu Xun's writing, see the thesis paper.” with a link to the PDF</w:t>
      </w:r>
    </w:p>
    <w:p>
      <w:pPr>
        <w:pStyle w:val="Heading2"/>
        <w:spacing w:after="140" w:before="280"/>
      </w:pPr>
      <w:r>
        <w:rPr>
          <w:rFonts w:ascii="Arial" w:cs="Arial" w:eastAsia="Arial" w:hAnsi="Arial"/>
          <w:b/>
          <w:bCs/>
          <w:color w:val="1A1A1A"/>
          <w:sz w:val="28"/>
          <w:szCs w:val="28"/>
        </w:rPr>
        <w:t xml:space="preserve">3.7 Production note (the honest scope)</w:t>
      </w:r>
    </w:p>
    <w:p>
      <w:pPr>
        <w:pStyle w:val="Heading3"/>
        <w:spacing w:after="100" w:before="200"/>
      </w:pPr>
      <w:r>
        <w:rPr>
          <w:rFonts w:ascii="Arial" w:cs="Arial" w:eastAsia="Arial" w:hAnsi="Arial"/>
          <w:b/>
          <w:bCs/>
          <w:color w:val="1F4E79"/>
          <w:sz w:val="24"/>
          <w:szCs w:val="24"/>
        </w:rPr>
        <w:t xml:space="preserve">Design intent</w:t>
      </w:r>
    </w:p>
    <w:p>
      <w:pPr>
        <w:spacing w:after="80" w:before="80" w:line="320"/>
      </w:pPr>
      <w:r>
        <w:rPr>
          <w:rFonts w:ascii="Arial" w:cs="Arial" w:eastAsia="Arial" w:hAnsi="Arial"/>
          <w:sz w:val="22"/>
          <w:szCs w:val="22"/>
        </w:rPr>
        <w:t xml:space="preserve">Short, transparent paragraph about what the project actually was. Establishes credibility through specificity — a Health Tech reader trusts a candidate who can describe their own work without inflating it.</w:t>
      </w:r>
    </w:p>
    <w:p>
      <w:pPr>
        <w:pStyle w:val="Heading3"/>
        <w:spacing w:after="100" w:before="200"/>
      </w:pPr>
      <w:r>
        <w:rPr>
          <w:rFonts w:ascii="Arial" w:cs="Arial" w:eastAsia="Arial" w:hAnsi="Arial"/>
          <w:b/>
          <w:bCs/>
          <w:color w:val="1F4E79"/>
          <w:sz w:val="24"/>
          <w:szCs w:val="24"/>
        </w:rPr>
        <w:t xml:space="preserve">Suggested copy</w:t>
      </w:r>
    </w:p>
    <w:p>
      <w:pPr>
        <w:pBdr>
          <w:left w:val="single" w:color="1F4E79" w:sz="18" w:space="8"/>
        </w:pBdr>
        <w:shd w:fill="EAF1F8" w:val="clear"/>
        <w:spacing w:after="100" w:before="100" w:line="300"/>
        <w:ind w:left="200" w:right="200"/>
      </w:pPr>
      <w:r>
        <w:rPr>
          <w:rFonts w:ascii="Arial" w:cs="Arial" w:eastAsia="Arial" w:hAnsi="Arial"/>
          <w:i/>
          <w:iCs/>
          <w:color w:val="3A3A3A"/>
          <w:sz w:val="21"/>
          <w:szCs w:val="21"/>
        </w:rPr>
        <w:t xml:space="preserve">Xun was the candidate's BFA thesis film at Tsinghua University Academy of Arts &amp; Design, completed in June 2024 under the supervision of Associate Professor Chen Lei. The film was conceived, written, directed, and animated by the candidate, with assistance from a fellow student (Chen Siyu) on long animation days. The accompanying thesis paper, "The Visual Expression of Lu Xun's Themes — The Creative Practice of the Animated Work Xun," examines each major shot's textual sources and design rationale; it is available below as a PDF for readers who want to look further.</w:t>
      </w:r>
    </w:p>
    <w:p>
      <w:pPr>
        <w:pStyle w:val="Heading2"/>
        <w:spacing w:after="140" w:before="280"/>
      </w:pPr>
      <w:r>
        <w:rPr>
          <w:rFonts w:ascii="Arial" w:cs="Arial" w:eastAsia="Arial" w:hAnsi="Arial"/>
          <w:b/>
          <w:bCs/>
          <w:color w:val="1A1A1A"/>
          <w:sz w:val="28"/>
          <w:szCs w:val="28"/>
        </w:rPr>
        <w:t xml:space="preserve">3.8 What this method gives Health Tech work</w:t>
      </w:r>
    </w:p>
    <w:p>
      <w:pPr>
        <w:pStyle w:val="Heading3"/>
        <w:spacing w:after="100" w:before="200"/>
      </w:pPr>
      <w:r>
        <w:rPr>
          <w:rFonts w:ascii="Arial" w:cs="Arial" w:eastAsia="Arial" w:hAnsi="Arial"/>
          <w:b/>
          <w:bCs/>
          <w:color w:val="1F4E79"/>
          <w:sz w:val="24"/>
          <w:szCs w:val="24"/>
        </w:rPr>
        <w:t xml:space="preserve">Design intent</w:t>
      </w:r>
    </w:p>
    <w:p>
      <w:pPr>
        <w:spacing w:after="80" w:before="80" w:line="320"/>
      </w:pPr>
      <w:r>
        <w:rPr>
          <w:rFonts w:ascii="Arial" w:cs="Arial" w:eastAsia="Arial" w:hAnsi="Arial"/>
          <w:sz w:val="22"/>
          <w:szCs w:val="22"/>
        </w:rPr>
        <w:t xml:space="preserve">Mirror the same Now-What discipline used on the Shui's Odyssey page: state the capabilities explicitly, in language the recruiter is already searching for. Five short statements, each with a vermillion lead phrase.</w:t>
      </w:r>
    </w:p>
    <w:p>
      <w:pPr>
        <w:pStyle w:val="Heading3"/>
        <w:spacing w:after="100" w:before="200"/>
      </w:pPr>
      <w:r>
        <w:rPr>
          <w:rFonts w:ascii="Arial" w:cs="Arial" w:eastAsia="Arial" w:hAnsi="Arial"/>
          <w:b/>
          <w:bCs/>
          <w:color w:val="1F4E79"/>
          <w:sz w:val="24"/>
          <w:szCs w:val="24"/>
        </w:rPr>
        <w:t xml:space="preserve">Section header</w:t>
      </w:r>
    </w:p>
    <w:p>
      <w:pPr>
        <w:spacing w:after="120" w:before="120" w:line="320"/>
        <w:jc w:val="center"/>
      </w:pPr>
      <w:r>
        <w:rPr>
          <w:rFonts w:ascii="Arial" w:cs="Arial" w:eastAsia="Arial" w:hAnsi="Arial"/>
          <w:i/>
          <w:iCs/>
          <w:color w:val="1F4E79"/>
          <w:sz w:val="24"/>
          <w:szCs w:val="24"/>
        </w:rPr>
        <w:t xml:space="preserve">“From a film about a writer to the practice of visual translation.”</w:t>
      </w:r>
    </w:p>
    <w:p>
      <w:pPr>
        <w:pStyle w:val="Heading3"/>
        <w:spacing w:after="100" w:before="200"/>
      </w:pPr>
      <w:r>
        <w:rPr>
          <w:rFonts w:ascii="Arial" w:cs="Arial" w:eastAsia="Arial" w:hAnsi="Arial"/>
          <w:b/>
          <w:bCs/>
          <w:color w:val="1F4E79"/>
          <w:sz w:val="24"/>
          <w:szCs w:val="24"/>
        </w:rPr>
        <w:t xml:space="preserve">Five capability statements</w:t>
      </w:r>
    </w:p>
    <w:p>
      <w:pPr>
        <w:pStyle w:val="ListParagraph"/>
        <w:numPr>
          <w:ilvl w:val="0"/>
          <w:numId w:val="2"/>
        </w:numPr>
        <w:spacing w:after="60" w:before="60" w:line="300"/>
      </w:pPr>
      <w:r>
        <w:rPr>
          <w:rFonts w:ascii="Arial" w:cs="Arial" w:eastAsia="Arial" w:hAnsi="Arial"/>
          <w:b/>
          <w:bCs/>
          <w:color w:val="C8362C"/>
          <w:sz w:val="22"/>
          <w:szCs w:val="22"/>
        </w:rPr>
        <w:t xml:space="preserve">Visual translation of complex content — </w:t>
      </w:r>
      <w:r>
        <w:rPr>
          <w:rFonts w:ascii="Arial" w:cs="Arial" w:eastAsia="Arial" w:hAnsi="Arial"/>
          <w:sz w:val="22"/>
          <w:szCs w:val="22"/>
        </w:rPr>
        <w:t xml:space="preserve">I take research, clinical guidance, or behavioral concepts that are correct on paper but inert on the page, and I render them in image and motion that audiences engage with on first viewing.</w:t>
      </w:r>
    </w:p>
    <w:p>
      <w:pPr>
        <w:pStyle w:val="ListParagraph"/>
        <w:numPr>
          <w:ilvl w:val="0"/>
          <w:numId w:val="2"/>
        </w:numPr>
        <w:spacing w:after="60" w:before="60" w:line="300"/>
      </w:pPr>
      <w:r>
        <w:rPr>
          <w:rFonts w:ascii="Arial" w:cs="Arial" w:eastAsia="Arial" w:hAnsi="Arial"/>
          <w:b/>
          <w:bCs/>
          <w:color w:val="C8362C"/>
          <w:sz w:val="22"/>
          <w:szCs w:val="22"/>
        </w:rPr>
        <w:t xml:space="preserve">Image-logic over text-logic — </w:t>
      </w:r>
      <w:r>
        <w:rPr>
          <w:rFonts w:ascii="Arial" w:cs="Arial" w:eastAsia="Arial" w:hAnsi="Arial"/>
          <w:sz w:val="22"/>
          <w:szCs w:val="22"/>
        </w:rPr>
        <w:t xml:space="preserve">I structure communication around what the eye and the body follow, not around what the outline says. This is the working method for content that needs to land emotionally before it lands cognitively.</w:t>
      </w:r>
    </w:p>
    <w:p>
      <w:pPr>
        <w:pStyle w:val="ListParagraph"/>
        <w:numPr>
          <w:ilvl w:val="0"/>
          <w:numId w:val="2"/>
        </w:numPr>
        <w:spacing w:after="60" w:before="60" w:line="300"/>
      </w:pPr>
      <w:r>
        <w:rPr>
          <w:rFonts w:ascii="Arial" w:cs="Arial" w:eastAsia="Arial" w:hAnsi="Arial"/>
          <w:b/>
          <w:bCs/>
          <w:color w:val="C8362C"/>
          <w:sz w:val="22"/>
          <w:szCs w:val="22"/>
        </w:rPr>
        <w:t xml:space="preserve">Source-grounded creative work — </w:t>
      </w:r>
      <w:r>
        <w:rPr>
          <w:rFonts w:ascii="Arial" w:cs="Arial" w:eastAsia="Arial" w:hAnsi="Arial"/>
          <w:sz w:val="22"/>
          <w:szCs w:val="22"/>
        </w:rPr>
        <w:t xml:space="preserve">every visual decision in Xun maps to a specific text. The same discipline applied to health communication means every visual claim maps to a specific clinical source — a non-negotiable for the field.</w:t>
      </w:r>
    </w:p>
    <w:p>
      <w:pPr>
        <w:pStyle w:val="ListParagraph"/>
        <w:numPr>
          <w:ilvl w:val="0"/>
          <w:numId w:val="2"/>
        </w:numPr>
        <w:spacing w:after="60" w:before="60" w:line="300"/>
      </w:pPr>
      <w:r>
        <w:rPr>
          <w:rFonts w:ascii="Arial" w:cs="Arial" w:eastAsia="Arial" w:hAnsi="Arial"/>
          <w:b/>
          <w:bCs/>
          <w:color w:val="C8362C"/>
          <w:sz w:val="22"/>
          <w:szCs w:val="22"/>
        </w:rPr>
        <w:t xml:space="preserve">Stigma-aware framing — </w:t>
      </w:r>
      <w:r>
        <w:rPr>
          <w:rFonts w:ascii="Arial" w:cs="Arial" w:eastAsia="Arial" w:hAnsi="Arial"/>
          <w:sz w:val="22"/>
          <w:szCs w:val="22"/>
        </w:rPr>
        <w:t xml:space="preserve">experience treating a subject the public has learned to avoid (a stern textbook author, a difficult illness, a stigmatized behavior) by giving it back its full humanity, including humor and ordinariness, without flattening its weight.</w:t>
      </w:r>
    </w:p>
    <w:p>
      <w:pPr>
        <w:pStyle w:val="ListParagraph"/>
        <w:numPr>
          <w:ilvl w:val="0"/>
          <w:numId w:val="2"/>
        </w:numPr>
        <w:spacing w:after="60" w:before="60" w:line="300"/>
      </w:pPr>
      <w:r>
        <w:rPr>
          <w:rFonts w:ascii="Arial" w:cs="Arial" w:eastAsia="Arial" w:hAnsi="Arial"/>
          <w:b/>
          <w:bCs/>
          <w:color w:val="C8362C"/>
          <w:sz w:val="22"/>
          <w:szCs w:val="22"/>
        </w:rPr>
        <w:t xml:space="preserve">End-to-end authorship under deadline — </w:t>
      </w:r>
      <w:r>
        <w:rPr>
          <w:rFonts w:ascii="Arial" w:cs="Arial" w:eastAsia="Arial" w:hAnsi="Arial"/>
          <w:sz w:val="22"/>
          <w:szCs w:val="22"/>
        </w:rPr>
        <w:t xml:space="preserve">fifteen months from concept to a finished, defended thesis film, holding the work to a publishable standard with a small team and a real release date.</w:t>
      </w:r>
    </w:p>
    <w:p>
      <w:pPr>
        <w:pStyle w:val="Heading2"/>
        <w:spacing w:after="140" w:before="280"/>
      </w:pPr>
      <w:r>
        <w:rPr>
          <w:rFonts w:ascii="Arial" w:cs="Arial" w:eastAsia="Arial" w:hAnsi="Arial"/>
          <w:b/>
          <w:bCs/>
          <w:color w:val="1A1A1A"/>
          <w:sz w:val="28"/>
          <w:szCs w:val="28"/>
        </w:rPr>
        <w:t xml:space="preserve">3.9 Resources &amp; links</w:t>
      </w:r>
    </w:p>
    <w:p>
      <w:pPr>
        <w:pStyle w:val="Heading3"/>
        <w:spacing w:after="100" w:before="200"/>
      </w:pPr>
      <w:r>
        <w:rPr>
          <w:rFonts w:ascii="Arial" w:cs="Arial" w:eastAsia="Arial" w:hAnsi="Arial"/>
          <w:b/>
          <w:bCs/>
          <w:color w:val="1F4E79"/>
          <w:sz w:val="24"/>
          <w:szCs w:val="24"/>
        </w:rPr>
        <w:t xml:space="preserve">Content</w:t>
      </w:r>
    </w:p>
    <w:p>
      <w:pPr>
        <w:pStyle w:val="ListParagraph"/>
        <w:numPr>
          <w:ilvl w:val="0"/>
          <w:numId w:val="2"/>
        </w:numPr>
        <w:spacing w:after="60" w:before="60" w:line="300"/>
      </w:pPr>
      <w:r>
        <w:rPr>
          <w:rFonts w:ascii="Arial" w:cs="Arial" w:eastAsia="Arial" w:hAnsi="Arial"/>
          <w:sz w:val="22"/>
          <w:szCs w:val="22"/>
        </w:rPr>
        <w:t xml:space="preserve">Watch on Bilibili — https://www.bilibili.com/video/BV1Tms8eSEPq</w:t>
      </w:r>
    </w:p>
    <w:p>
      <w:pPr>
        <w:pStyle w:val="ListParagraph"/>
        <w:numPr>
          <w:ilvl w:val="0"/>
          <w:numId w:val="2"/>
        </w:numPr>
        <w:spacing w:after="60" w:before="60" w:line="300"/>
      </w:pPr>
      <w:r>
        <w:rPr>
          <w:rFonts w:ascii="Arial" w:cs="Arial" w:eastAsia="Arial" w:hAnsi="Arial"/>
          <w:sz w:val="22"/>
          <w:szCs w:val="22"/>
        </w:rPr>
        <w:t xml:space="preserve">Thesis paper (PDF) — “The Visual Expression of Lu Xun's Themes”, Yang Yanzhi, Tsinghua University Academy of Arts &amp; Design, June 2024</w:t>
      </w:r>
    </w:p>
    <w:p>
      <w:pPr>
        <w:pStyle w:val="ListParagraph"/>
        <w:numPr>
          <w:ilvl w:val="0"/>
          <w:numId w:val="2"/>
        </w:numPr>
        <w:spacing w:after="60" w:before="60" w:line="300"/>
      </w:pPr>
      <w:r>
        <w:rPr>
          <w:rFonts w:ascii="Arial" w:cs="Arial" w:eastAsia="Arial" w:hAnsi="Arial"/>
          <w:sz w:val="22"/>
          <w:szCs w:val="22"/>
        </w:rPr>
        <w:t xml:space="preserve">YouTube mirror (recommended for international audiences)</w:t>
      </w:r>
    </w:p>
    <w:p>
      <w:pPr>
        <w:pStyle w:val="ListParagraph"/>
        <w:numPr>
          <w:ilvl w:val="0"/>
          <w:numId w:val="2"/>
        </w:numPr>
        <w:spacing w:after="60" w:before="60" w:line="300"/>
      </w:pPr>
      <w:r>
        <w:rPr>
          <w:rFonts w:ascii="Arial" w:cs="Arial" w:eastAsia="Arial" w:hAnsi="Arial"/>
          <w:sz w:val="22"/>
          <w:szCs w:val="22"/>
        </w:rPr>
        <w:t xml:space="preserve">Press, screenings, or festival mentions (if any)</w:t>
      </w:r>
    </w:p>
    <w:p>
      <w:pPr>
        <w:pStyle w:val="Heading3"/>
        <w:spacing w:after="100" w:before="200"/>
      </w:pPr>
      <w:r>
        <w:rPr>
          <w:rFonts w:ascii="Arial" w:cs="Arial" w:eastAsia="Arial" w:hAnsi="Arial"/>
          <w:b/>
          <w:bCs/>
          <w:color w:val="1F4E79"/>
          <w:sz w:val="24"/>
          <w:szCs w:val="24"/>
        </w:rPr>
        <w:t xml:space="preserve">Visual treatment</w:t>
      </w:r>
    </w:p>
    <w:p>
      <w:pPr>
        <w:pStyle w:val="ListParagraph"/>
        <w:numPr>
          <w:ilvl w:val="0"/>
          <w:numId w:val="2"/>
        </w:numPr>
        <w:spacing w:after="60" w:before="60" w:line="300"/>
      </w:pPr>
      <w:r>
        <w:rPr>
          <w:rFonts w:ascii="Arial" w:cs="Arial" w:eastAsia="Arial" w:hAnsi="Arial"/>
          <w:sz w:val="22"/>
          <w:szCs w:val="22"/>
        </w:rPr>
        <w:t xml:space="preserve">Single horizontal row of icon buttons, neutral styling</w:t>
      </w:r>
    </w:p>
    <w:p>
      <w:pPr>
        <w:pStyle w:val="ListParagraph"/>
        <w:numPr>
          <w:ilvl w:val="0"/>
          <w:numId w:val="2"/>
        </w:numPr>
        <w:spacing w:after="60" w:before="60" w:line="300"/>
      </w:pPr>
      <w:r>
        <w:rPr>
          <w:rFonts w:ascii="Arial" w:cs="Arial" w:eastAsia="Arial" w:hAnsi="Arial"/>
          <w:sz w:val="22"/>
          <w:szCs w:val="22"/>
        </w:rPr>
        <w:t xml:space="preserve">Thesis PDF link should make clear the document is in Chinese (or that an English summary is provided), so international readers know what to expect</w:t>
      </w:r>
    </w:p>
    <w:p>
      <w:pPr>
        <w:pStyle w:val="Heading2"/>
        <w:spacing w:after="140" w:before="280"/>
      </w:pPr>
      <w:r>
        <w:rPr>
          <w:rFonts w:ascii="Arial" w:cs="Arial" w:eastAsia="Arial" w:hAnsi="Arial"/>
          <w:b/>
          <w:bCs/>
          <w:color w:val="1A1A1A"/>
          <w:sz w:val="28"/>
          <w:szCs w:val="28"/>
        </w:rPr>
        <w:t xml:space="preserve">3.10 Footer / project navigation</w:t>
      </w:r>
    </w:p>
    <w:p>
      <w:pPr>
        <w:pStyle w:val="ListParagraph"/>
        <w:numPr>
          <w:ilvl w:val="0"/>
          <w:numId w:val="2"/>
        </w:numPr>
        <w:spacing w:after="60" w:before="60" w:line="300"/>
      </w:pPr>
      <w:r>
        <w:rPr>
          <w:rFonts w:ascii="Arial" w:cs="Arial" w:eastAsia="Arial" w:hAnsi="Arial"/>
          <w:sz w:val="22"/>
          <w:szCs w:val="22"/>
        </w:rPr>
        <w:t xml:space="preserve">“← Back to Projects” returning to the Health portfolio's project index</w:t>
      </w:r>
    </w:p>
    <w:p>
      <w:pPr>
        <w:pStyle w:val="ListParagraph"/>
        <w:numPr>
          <w:ilvl w:val="0"/>
          <w:numId w:val="2"/>
        </w:numPr>
        <w:spacing w:after="60" w:before="60" w:line="300"/>
      </w:pPr>
      <w:r>
        <w:rPr>
          <w:rFonts w:ascii="Arial" w:cs="Arial" w:eastAsia="Arial" w:hAnsi="Arial"/>
          <w:sz w:val="22"/>
          <w:szCs w:val="22"/>
        </w:rPr>
        <w:t xml:space="preserve">Optional “Next Project →” link — a natural pairing here would be Shui's Odyssey, which shares the visual-translation thesis</w:t>
      </w:r>
    </w:p>
    <w:p>
      <w:pPr>
        <w:pStyle w:val="ListParagraph"/>
        <w:numPr>
          <w:ilvl w:val="0"/>
          <w:numId w:val="2"/>
        </w:numPr>
        <w:spacing w:after="60" w:before="60" w:line="300"/>
      </w:pPr>
      <w:r>
        <w:rPr>
          <w:rFonts w:ascii="Arial" w:cs="Arial" w:eastAsia="Arial" w:hAnsi="Arial"/>
          <w:sz w:val="22"/>
          <w:szCs w:val="22"/>
        </w:rPr>
        <w:t xml:space="preserve">Site-wide footer (contact, social, copyright) inherited from the Health portfolio site</w:t>
      </w:r>
    </w:p>
    <w:p>
      <w:pPr>
        <w:pBdr>
          <w:bottom w:val="single" w:color="CCCCCC" w:sz="6" w:space="1"/>
        </w:pBdr>
        <w:spacing w:after="200" w:before="200"/>
      </w:pPr>
      <w:r>
        <w:t xml:space="preserve"/>
      </w:r>
    </w:p>
    <w:p>
      <w:pPr>
        <w:pStyle w:val="Heading1"/>
        <w:spacing w:after="200" w:before="360"/>
      </w:pPr>
      <w:r>
        <w:rPr>
          <w:rFonts w:ascii="Arial" w:cs="Arial" w:eastAsia="Arial" w:hAnsi="Arial"/>
          <w:b/>
          <w:bCs/>
          <w:color w:val="1A1A1A"/>
          <w:sz w:val="36"/>
          <w:szCs w:val="36"/>
        </w:rPr>
        <w:t xml:space="preserve">IV. Asset &amp; Technical Plan</w:t>
      </w:r>
    </w:p>
    <w:p>
      <w:pPr>
        <w:pStyle w:val="Heading2"/>
        <w:spacing w:after="140" w:before="280"/>
      </w:pPr>
      <w:r>
        <w:rPr>
          <w:rFonts w:ascii="Arial" w:cs="Arial" w:eastAsia="Arial" w:hAnsi="Arial"/>
          <w:b/>
          <w:bCs/>
          <w:color w:val="1A1A1A"/>
          <w:sz w:val="28"/>
          <w:szCs w:val="28"/>
        </w:rPr>
        <w:t xml:space="preserve">4.1 Asset inventory needed from the candidate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tcBorders>
              <w:top w:val="single" w:color="CCCCCC" w:sz="4"/>
              <w:left w:val="single" w:color="CCCCCC" w:sz="4"/>
              <w:bottom w:val="single" w:color="CCCCCC" w:sz="4"/>
              <w:right w:val="single" w:color="CCCCCC" w:sz="4"/>
            </w:tcBorders>
            <w:shd w:fill="1F4E79" w:val="clear"/>
            <w:tcMar>
              <w:top w:type="dxa" w:w="100"/>
              <w:left w:type="dxa" w:w="140"/>
              <w:bottom w:type="dxa" w:w="100"/>
              <w:right w:type="dxa" w:w="140"/>
            </w:tcMar>
          </w:tcPr>
          <w:p>
            <w:pPr>
              <w:spacing w:after="40" w:before="40"/>
            </w:pPr>
            <w:r>
              <w:rPr>
                <w:rFonts w:ascii="Arial" w:cs="Arial" w:eastAsia="Arial" w:hAnsi="Arial"/>
                <w:b/>
                <w:bCs/>
                <w:color w:val="FFFFFF"/>
                <w:sz w:val="21"/>
                <w:szCs w:val="21"/>
              </w:rPr>
              <w:t xml:space="preserve">Asset</w:t>
            </w:r>
          </w:p>
        </w:tc>
        <w:tc>
          <w:tcPr>
            <w:tcW w:type="dxa" w:w="2400"/>
            <w:tcBorders>
              <w:top w:val="single" w:color="CCCCCC" w:sz="4"/>
              <w:left w:val="single" w:color="CCCCCC" w:sz="4"/>
              <w:bottom w:val="single" w:color="CCCCCC" w:sz="4"/>
              <w:right w:val="single" w:color="CCCCCC" w:sz="4"/>
            </w:tcBorders>
            <w:shd w:fill="1F4E79" w:val="clear"/>
            <w:tcMar>
              <w:top w:type="dxa" w:w="100"/>
              <w:left w:type="dxa" w:w="140"/>
              <w:bottom w:type="dxa" w:w="100"/>
              <w:right w:type="dxa" w:w="140"/>
            </w:tcMar>
          </w:tcPr>
          <w:p>
            <w:pPr>
              <w:spacing w:after="40" w:before="40"/>
            </w:pPr>
            <w:r>
              <w:rPr>
                <w:rFonts w:ascii="Arial" w:cs="Arial" w:eastAsia="Arial" w:hAnsi="Arial"/>
                <w:b/>
                <w:bCs/>
                <w:color w:val="FFFFFF"/>
                <w:sz w:val="21"/>
                <w:szCs w:val="21"/>
              </w:rPr>
              <w:t xml:space="preserve">Used in</w:t>
            </w:r>
          </w:p>
        </w:tc>
        <w:tc>
          <w:tcPr>
            <w:tcW w:type="dxa" w:w="4560"/>
            <w:tcBorders>
              <w:top w:val="single" w:color="CCCCCC" w:sz="4"/>
              <w:left w:val="single" w:color="CCCCCC" w:sz="4"/>
              <w:bottom w:val="single" w:color="CCCCCC" w:sz="4"/>
              <w:right w:val="single" w:color="CCCCCC" w:sz="4"/>
            </w:tcBorders>
            <w:shd w:fill="1F4E79" w:val="clear"/>
            <w:tcMar>
              <w:top w:type="dxa" w:w="100"/>
              <w:left w:type="dxa" w:w="140"/>
              <w:bottom w:type="dxa" w:w="100"/>
              <w:right w:type="dxa" w:w="140"/>
            </w:tcMar>
          </w:tcPr>
          <w:p>
            <w:pPr>
              <w:spacing w:after="40" w:before="40"/>
            </w:pPr>
            <w:r>
              <w:rPr>
                <w:rFonts w:ascii="Arial" w:cs="Arial" w:eastAsia="Arial" w:hAnsi="Arial"/>
                <w:b/>
                <w:bCs/>
                <w:color w:val="FFFFFF"/>
                <w:sz w:val="21"/>
                <w:szCs w:val="21"/>
              </w:rPr>
              <w:t xml:space="preserve">Notes</w:t>
            </w:r>
          </w:p>
        </w:tc>
      </w:tr>
      <w:tr>
        <w:tc>
          <w:tcPr>
            <w:tcW w:type="dxa" w:w="2400"/>
            <w:tcBorders>
              <w:top w:val="single" w:color="CCCCCC" w:sz="4"/>
              <w:left w:val="single" w:color="CCCCCC" w:sz="4"/>
              <w:bottom w:val="single" w:color="CCCCCC" w:sz="4"/>
              <w:right w:val="single" w:color="CCCCCC" w:sz="4"/>
            </w:tcBorders>
            <w:shd w:fill="F4F8FC" w:val="clear"/>
            <w:tcMar>
              <w:top w:type="dxa" w:w="100"/>
              <w:left w:type="dxa" w:w="140"/>
              <w:bottom w:type="dxa" w:w="100"/>
              <w:right w:type="dxa" w:w="140"/>
            </w:tcMar>
          </w:tcPr>
          <w:p>
            <w:pPr>
              <w:spacing w:after="40" w:before="40"/>
            </w:pPr>
            <w:r>
              <w:rPr>
                <w:rFonts w:ascii="Arial" w:cs="Arial" w:eastAsia="Arial" w:hAnsi="Arial"/>
                <w:sz w:val="21"/>
                <w:szCs w:val="21"/>
              </w:rPr>
              <w:t xml:space="preserve">Hero still</w:t>
            </w:r>
          </w:p>
        </w:tc>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before="40"/>
            </w:pPr>
            <w:r>
              <w:rPr>
                <w:rFonts w:ascii="Arial" w:cs="Arial" w:eastAsia="Arial" w:hAnsi="Arial"/>
                <w:sz w:val="21"/>
                <w:szCs w:val="21"/>
              </w:rPr>
              <w:t xml:space="preserve">Hero section, full-bleed</w:t>
            </w:r>
          </w:p>
        </w:tc>
        <w:tc>
          <w:tcPr>
            <w:tcW w:type="dxa" w:w="45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before="40"/>
            </w:pPr>
            <w:r>
              <w:rPr>
                <w:rFonts w:ascii="Arial" w:cs="Arial" w:eastAsia="Arial" w:hAnsi="Arial"/>
                <w:sz w:val="21"/>
                <w:szCs w:val="21"/>
              </w:rPr>
              <w:t xml:space="preserve">One high-resolution still chosen for color impact, ideally with strong vermillion or contrasting blue — candidates: Shot 21 (red flood), Shots 30–32 (bone and flower)</w:t>
            </w:r>
          </w:p>
        </w:tc>
      </w:tr>
      <w:tr>
        <w:tc>
          <w:tcPr>
            <w:tcW w:type="dxa" w:w="2400"/>
            <w:tcBorders>
              <w:top w:val="single" w:color="CCCCCC" w:sz="4"/>
              <w:left w:val="single" w:color="CCCCCC" w:sz="4"/>
              <w:bottom w:val="single" w:color="CCCCCC" w:sz="4"/>
              <w:right w:val="single" w:color="CCCCCC" w:sz="4"/>
            </w:tcBorders>
            <w:shd w:fill="F4F8FC" w:val="clear"/>
            <w:tcMar>
              <w:top w:type="dxa" w:w="100"/>
              <w:left w:type="dxa" w:w="140"/>
              <w:bottom w:type="dxa" w:w="100"/>
              <w:right w:type="dxa" w:w="140"/>
            </w:tcMar>
          </w:tcPr>
          <w:p>
            <w:pPr>
              <w:spacing w:after="40" w:before="40"/>
            </w:pPr>
            <w:r>
              <w:rPr>
                <w:rFonts w:ascii="Arial" w:cs="Arial" w:eastAsia="Arial" w:hAnsi="Arial"/>
                <w:sz w:val="21"/>
                <w:szCs w:val="21"/>
              </w:rPr>
              <w:t xml:space="preserve">Self-hosted MP4 of the film</w:t>
            </w:r>
          </w:p>
        </w:tc>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before="40"/>
            </w:pPr>
            <w:r>
              <w:rPr>
                <w:rFonts w:ascii="Arial" w:cs="Arial" w:eastAsia="Arial" w:hAnsi="Arial"/>
                <w:sz w:val="21"/>
                <w:szCs w:val="21"/>
              </w:rPr>
              <w:t xml:space="preserve">Section 3.2 (the film)</w:t>
            </w:r>
          </w:p>
        </w:tc>
        <w:tc>
          <w:tcPr>
            <w:tcW w:type="dxa" w:w="45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before="40"/>
            </w:pPr>
            <w:r>
              <w:rPr>
                <w:rFonts w:ascii="Arial" w:cs="Arial" w:eastAsia="Arial" w:hAnsi="Arial"/>
                <w:sz w:val="21"/>
                <w:szCs w:val="21"/>
              </w:rPr>
              <w:t xml:space="preserve">Highest priority asset — needed because Bilibili is unreliable for international audiences. Recommend 1080p H.264, ~1080p, with embedded English subtitles</w:t>
            </w:r>
          </w:p>
        </w:tc>
      </w:tr>
      <w:tr>
        <w:tc>
          <w:tcPr>
            <w:tcW w:type="dxa" w:w="2400"/>
            <w:tcBorders>
              <w:top w:val="single" w:color="CCCCCC" w:sz="4"/>
              <w:left w:val="single" w:color="CCCCCC" w:sz="4"/>
              <w:bottom w:val="single" w:color="CCCCCC" w:sz="4"/>
              <w:right w:val="single" w:color="CCCCCC" w:sz="4"/>
            </w:tcBorders>
            <w:shd w:fill="F4F8FC" w:val="clear"/>
            <w:tcMar>
              <w:top w:type="dxa" w:w="100"/>
              <w:left w:type="dxa" w:w="140"/>
              <w:bottom w:type="dxa" w:w="100"/>
              <w:right w:type="dxa" w:w="140"/>
            </w:tcMar>
          </w:tcPr>
          <w:p>
            <w:pPr>
              <w:spacing w:after="40" w:before="40"/>
            </w:pPr>
            <w:r>
              <w:rPr>
                <w:rFonts w:ascii="Arial" w:cs="Arial" w:eastAsia="Arial" w:hAnsi="Arial"/>
                <w:sz w:val="21"/>
                <w:szCs w:val="21"/>
              </w:rPr>
              <w:t xml:space="preserve">Custom video poster</w:t>
            </w:r>
          </w:p>
        </w:tc>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before="40"/>
            </w:pPr>
            <w:r>
              <w:rPr>
                <w:rFonts w:ascii="Arial" w:cs="Arial" w:eastAsia="Arial" w:hAnsi="Arial"/>
                <w:sz w:val="21"/>
                <w:szCs w:val="21"/>
              </w:rPr>
              <w:t xml:space="preserve">Video player thumbnail</w:t>
            </w:r>
          </w:p>
        </w:tc>
        <w:tc>
          <w:tcPr>
            <w:tcW w:type="dxa" w:w="45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before="40"/>
            </w:pPr>
            <w:r>
              <w:rPr>
                <w:rFonts w:ascii="Arial" w:cs="Arial" w:eastAsia="Arial" w:hAnsi="Arial"/>
                <w:sz w:val="21"/>
                <w:szCs w:val="21"/>
              </w:rPr>
              <w:t xml:space="preserve">A single still chosen to invite the click — should not be the same as the Hero still</w:t>
            </w:r>
          </w:p>
        </w:tc>
      </w:tr>
      <w:tr>
        <w:tc>
          <w:tcPr>
            <w:tcW w:type="dxa" w:w="2400"/>
            <w:tcBorders>
              <w:top w:val="single" w:color="CCCCCC" w:sz="4"/>
              <w:left w:val="single" w:color="CCCCCC" w:sz="4"/>
              <w:bottom w:val="single" w:color="CCCCCC" w:sz="4"/>
              <w:right w:val="single" w:color="CCCCCC" w:sz="4"/>
            </w:tcBorders>
            <w:shd w:fill="F4F8FC" w:val="clear"/>
            <w:tcMar>
              <w:top w:type="dxa" w:w="100"/>
              <w:left w:type="dxa" w:w="140"/>
              <w:bottom w:type="dxa" w:w="100"/>
              <w:right w:type="dxa" w:w="140"/>
            </w:tcMar>
          </w:tcPr>
          <w:p>
            <w:pPr>
              <w:spacing w:after="40" w:before="40"/>
            </w:pPr>
            <w:r>
              <w:rPr>
                <w:rFonts w:ascii="Arial" w:cs="Arial" w:eastAsia="Arial" w:hAnsi="Arial"/>
                <w:sz w:val="21"/>
                <w:szCs w:val="21"/>
              </w:rPr>
              <w:t xml:space="preserve">Shot stills (4 cases × 1 hero still each)</w:t>
            </w:r>
          </w:p>
        </w:tc>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before="40"/>
            </w:pPr>
            <w:r>
              <w:rPr>
                <w:rFonts w:ascii="Arial" w:cs="Arial" w:eastAsia="Arial" w:hAnsi="Arial"/>
                <w:sz w:val="21"/>
                <w:szCs w:val="21"/>
              </w:rPr>
              <w:t xml:space="preserve">Section 3.5 shot-case blocks</w:t>
            </w:r>
          </w:p>
        </w:tc>
        <w:tc>
          <w:tcPr>
            <w:tcW w:type="dxa" w:w="45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before="40"/>
            </w:pPr>
            <w:r>
              <w:rPr>
                <w:rFonts w:ascii="Arial" w:cs="Arial" w:eastAsia="Arial" w:hAnsi="Arial"/>
                <w:sz w:val="21"/>
                <w:szCs w:val="21"/>
              </w:rPr>
              <w:t xml:space="preserve">One representative still per shot-case. For the Iron House case (Cases 3), a short ~3s looping clip would be vastly more effective than a still</w:t>
            </w:r>
          </w:p>
        </w:tc>
      </w:tr>
      <w:tr>
        <w:tc>
          <w:tcPr>
            <w:tcW w:type="dxa" w:w="2400"/>
            <w:tcBorders>
              <w:top w:val="single" w:color="CCCCCC" w:sz="4"/>
              <w:left w:val="single" w:color="CCCCCC" w:sz="4"/>
              <w:bottom w:val="single" w:color="CCCCCC" w:sz="4"/>
              <w:right w:val="single" w:color="CCCCCC" w:sz="4"/>
            </w:tcBorders>
            <w:shd w:fill="F4F8FC" w:val="clear"/>
            <w:tcMar>
              <w:top w:type="dxa" w:w="100"/>
              <w:left w:type="dxa" w:w="140"/>
              <w:bottom w:type="dxa" w:w="100"/>
              <w:right w:type="dxa" w:w="140"/>
            </w:tcMar>
          </w:tcPr>
          <w:p>
            <w:pPr>
              <w:spacing w:after="40" w:before="40"/>
            </w:pPr>
            <w:r>
              <w:rPr>
                <w:rFonts w:ascii="Arial" w:cs="Arial" w:eastAsia="Arial" w:hAnsi="Arial"/>
                <w:sz w:val="21"/>
                <w:szCs w:val="21"/>
              </w:rPr>
              <w:t xml:space="preserve">Stills gallery (8–12 frames)</w:t>
            </w:r>
          </w:p>
        </w:tc>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before="40"/>
            </w:pPr>
            <w:r>
              <w:rPr>
                <w:rFonts w:ascii="Arial" w:cs="Arial" w:eastAsia="Arial" w:hAnsi="Arial"/>
                <w:sz w:val="21"/>
                <w:szCs w:val="21"/>
              </w:rPr>
              <w:t xml:space="preserve">Section 3.6 gallery</w:t>
            </w:r>
          </w:p>
        </w:tc>
        <w:tc>
          <w:tcPr>
            <w:tcW w:type="dxa" w:w="45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before="40"/>
            </w:pPr>
            <w:r>
              <w:rPr>
                <w:rFonts w:ascii="Arial" w:cs="Arial" w:eastAsia="Arial" w:hAnsi="Arial"/>
                <w:sz w:val="21"/>
                <w:szCs w:val="21"/>
              </w:rPr>
              <w:t xml:space="preserve">Selected for visual diversity — different palettes, different scenes, different emotional registers. Avoid duplicating shots already shown in Section 3.5</w:t>
            </w:r>
          </w:p>
        </w:tc>
      </w:tr>
      <w:tr>
        <w:tc>
          <w:tcPr>
            <w:tcW w:type="dxa" w:w="2400"/>
            <w:tcBorders>
              <w:top w:val="single" w:color="CCCCCC" w:sz="4"/>
              <w:left w:val="single" w:color="CCCCCC" w:sz="4"/>
              <w:bottom w:val="single" w:color="CCCCCC" w:sz="4"/>
              <w:right w:val="single" w:color="CCCCCC" w:sz="4"/>
            </w:tcBorders>
            <w:shd w:fill="F4F8FC" w:val="clear"/>
            <w:tcMar>
              <w:top w:type="dxa" w:w="100"/>
              <w:left w:type="dxa" w:w="140"/>
              <w:bottom w:type="dxa" w:w="100"/>
              <w:right w:type="dxa" w:w="140"/>
            </w:tcMar>
          </w:tcPr>
          <w:p>
            <w:pPr>
              <w:spacing w:after="40" w:before="40"/>
            </w:pPr>
            <w:r>
              <w:rPr>
                <w:rFonts w:ascii="Arial" w:cs="Arial" w:eastAsia="Arial" w:hAnsi="Arial"/>
                <w:sz w:val="21"/>
                <w:szCs w:val="21"/>
              </w:rPr>
              <w:t xml:space="preserve">Thesis paper PDF</w:t>
            </w:r>
          </w:p>
        </w:tc>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before="40"/>
            </w:pPr>
            <w:r>
              <w:rPr>
                <w:rFonts w:ascii="Arial" w:cs="Arial" w:eastAsia="Arial" w:hAnsi="Arial"/>
                <w:sz w:val="21"/>
                <w:szCs w:val="21"/>
              </w:rPr>
              <w:t xml:space="preserve">Section 3.6 + 3.9 link</w:t>
            </w:r>
          </w:p>
        </w:tc>
        <w:tc>
          <w:tcPr>
            <w:tcW w:type="dxa" w:w="45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before="40"/>
            </w:pPr>
            <w:r>
              <w:rPr>
                <w:rFonts w:ascii="Arial" w:cs="Arial" w:eastAsia="Arial" w:hAnsi="Arial"/>
                <w:sz w:val="21"/>
                <w:szCs w:val="21"/>
              </w:rPr>
              <w:t xml:space="preserve">Direct PDF link, with a 2–3 sentence English abstract on the page so international readers can decide whether to download</w:t>
            </w:r>
          </w:p>
        </w:tc>
      </w:tr>
      <w:tr>
        <w:tc>
          <w:tcPr>
            <w:tcW w:type="dxa" w:w="2400"/>
            <w:tcBorders>
              <w:top w:val="single" w:color="CCCCCC" w:sz="4"/>
              <w:left w:val="single" w:color="CCCCCC" w:sz="4"/>
              <w:bottom w:val="single" w:color="CCCCCC" w:sz="4"/>
              <w:right w:val="single" w:color="CCCCCC" w:sz="4"/>
            </w:tcBorders>
            <w:shd w:fill="F4F8FC" w:val="clear"/>
            <w:tcMar>
              <w:top w:type="dxa" w:w="100"/>
              <w:left w:type="dxa" w:w="140"/>
              <w:bottom w:type="dxa" w:w="100"/>
              <w:right w:type="dxa" w:w="140"/>
            </w:tcMar>
          </w:tcPr>
          <w:p>
            <w:pPr>
              <w:spacing w:after="40" w:before="40"/>
            </w:pPr>
            <w:r>
              <w:rPr>
                <w:rFonts w:ascii="Arial" w:cs="Arial" w:eastAsia="Arial" w:hAnsi="Arial"/>
                <w:sz w:val="21"/>
                <w:szCs w:val="21"/>
              </w:rPr>
              <w:t xml:space="preserve">Optional: Xu Guangping's letter image</w:t>
            </w:r>
          </w:p>
        </w:tc>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before="40"/>
            </w:pPr>
            <w:r>
              <w:rPr>
                <w:rFonts w:ascii="Arial" w:cs="Arial" w:eastAsia="Arial" w:hAnsi="Arial"/>
                <w:sz w:val="21"/>
                <w:szCs w:val="21"/>
              </w:rPr>
              <w:t xml:space="preserve">Optional inline anchor in Case 1 expansion (if used)</w:t>
            </w:r>
          </w:p>
        </w:tc>
        <w:tc>
          <w:tcPr>
            <w:tcW w:type="dxa" w:w="45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before="40"/>
            </w:pPr>
            <w:r>
              <w:rPr>
                <w:rFonts w:ascii="Arial" w:cs="Arial" w:eastAsia="Arial" w:hAnsi="Arial"/>
                <w:sz w:val="21"/>
                <w:szCs w:val="21"/>
              </w:rPr>
              <w:t xml:space="preserve">Mentioned in the thesis as the visual source for the “small white elephant” character. Adds research credibility but optional</w:t>
            </w:r>
          </w:p>
        </w:tc>
      </w:tr>
    </w:tbl>
    <w:p>
      <w:pPr>
        <w:pStyle w:val="Heading2"/>
        <w:spacing w:after="140" w:before="280"/>
      </w:pPr>
      <w:r>
        <w:rPr>
          <w:rFonts w:ascii="Arial" w:cs="Arial" w:eastAsia="Arial" w:hAnsi="Arial"/>
          <w:b/>
          <w:bCs/>
          <w:color w:val="1A1A1A"/>
          <w:sz w:val="28"/>
          <w:szCs w:val="28"/>
        </w:rPr>
        <w:t xml:space="preserve">4.2 Responsive breakpoints</w:t>
      </w:r>
    </w:p>
    <w:p>
      <w:pPr>
        <w:pStyle w:val="ListParagraph"/>
        <w:numPr>
          <w:ilvl w:val="0"/>
          <w:numId w:val="2"/>
        </w:numPr>
        <w:spacing w:after="60" w:before="60" w:line="300"/>
      </w:pPr>
      <w:r>
        <w:rPr>
          <w:rFonts w:ascii="Arial" w:cs="Arial" w:eastAsia="Arial" w:hAnsi="Arial"/>
          <w:sz w:val="22"/>
          <w:szCs w:val="22"/>
        </w:rPr>
        <w:t xml:space="preserve">Desktop ≥ 1280px: full-bleed Hero, full-width video, two-column shot-cases (image left, text right), horizontal-scroll gallery</w:t>
      </w:r>
    </w:p>
    <w:p>
      <w:pPr>
        <w:pStyle w:val="ListParagraph"/>
        <w:numPr>
          <w:ilvl w:val="0"/>
          <w:numId w:val="2"/>
        </w:numPr>
        <w:spacing w:after="60" w:before="60" w:line="300"/>
      </w:pPr>
      <w:r>
        <w:rPr>
          <w:rFonts w:ascii="Arial" w:cs="Arial" w:eastAsia="Arial" w:hAnsi="Arial"/>
          <w:sz w:val="22"/>
          <w:szCs w:val="22"/>
        </w:rPr>
        <w:t xml:space="preserve">Tablet 768–1279px: Hero remains full-bleed; shot-cases stack to single column; gallery becomes 2-column grid</w:t>
      </w:r>
    </w:p>
    <w:p>
      <w:pPr>
        <w:pStyle w:val="ListParagraph"/>
        <w:numPr>
          <w:ilvl w:val="0"/>
          <w:numId w:val="2"/>
        </w:numPr>
        <w:spacing w:after="60" w:before="60" w:line="300"/>
      </w:pPr>
      <w:r>
        <w:rPr>
          <w:rFonts w:ascii="Arial" w:cs="Arial" w:eastAsia="Arial" w:hAnsi="Arial"/>
          <w:sz w:val="22"/>
          <w:szCs w:val="22"/>
        </w:rPr>
        <w:t xml:space="preserve">Mobile &lt; 768px: single column throughout, video stays inline 16:9, gallery becomes vertical-swipe full-width</w:t>
      </w:r>
    </w:p>
    <w:p>
      <w:pPr>
        <w:pStyle w:val="Heading2"/>
        <w:spacing w:after="140" w:before="280"/>
      </w:pPr>
      <w:r>
        <w:rPr>
          <w:rFonts w:ascii="Arial" w:cs="Arial" w:eastAsia="Arial" w:hAnsi="Arial"/>
          <w:b/>
          <w:bCs/>
          <w:color w:val="1A1A1A"/>
          <w:sz w:val="28"/>
          <w:szCs w:val="28"/>
        </w:rPr>
        <w:t xml:space="preserve">4.3 Performance</w:t>
      </w:r>
    </w:p>
    <w:p>
      <w:pPr>
        <w:pStyle w:val="ListParagraph"/>
        <w:numPr>
          <w:ilvl w:val="0"/>
          <w:numId w:val="2"/>
        </w:numPr>
        <w:spacing w:after="60" w:before="60" w:line="300"/>
      </w:pPr>
      <w:r>
        <w:rPr>
          <w:rFonts w:ascii="Arial" w:cs="Arial" w:eastAsia="Arial" w:hAnsi="Arial"/>
          <w:sz w:val="22"/>
          <w:szCs w:val="22"/>
        </w:rPr>
        <w:t xml:space="preserve">LCP target &lt; 2.5s. Hero still uses fetchpriority="high"; everything else loads lazily</w:t>
      </w:r>
    </w:p>
    <w:p>
      <w:pPr>
        <w:pStyle w:val="ListParagraph"/>
        <w:numPr>
          <w:ilvl w:val="0"/>
          <w:numId w:val="2"/>
        </w:numPr>
        <w:spacing w:after="60" w:before="60" w:line="300"/>
      </w:pPr>
      <w:r>
        <w:rPr>
          <w:rFonts w:ascii="Arial" w:cs="Arial" w:eastAsia="Arial" w:hAnsi="Arial"/>
          <w:sz w:val="22"/>
          <w:szCs w:val="22"/>
        </w:rPr>
        <w:t xml:space="preserve">Video iframe deferred until poster click (facade pattern)</w:t>
      </w:r>
    </w:p>
    <w:p>
      <w:pPr>
        <w:pStyle w:val="ListParagraph"/>
        <w:numPr>
          <w:ilvl w:val="0"/>
          <w:numId w:val="2"/>
        </w:numPr>
        <w:spacing w:after="60" w:before="60" w:line="300"/>
      </w:pPr>
      <w:r>
        <w:rPr>
          <w:rFonts w:ascii="Arial" w:cs="Arial" w:eastAsia="Arial" w:hAnsi="Arial"/>
          <w:sz w:val="22"/>
          <w:szCs w:val="22"/>
        </w:rPr>
        <w:t xml:space="preserve">All shot-case stills served as WebP with PNG fallback via &lt;picture&gt;; @2x versions for Retina</w:t>
      </w:r>
    </w:p>
    <w:p>
      <w:pPr>
        <w:pStyle w:val="ListParagraph"/>
        <w:numPr>
          <w:ilvl w:val="0"/>
          <w:numId w:val="2"/>
        </w:numPr>
        <w:spacing w:after="60" w:before="60" w:line="300"/>
      </w:pPr>
      <w:r>
        <w:rPr>
          <w:rFonts w:ascii="Arial" w:cs="Arial" w:eastAsia="Arial" w:hAnsi="Arial"/>
          <w:sz w:val="22"/>
          <w:szCs w:val="22"/>
        </w:rPr>
        <w:t xml:space="preserve">Total page weight ≤ 4MB excluding video (slightly higher than the Shui's Odyssey page because of the larger Hero image and shot-case stills)</w:t>
      </w:r>
    </w:p>
    <w:p>
      <w:pPr>
        <w:pStyle w:val="Heading2"/>
        <w:spacing w:after="140" w:before="280"/>
      </w:pPr>
      <w:r>
        <w:rPr>
          <w:rFonts w:ascii="Arial" w:cs="Arial" w:eastAsia="Arial" w:hAnsi="Arial"/>
          <w:b/>
          <w:bCs/>
          <w:color w:val="1A1A1A"/>
          <w:sz w:val="28"/>
          <w:szCs w:val="28"/>
        </w:rPr>
        <w:t xml:space="preserve">4.4 Motion</w:t>
      </w:r>
    </w:p>
    <w:p>
      <w:pPr>
        <w:pStyle w:val="ListParagraph"/>
        <w:numPr>
          <w:ilvl w:val="0"/>
          <w:numId w:val="2"/>
        </w:numPr>
        <w:spacing w:after="60" w:before="60" w:line="300"/>
      </w:pPr>
      <w:r>
        <w:rPr>
          <w:rFonts w:ascii="Arial" w:cs="Arial" w:eastAsia="Arial" w:hAnsi="Arial"/>
          <w:sz w:val="22"/>
          <w:szCs w:val="22"/>
        </w:rPr>
        <w:t xml:space="preserve">Restrained, in keeping with the page's editorial register</w:t>
      </w:r>
    </w:p>
    <w:p>
      <w:pPr>
        <w:pStyle w:val="ListParagraph"/>
        <w:numPr>
          <w:ilvl w:val="0"/>
          <w:numId w:val="2"/>
        </w:numPr>
        <w:spacing w:after="60" w:before="60" w:line="300"/>
      </w:pPr>
      <w:r>
        <w:rPr>
          <w:rFonts w:ascii="Arial" w:cs="Arial" w:eastAsia="Arial" w:hAnsi="Arial"/>
          <w:sz w:val="22"/>
          <w:szCs w:val="22"/>
        </w:rPr>
        <w:t xml:space="preserve">Specific micro-motion: shot-case stills fade in as they enter viewport (300–500ms), the gallery scroll uses smooth scroll-snap, the vermillion shot-number badges have a subtle ease-in on entry</w:t>
      </w:r>
    </w:p>
    <w:p>
      <w:pPr>
        <w:pStyle w:val="ListParagraph"/>
        <w:numPr>
          <w:ilvl w:val="0"/>
          <w:numId w:val="2"/>
        </w:numPr>
        <w:spacing w:after="60" w:before="60" w:line="300"/>
      </w:pPr>
      <w:r>
        <w:rPr>
          <w:rFonts w:ascii="Arial" w:cs="Arial" w:eastAsia="Arial" w:hAnsi="Arial"/>
          <w:sz w:val="22"/>
          <w:szCs w:val="22"/>
        </w:rPr>
        <w:t xml:space="preserve">Honor prefers-reduced-motion: all motion collapses to instant reveal</w:t>
      </w:r>
    </w:p>
    <w:p>
      <w:pPr>
        <w:pStyle w:val="Heading2"/>
        <w:spacing w:after="140" w:before="280"/>
      </w:pPr>
      <w:r>
        <w:rPr>
          <w:rFonts w:ascii="Arial" w:cs="Arial" w:eastAsia="Arial" w:hAnsi="Arial"/>
          <w:b/>
          <w:bCs/>
          <w:color w:val="1A1A1A"/>
          <w:sz w:val="28"/>
          <w:szCs w:val="28"/>
        </w:rPr>
        <w:t xml:space="preserve">4.5 Accessibility</w:t>
      </w:r>
    </w:p>
    <w:p>
      <w:pPr>
        <w:pStyle w:val="ListParagraph"/>
        <w:numPr>
          <w:ilvl w:val="0"/>
          <w:numId w:val="2"/>
        </w:numPr>
        <w:spacing w:after="60" w:before="60" w:line="300"/>
      </w:pPr>
      <w:r>
        <w:rPr>
          <w:rFonts w:ascii="Arial" w:cs="Arial" w:eastAsia="Arial" w:hAnsi="Arial"/>
          <w:sz w:val="22"/>
          <w:szCs w:val="22"/>
        </w:rPr>
        <w:t xml:space="preserve">Every shot still has alt text describing the scene and its source (e.g. "Lu Xun and a child fleeing pages of an old book; from Shots 07–11, the Twenty-Four Filial Exemplars sequence")</w:t>
      </w:r>
    </w:p>
    <w:p>
      <w:pPr>
        <w:pStyle w:val="ListParagraph"/>
        <w:numPr>
          <w:ilvl w:val="0"/>
          <w:numId w:val="2"/>
        </w:numPr>
        <w:spacing w:after="60" w:before="60" w:line="300"/>
      </w:pPr>
      <w:r>
        <w:rPr>
          <w:rFonts w:ascii="Arial" w:cs="Arial" w:eastAsia="Arial" w:hAnsi="Arial"/>
          <w:sz w:val="22"/>
          <w:szCs w:val="22"/>
        </w:rPr>
        <w:t xml:space="preserve">Video must have English captions (CC track or burned-in) — the film has no dialogue, but on-screen text and visual references benefit from captioning</w:t>
      </w:r>
    </w:p>
    <w:p>
      <w:pPr>
        <w:pStyle w:val="ListParagraph"/>
        <w:numPr>
          <w:ilvl w:val="0"/>
          <w:numId w:val="2"/>
        </w:numPr>
        <w:spacing w:after="60" w:before="60" w:line="300"/>
      </w:pPr>
      <w:r>
        <w:rPr>
          <w:rFonts w:ascii="Arial" w:cs="Arial" w:eastAsia="Arial" w:hAnsi="Arial"/>
          <w:sz w:val="22"/>
          <w:szCs w:val="22"/>
        </w:rPr>
        <w:t xml:space="preserve">Color contrast meets WCAG AA throughout, including the vermillion accent (verify #C8362C against backgrounds at build time)</w:t>
      </w:r>
    </w:p>
    <w:p>
      <w:pPr>
        <w:pStyle w:val="ListParagraph"/>
        <w:numPr>
          <w:ilvl w:val="0"/>
          <w:numId w:val="2"/>
        </w:numPr>
        <w:spacing w:after="60" w:before="60" w:line="300"/>
      </w:pPr>
      <w:r>
        <w:rPr>
          <w:rFonts w:ascii="Arial" w:cs="Arial" w:eastAsia="Arial" w:hAnsi="Arial"/>
          <w:sz w:val="22"/>
          <w:szCs w:val="22"/>
        </w:rPr>
        <w:t xml:space="preserve">Full keyboard navigation; visible focus states</w:t>
      </w:r>
    </w:p>
    <w:p>
      <w:pPr>
        <w:pStyle w:val="ListParagraph"/>
        <w:numPr>
          <w:ilvl w:val="0"/>
          <w:numId w:val="2"/>
        </w:numPr>
        <w:spacing w:after="60" w:before="60" w:line="300"/>
      </w:pPr>
      <w:r>
        <w:rPr>
          <w:rFonts w:ascii="Arial" w:cs="Arial" w:eastAsia="Arial" w:hAnsi="Arial"/>
          <w:sz w:val="22"/>
          <w:szCs w:val="22"/>
        </w:rPr>
        <w:t xml:space="preserve">Lightbox (if used in gallery) supports ESC close, Tab focus trap, focus return on close</w:t>
      </w:r>
    </w:p>
    <w:p>
      <w:pPr>
        <w:pStyle w:val="Heading2"/>
        <w:spacing w:after="140" w:before="280"/>
      </w:pPr>
      <w:r>
        <w:rPr>
          <w:rFonts w:ascii="Arial" w:cs="Arial" w:eastAsia="Arial" w:hAnsi="Arial"/>
          <w:b/>
          <w:bCs/>
          <w:color w:val="1A1A1A"/>
          <w:sz w:val="28"/>
          <w:szCs w:val="28"/>
        </w:rPr>
        <w:t xml:space="preserve">4.6 SEO &amp; social</w:t>
      </w:r>
    </w:p>
    <w:p>
      <w:pPr>
        <w:pStyle w:val="ListParagraph"/>
        <w:numPr>
          <w:ilvl w:val="0"/>
          <w:numId w:val="2"/>
        </w:numPr>
        <w:spacing w:after="60" w:before="60" w:line="300"/>
      </w:pPr>
      <w:r>
        <w:rPr>
          <w:rFonts w:ascii="Arial" w:cs="Arial" w:eastAsia="Arial" w:hAnsi="Arial"/>
          <w:sz w:val="22"/>
          <w:szCs w:val="22"/>
        </w:rPr>
        <w:t xml:space="preserve">Page title: “Xun — An animated short film on Lu Xun | Elliot Yang”</w:t>
      </w:r>
    </w:p>
    <w:p>
      <w:pPr>
        <w:pStyle w:val="ListParagraph"/>
        <w:numPr>
          <w:ilvl w:val="0"/>
          <w:numId w:val="2"/>
        </w:numPr>
        <w:spacing w:after="60" w:before="60" w:line="300"/>
      </w:pPr>
      <w:r>
        <w:rPr>
          <w:rFonts w:ascii="Arial" w:cs="Arial" w:eastAsia="Arial" w:hAnsi="Arial"/>
          <w:sz w:val="22"/>
          <w:szCs w:val="22"/>
        </w:rPr>
        <w:t xml:space="preserve">Meta description should mention: animation, literary adaptation, visual storytelling, Lu Xun, Tsinghua thesis film</w:t>
      </w:r>
    </w:p>
    <w:p>
      <w:pPr>
        <w:pStyle w:val="ListParagraph"/>
        <w:numPr>
          <w:ilvl w:val="0"/>
          <w:numId w:val="2"/>
        </w:numPr>
        <w:spacing w:after="60" w:before="60" w:line="300"/>
      </w:pPr>
      <w:r>
        <w:rPr>
          <w:rFonts w:ascii="Arial" w:cs="Arial" w:eastAsia="Arial" w:hAnsi="Arial"/>
          <w:sz w:val="22"/>
          <w:szCs w:val="22"/>
        </w:rPr>
        <w:t xml:space="preserve">Open Graph + Twitter Card with the Hero still as the social-share image</w:t>
      </w:r>
    </w:p>
    <w:p>
      <w:pPr>
        <w:pStyle w:val="ListParagraph"/>
        <w:numPr>
          <w:ilvl w:val="0"/>
          <w:numId w:val="2"/>
        </w:numPr>
        <w:spacing w:after="60" w:before="60" w:line="300"/>
      </w:pPr>
      <w:r>
        <w:rPr>
          <w:rFonts w:ascii="Arial" w:cs="Arial" w:eastAsia="Arial" w:hAnsi="Arial"/>
          <w:sz w:val="22"/>
          <w:szCs w:val="22"/>
        </w:rPr>
        <w:t xml:space="preserve">Structured data: schema.org Movie or CreativeWork (with creator, datePublished, runtime properties)</w:t>
      </w:r>
    </w:p>
    <w:p>
      <w:pPr>
        <w:pBdr>
          <w:bottom w:val="single" w:color="CCCCCC" w:sz="6" w:space="1"/>
        </w:pBdr>
        <w:spacing w:after="200" w:before="200"/>
      </w:pPr>
      <w:r>
        <w:t xml:space="preserve"/>
      </w:r>
    </w:p>
    <w:p>
      <w:pPr>
        <w:pStyle w:val="Heading1"/>
        <w:spacing w:after="200" w:before="360"/>
      </w:pPr>
      <w:r>
        <w:rPr>
          <w:rFonts w:ascii="Arial" w:cs="Arial" w:eastAsia="Arial" w:hAnsi="Arial"/>
          <w:b/>
          <w:bCs/>
          <w:color w:val="1A1A1A"/>
          <w:sz w:val="36"/>
          <w:szCs w:val="36"/>
        </w:rPr>
        <w:t xml:space="preserve">V. Copywriting Guidelines</w:t>
      </w:r>
    </w:p>
    <w:p>
      <w:pPr>
        <w:pStyle w:val="Heading2"/>
        <w:spacing w:after="140" w:before="280"/>
      </w:pPr>
      <w:r>
        <w:rPr>
          <w:rFonts w:ascii="Arial" w:cs="Arial" w:eastAsia="Arial" w:hAnsi="Arial"/>
          <w:b/>
          <w:bCs/>
          <w:color w:val="1A1A1A"/>
          <w:sz w:val="28"/>
          <w:szCs w:val="28"/>
        </w:rPr>
        <w:t xml:space="preserve">5.1 Voice</w:t>
      </w:r>
    </w:p>
    <w:p>
      <w:pPr>
        <w:pStyle w:val="ListParagraph"/>
        <w:numPr>
          <w:ilvl w:val="0"/>
          <w:numId w:val="2"/>
        </w:numPr>
        <w:spacing w:after="60" w:before="60" w:line="300"/>
      </w:pPr>
      <w:r>
        <w:rPr>
          <w:rFonts w:ascii="Arial" w:cs="Arial" w:eastAsia="Arial" w:hAnsi="Arial"/>
          <w:sz w:val="22"/>
          <w:szCs w:val="22"/>
        </w:rPr>
        <w:t xml:space="preserve">Direct, observational, willing to be specific. The page is for an international audience that probably does not know Lu Xun — spell things out without condescending</w:t>
      </w:r>
    </w:p>
    <w:p>
      <w:pPr>
        <w:pStyle w:val="ListParagraph"/>
        <w:numPr>
          <w:ilvl w:val="0"/>
          <w:numId w:val="2"/>
        </w:numPr>
        <w:spacing w:after="60" w:before="60" w:line="300"/>
      </w:pPr>
      <w:r>
        <w:rPr>
          <w:rFonts w:ascii="Arial" w:cs="Arial" w:eastAsia="Arial" w:hAnsi="Arial"/>
          <w:sz w:val="22"/>
          <w:szCs w:val="22"/>
        </w:rPr>
        <w:t xml:space="preserve">Resist the academic register. The thesis paper is in academic register; the web page is not the thesis paper</w:t>
      </w:r>
    </w:p>
    <w:p>
      <w:pPr>
        <w:pStyle w:val="ListParagraph"/>
        <w:numPr>
          <w:ilvl w:val="0"/>
          <w:numId w:val="2"/>
        </w:numPr>
        <w:spacing w:after="60" w:before="60" w:line="300"/>
      </w:pPr>
      <w:r>
        <w:rPr>
          <w:rFonts w:ascii="Arial" w:cs="Arial" w:eastAsia="Arial" w:hAnsi="Arial"/>
          <w:sz w:val="22"/>
          <w:szCs w:val="22"/>
        </w:rPr>
        <w:t xml:space="preserve">Resist the marketing register. No "stunning," "breathtaking," "award-winning" unless verifiably true and specifically attributed</w:t>
      </w:r>
    </w:p>
    <w:p>
      <w:pPr>
        <w:pStyle w:val="ListParagraph"/>
        <w:numPr>
          <w:ilvl w:val="0"/>
          <w:numId w:val="2"/>
        </w:numPr>
        <w:spacing w:after="60" w:before="60" w:line="300"/>
      </w:pPr>
      <w:r>
        <w:rPr>
          <w:rFonts w:ascii="Arial" w:cs="Arial" w:eastAsia="Arial" w:hAnsi="Arial"/>
          <w:sz w:val="22"/>
          <w:szCs w:val="22"/>
        </w:rPr>
        <w:t xml:space="preserve">When describing emotion, describe the cause, not the feeling. Show the tear falling into the eye-socket; do not write that the audience will be moved</w:t>
      </w:r>
    </w:p>
    <w:p>
      <w:pPr>
        <w:pStyle w:val="Heading2"/>
        <w:spacing w:after="140" w:before="280"/>
      </w:pPr>
      <w:r>
        <w:rPr>
          <w:rFonts w:ascii="Arial" w:cs="Arial" w:eastAsia="Arial" w:hAnsi="Arial"/>
          <w:b/>
          <w:bCs/>
          <w:color w:val="1A1A1A"/>
          <w:sz w:val="28"/>
          <w:szCs w:val="28"/>
        </w:rPr>
        <w:t xml:space="preserve">5.2 Treatment of Lu Xun for an international audience</w:t>
      </w:r>
    </w:p>
    <w:p>
      <w:pPr>
        <w:pStyle w:val="ListParagraph"/>
        <w:numPr>
          <w:ilvl w:val="0"/>
          <w:numId w:val="2"/>
        </w:numPr>
        <w:spacing w:after="60" w:before="60" w:line="300"/>
      </w:pPr>
      <w:r>
        <w:rPr>
          <w:rFonts w:ascii="Arial" w:cs="Arial" w:eastAsia="Arial" w:hAnsi="Arial"/>
          <w:sz w:val="22"/>
          <w:szCs w:val="22"/>
        </w:rPr>
        <w:t xml:space="preserve">First mention always provides one-line context (“Lu Xun (1881–1936), one of the most influential writers in modern Chinese literature…”)</w:t>
      </w:r>
    </w:p>
    <w:p>
      <w:pPr>
        <w:pStyle w:val="ListParagraph"/>
        <w:numPr>
          <w:ilvl w:val="0"/>
          <w:numId w:val="2"/>
        </w:numPr>
        <w:spacing w:after="60" w:before="60" w:line="300"/>
      </w:pPr>
      <w:r>
        <w:rPr>
          <w:rFonts w:ascii="Arial" w:cs="Arial" w:eastAsia="Arial" w:hAnsi="Arial"/>
          <w:sz w:val="22"/>
          <w:szCs w:val="22"/>
        </w:rPr>
        <w:t xml:space="preserve">Italicize Chinese-language work titles in their English translations (A Madman's Diary, Call to Arms, etc.)</w:t>
      </w:r>
    </w:p>
    <w:p>
      <w:pPr>
        <w:pStyle w:val="ListParagraph"/>
        <w:numPr>
          <w:ilvl w:val="0"/>
          <w:numId w:val="2"/>
        </w:numPr>
        <w:spacing w:after="60" w:before="60" w:line="300"/>
      </w:pPr>
      <w:r>
        <w:rPr>
          <w:rFonts w:ascii="Arial" w:cs="Arial" w:eastAsia="Arial" w:hAnsi="Arial"/>
          <w:sz w:val="22"/>
          <w:szCs w:val="22"/>
        </w:rPr>
        <w:t xml:space="preserve">Romanize personal names with Pinyin and provide Chinese characters once on first mention if helpful</w:t>
      </w:r>
    </w:p>
    <w:p>
      <w:pPr>
        <w:pStyle w:val="ListParagraph"/>
        <w:numPr>
          <w:ilvl w:val="0"/>
          <w:numId w:val="2"/>
        </w:numPr>
        <w:spacing w:after="60" w:before="60" w:line="300"/>
      </w:pPr>
      <w:r>
        <w:rPr>
          <w:rFonts w:ascii="Arial" w:cs="Arial" w:eastAsia="Arial" w:hAnsi="Arial"/>
          <w:sz w:val="22"/>
          <w:szCs w:val="22"/>
        </w:rPr>
        <w:t xml:space="preserve">Do not assume the reader knows the textbook context — explain it briefly where it matters</w:t>
      </w:r>
    </w:p>
    <w:p>
      <w:pPr>
        <w:pStyle w:val="Heading2"/>
        <w:spacing w:after="140" w:before="280"/>
      </w:pPr>
      <w:r>
        <w:rPr>
          <w:rFonts w:ascii="Arial" w:cs="Arial" w:eastAsia="Arial" w:hAnsi="Arial"/>
          <w:b/>
          <w:bCs/>
          <w:color w:val="1A1A1A"/>
          <w:sz w:val="28"/>
          <w:szCs w:val="28"/>
        </w:rPr>
        <w:t xml:space="preserve">5.3 Cross-page consistency with Shui's Odyssey</w:t>
      </w:r>
    </w:p>
    <w:p>
      <w:pPr>
        <w:pStyle w:val="ListParagraph"/>
        <w:numPr>
          <w:ilvl w:val="0"/>
          <w:numId w:val="2"/>
        </w:numPr>
        <w:spacing w:after="60" w:before="60" w:line="300"/>
      </w:pPr>
      <w:r>
        <w:rPr>
          <w:rFonts w:ascii="Arial" w:cs="Arial" w:eastAsia="Arial" w:hAnsi="Arial"/>
          <w:sz w:val="22"/>
          <w:szCs w:val="22"/>
        </w:rPr>
        <w:t xml:space="preserve">Both pages share the Now-What discipline: explicit capability bridges to Health Tech work, in language a recruiter searches for</w:t>
      </w:r>
    </w:p>
    <w:p>
      <w:pPr>
        <w:pStyle w:val="ListParagraph"/>
        <w:numPr>
          <w:ilvl w:val="0"/>
          <w:numId w:val="2"/>
        </w:numPr>
        <w:spacing w:after="60" w:before="60" w:line="300"/>
      </w:pPr>
      <w:r>
        <w:rPr>
          <w:rFonts w:ascii="Arial" w:cs="Arial" w:eastAsia="Arial" w:hAnsi="Arial"/>
          <w:sz w:val="22"/>
          <w:szCs w:val="22"/>
        </w:rPr>
        <w:t xml:space="preserve">Both pages share the same outer Health-blue framework</w:t>
      </w:r>
    </w:p>
    <w:p>
      <w:pPr>
        <w:pStyle w:val="ListParagraph"/>
        <w:numPr>
          <w:ilvl w:val="0"/>
          <w:numId w:val="2"/>
        </w:numPr>
        <w:spacing w:after="60" w:before="60" w:line="300"/>
      </w:pPr>
      <w:r>
        <w:rPr>
          <w:rFonts w:ascii="Arial" w:cs="Arial" w:eastAsia="Arial" w:hAnsi="Arial"/>
          <w:sz w:val="22"/>
          <w:szCs w:val="22"/>
        </w:rPr>
        <w:t xml:space="preserve">The two pages should feel like chapters of the same body of work — a visitor who reads both should come away with one clear idea: this candidate uses interactive and visual media to translate complex subjects into experiences audiences feel</w:t>
      </w:r>
    </w:p>
    <w:p>
      <w:pPr>
        <w:pBdr>
          <w:bottom w:val="single" w:color="CCCCCC" w:sz="6" w:space="1"/>
        </w:pBdr>
        <w:spacing w:after="200" w:before="200"/>
      </w:pPr>
      <w:r>
        <w:t xml:space="preserve"/>
      </w:r>
    </w:p>
    <w:p>
      <w:pPr>
        <w:pStyle w:val="Heading1"/>
        <w:spacing w:after="200" w:before="360"/>
      </w:pPr>
      <w:r>
        <w:rPr>
          <w:rFonts w:ascii="Arial" w:cs="Arial" w:eastAsia="Arial" w:hAnsi="Arial"/>
          <w:b/>
          <w:bCs/>
          <w:color w:val="1A1A1A"/>
          <w:sz w:val="36"/>
          <w:szCs w:val="36"/>
        </w:rPr>
        <w:t xml:space="preserve">VI. Open Items Before Build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000"/>
        <w:gridCol w:w="5760"/>
      </w:tblGrid>
      <w:tr>
        <w:trPr>
          <w:tblHeader/>
        </w:trPr>
        <w:tc>
          <w:tcPr>
            <w:tcW w:type="dxa" w:w="600"/>
            <w:tcBorders>
              <w:top w:val="single" w:color="CCCCCC" w:sz="4"/>
              <w:left w:val="single" w:color="CCCCCC" w:sz="4"/>
              <w:bottom w:val="single" w:color="CCCCCC" w:sz="4"/>
              <w:right w:val="single" w:color="CCCCCC" w:sz="4"/>
            </w:tcBorders>
            <w:shd w:fill="1F4E79" w:val="clear"/>
            <w:tcMar>
              <w:top w:type="dxa" w:w="100"/>
              <w:left w:type="dxa" w:w="140"/>
              <w:bottom w:type="dxa" w:w="100"/>
              <w:right w:type="dxa" w:w="140"/>
            </w:tcMar>
          </w:tcPr>
          <w:p>
            <w:pPr>
              <w:spacing w:after="40" w:before="40"/>
            </w:pPr>
            <w:r>
              <w:rPr>
                <w:rFonts w:ascii="Arial" w:cs="Arial" w:eastAsia="Arial" w:hAnsi="Arial"/>
                <w:b/>
                <w:bCs/>
                <w:color w:val="FFFFFF"/>
                <w:sz w:val="21"/>
                <w:szCs w:val="21"/>
              </w:rPr>
              <w:t xml:space="preserve">#</w:t>
            </w:r>
          </w:p>
        </w:tc>
        <w:tc>
          <w:tcPr>
            <w:tcW w:type="dxa" w:w="3000"/>
            <w:tcBorders>
              <w:top w:val="single" w:color="CCCCCC" w:sz="4"/>
              <w:left w:val="single" w:color="CCCCCC" w:sz="4"/>
              <w:bottom w:val="single" w:color="CCCCCC" w:sz="4"/>
              <w:right w:val="single" w:color="CCCCCC" w:sz="4"/>
            </w:tcBorders>
            <w:shd w:fill="1F4E79" w:val="clear"/>
            <w:tcMar>
              <w:top w:type="dxa" w:w="100"/>
              <w:left w:type="dxa" w:w="140"/>
              <w:bottom w:type="dxa" w:w="100"/>
              <w:right w:type="dxa" w:w="140"/>
            </w:tcMar>
          </w:tcPr>
          <w:p>
            <w:pPr>
              <w:spacing w:after="40" w:before="40"/>
            </w:pPr>
            <w:r>
              <w:rPr>
                <w:rFonts w:ascii="Arial" w:cs="Arial" w:eastAsia="Arial" w:hAnsi="Arial"/>
                <w:b/>
                <w:bCs/>
                <w:color w:val="FFFFFF"/>
                <w:sz w:val="21"/>
                <w:szCs w:val="21"/>
              </w:rPr>
              <w:t xml:space="preserve">Item</w:t>
            </w:r>
          </w:p>
        </w:tc>
        <w:tc>
          <w:tcPr>
            <w:tcW w:type="dxa" w:w="5760"/>
            <w:tcBorders>
              <w:top w:val="single" w:color="CCCCCC" w:sz="4"/>
              <w:left w:val="single" w:color="CCCCCC" w:sz="4"/>
              <w:bottom w:val="single" w:color="CCCCCC" w:sz="4"/>
              <w:right w:val="single" w:color="CCCCCC" w:sz="4"/>
            </w:tcBorders>
            <w:shd w:fill="1F4E79" w:val="clear"/>
            <w:tcMar>
              <w:top w:type="dxa" w:w="100"/>
              <w:left w:type="dxa" w:w="140"/>
              <w:bottom w:type="dxa" w:w="100"/>
              <w:right w:type="dxa" w:w="140"/>
            </w:tcMar>
          </w:tcPr>
          <w:p>
            <w:pPr>
              <w:spacing w:after="40" w:before="40"/>
            </w:pPr>
            <w:r>
              <w:rPr>
                <w:rFonts w:ascii="Arial" w:cs="Arial" w:eastAsia="Arial" w:hAnsi="Arial"/>
                <w:b/>
                <w:bCs/>
                <w:color w:val="FFFFFF"/>
                <w:sz w:val="21"/>
                <w:szCs w:val="21"/>
              </w:rPr>
              <w:t xml:space="preserve">Notes</w:t>
            </w:r>
          </w:p>
        </w:tc>
      </w:tr>
      <w:tr>
        <w:tc>
          <w:tcPr>
            <w:tcW w:type="dxa" w:w="600"/>
            <w:tcBorders>
              <w:top w:val="single" w:color="CCCCCC" w:sz="4"/>
              <w:left w:val="single" w:color="CCCCCC" w:sz="4"/>
              <w:bottom w:val="single" w:color="CCCCCC" w:sz="4"/>
              <w:right w:val="single" w:color="CCCCCC" w:sz="4"/>
            </w:tcBorders>
            <w:shd w:fill="F4F8FC" w:val="clear"/>
            <w:tcMar>
              <w:top w:type="dxa" w:w="100"/>
              <w:left w:type="dxa" w:w="140"/>
              <w:bottom w:type="dxa" w:w="100"/>
              <w:right w:type="dxa" w:w="140"/>
            </w:tcMar>
          </w:tcPr>
          <w:p>
            <w:pPr>
              <w:spacing w:after="40" w:before="40"/>
            </w:pPr>
            <w:r>
              <w:rPr>
                <w:rFonts w:ascii="Arial" w:cs="Arial" w:eastAsia="Arial" w:hAnsi="Arial"/>
                <w:sz w:val="21"/>
                <w:szCs w:val="21"/>
              </w:rPr>
              <w:t xml:space="preserve">1</w:t>
            </w:r>
          </w:p>
        </w:tc>
        <w:tc>
          <w:tcPr>
            <w:tcW w:type="dxa" w:w="30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before="40"/>
            </w:pPr>
            <w:r>
              <w:rPr>
                <w:rFonts w:ascii="Arial" w:cs="Arial" w:eastAsia="Arial" w:hAnsi="Arial"/>
                <w:sz w:val="21"/>
                <w:szCs w:val="21"/>
              </w:rPr>
              <w:t xml:space="preserve">Self-hosted MP4 of the film</w:t>
            </w:r>
          </w:p>
        </w:tc>
        <w:tc>
          <w:tcPr>
            <w:tcW w:type="dxa" w:w="57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before="40"/>
            </w:pPr>
            <w:r>
              <w:rPr>
                <w:rFonts w:ascii="Arial" w:cs="Arial" w:eastAsia="Arial" w:hAnsi="Arial"/>
                <w:sz w:val="21"/>
                <w:szCs w:val="21"/>
              </w:rPr>
              <w:t xml:space="preserve">Highest priority. Bilibili embed is not reliable for international visitors</w:t>
            </w:r>
          </w:p>
        </w:tc>
      </w:tr>
      <w:tr>
        <w:tc>
          <w:tcPr>
            <w:tcW w:type="dxa" w:w="600"/>
            <w:tcBorders>
              <w:top w:val="single" w:color="CCCCCC" w:sz="4"/>
              <w:left w:val="single" w:color="CCCCCC" w:sz="4"/>
              <w:bottom w:val="single" w:color="CCCCCC" w:sz="4"/>
              <w:right w:val="single" w:color="CCCCCC" w:sz="4"/>
            </w:tcBorders>
            <w:shd w:fill="F4F8FC" w:val="clear"/>
            <w:tcMar>
              <w:top w:type="dxa" w:w="100"/>
              <w:left w:type="dxa" w:w="140"/>
              <w:bottom w:type="dxa" w:w="100"/>
              <w:right w:type="dxa" w:w="140"/>
            </w:tcMar>
          </w:tcPr>
          <w:p>
            <w:pPr>
              <w:spacing w:after="40" w:before="40"/>
            </w:pPr>
            <w:r>
              <w:rPr>
                <w:rFonts w:ascii="Arial" w:cs="Arial" w:eastAsia="Arial" w:hAnsi="Arial"/>
                <w:sz w:val="21"/>
                <w:szCs w:val="21"/>
              </w:rPr>
              <w:t xml:space="preserve">2</w:t>
            </w:r>
          </w:p>
        </w:tc>
        <w:tc>
          <w:tcPr>
            <w:tcW w:type="dxa" w:w="30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before="40"/>
            </w:pPr>
            <w:r>
              <w:rPr>
                <w:rFonts w:ascii="Arial" w:cs="Arial" w:eastAsia="Arial" w:hAnsi="Arial"/>
                <w:sz w:val="21"/>
                <w:szCs w:val="21"/>
              </w:rPr>
              <w:t xml:space="preserve">English captions for the film</w:t>
            </w:r>
          </w:p>
        </w:tc>
        <w:tc>
          <w:tcPr>
            <w:tcW w:type="dxa" w:w="57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before="40"/>
            </w:pPr>
            <w:r>
              <w:rPr>
                <w:rFonts w:ascii="Arial" w:cs="Arial" w:eastAsia="Arial" w:hAnsi="Arial"/>
                <w:sz w:val="21"/>
                <w:szCs w:val="21"/>
              </w:rPr>
              <w:t xml:space="preserve">Even though the film has no dialogue, captioning on-screen text and key references benefits both accessibility and international comprehension</w:t>
            </w:r>
          </w:p>
        </w:tc>
      </w:tr>
      <w:tr>
        <w:tc>
          <w:tcPr>
            <w:tcW w:type="dxa" w:w="600"/>
            <w:tcBorders>
              <w:top w:val="single" w:color="CCCCCC" w:sz="4"/>
              <w:left w:val="single" w:color="CCCCCC" w:sz="4"/>
              <w:bottom w:val="single" w:color="CCCCCC" w:sz="4"/>
              <w:right w:val="single" w:color="CCCCCC" w:sz="4"/>
            </w:tcBorders>
            <w:shd w:fill="F4F8FC" w:val="clear"/>
            <w:tcMar>
              <w:top w:type="dxa" w:w="100"/>
              <w:left w:type="dxa" w:w="140"/>
              <w:bottom w:type="dxa" w:w="100"/>
              <w:right w:type="dxa" w:w="140"/>
            </w:tcMar>
          </w:tcPr>
          <w:p>
            <w:pPr>
              <w:spacing w:after="40" w:before="40"/>
            </w:pPr>
            <w:r>
              <w:rPr>
                <w:rFonts w:ascii="Arial" w:cs="Arial" w:eastAsia="Arial" w:hAnsi="Arial"/>
                <w:sz w:val="21"/>
                <w:szCs w:val="21"/>
              </w:rPr>
              <w:t xml:space="preserve">3</w:t>
            </w:r>
          </w:p>
        </w:tc>
        <w:tc>
          <w:tcPr>
            <w:tcW w:type="dxa" w:w="30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before="40"/>
            </w:pPr>
            <w:r>
              <w:rPr>
                <w:rFonts w:ascii="Arial" w:cs="Arial" w:eastAsia="Arial" w:hAnsi="Arial"/>
                <w:sz w:val="21"/>
                <w:szCs w:val="21"/>
              </w:rPr>
              <w:t xml:space="preserve">Hero still selection</w:t>
            </w:r>
          </w:p>
        </w:tc>
        <w:tc>
          <w:tcPr>
            <w:tcW w:type="dxa" w:w="57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before="40"/>
            </w:pPr>
            <w:r>
              <w:rPr>
                <w:rFonts w:ascii="Arial" w:cs="Arial" w:eastAsia="Arial" w:hAnsi="Arial"/>
                <w:sz w:val="21"/>
                <w:szCs w:val="21"/>
              </w:rPr>
              <w:t xml:space="preserve">Pick one from the candidates listed (Shot 21, Shots 30–32, or another)</w:t>
            </w:r>
          </w:p>
        </w:tc>
      </w:tr>
      <w:tr>
        <w:tc>
          <w:tcPr>
            <w:tcW w:type="dxa" w:w="600"/>
            <w:tcBorders>
              <w:top w:val="single" w:color="CCCCCC" w:sz="4"/>
              <w:left w:val="single" w:color="CCCCCC" w:sz="4"/>
              <w:bottom w:val="single" w:color="CCCCCC" w:sz="4"/>
              <w:right w:val="single" w:color="CCCCCC" w:sz="4"/>
            </w:tcBorders>
            <w:shd w:fill="F4F8FC" w:val="clear"/>
            <w:tcMar>
              <w:top w:type="dxa" w:w="100"/>
              <w:left w:type="dxa" w:w="140"/>
              <w:bottom w:type="dxa" w:w="100"/>
              <w:right w:type="dxa" w:w="140"/>
            </w:tcMar>
          </w:tcPr>
          <w:p>
            <w:pPr>
              <w:spacing w:after="40" w:before="40"/>
            </w:pPr>
            <w:r>
              <w:rPr>
                <w:rFonts w:ascii="Arial" w:cs="Arial" w:eastAsia="Arial" w:hAnsi="Arial"/>
                <w:sz w:val="21"/>
                <w:szCs w:val="21"/>
              </w:rPr>
              <w:t xml:space="preserve">4</w:t>
            </w:r>
          </w:p>
        </w:tc>
        <w:tc>
          <w:tcPr>
            <w:tcW w:type="dxa" w:w="30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before="40"/>
            </w:pPr>
            <w:r>
              <w:rPr>
                <w:rFonts w:ascii="Arial" w:cs="Arial" w:eastAsia="Arial" w:hAnsi="Arial"/>
                <w:sz w:val="21"/>
                <w:szCs w:val="21"/>
              </w:rPr>
              <w:t xml:space="preserve">Custom video poster frame</w:t>
            </w:r>
          </w:p>
        </w:tc>
        <w:tc>
          <w:tcPr>
            <w:tcW w:type="dxa" w:w="57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before="40"/>
            </w:pPr>
            <w:r>
              <w:rPr>
                <w:rFonts w:ascii="Arial" w:cs="Arial" w:eastAsia="Arial" w:hAnsi="Arial"/>
                <w:sz w:val="21"/>
                <w:szCs w:val="21"/>
              </w:rPr>
              <w:t xml:space="preserve">Should be different from the Hero still — one image to set mood, one to invite the play click</w:t>
            </w:r>
          </w:p>
        </w:tc>
      </w:tr>
      <w:tr>
        <w:tc>
          <w:tcPr>
            <w:tcW w:type="dxa" w:w="600"/>
            <w:tcBorders>
              <w:top w:val="single" w:color="CCCCCC" w:sz="4"/>
              <w:left w:val="single" w:color="CCCCCC" w:sz="4"/>
              <w:bottom w:val="single" w:color="CCCCCC" w:sz="4"/>
              <w:right w:val="single" w:color="CCCCCC" w:sz="4"/>
            </w:tcBorders>
            <w:shd w:fill="F4F8FC" w:val="clear"/>
            <w:tcMar>
              <w:top w:type="dxa" w:w="100"/>
              <w:left w:type="dxa" w:w="140"/>
              <w:bottom w:type="dxa" w:w="100"/>
              <w:right w:type="dxa" w:w="140"/>
            </w:tcMar>
          </w:tcPr>
          <w:p>
            <w:pPr>
              <w:spacing w:after="40" w:before="40"/>
            </w:pPr>
            <w:r>
              <w:rPr>
                <w:rFonts w:ascii="Arial" w:cs="Arial" w:eastAsia="Arial" w:hAnsi="Arial"/>
                <w:sz w:val="21"/>
                <w:szCs w:val="21"/>
              </w:rPr>
              <w:t xml:space="preserve">5</w:t>
            </w:r>
          </w:p>
        </w:tc>
        <w:tc>
          <w:tcPr>
            <w:tcW w:type="dxa" w:w="30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before="40"/>
            </w:pPr>
            <w:r>
              <w:rPr>
                <w:rFonts w:ascii="Arial" w:cs="Arial" w:eastAsia="Arial" w:hAnsi="Arial"/>
                <w:sz w:val="21"/>
                <w:szCs w:val="21"/>
              </w:rPr>
              <w:t xml:space="preserve">Confirm runtime, festival/screening history</w:t>
            </w:r>
          </w:p>
        </w:tc>
        <w:tc>
          <w:tcPr>
            <w:tcW w:type="dxa" w:w="57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before="40"/>
            </w:pPr>
            <w:r>
              <w:rPr>
                <w:rFonts w:ascii="Arial" w:cs="Arial" w:eastAsia="Arial" w:hAnsi="Arial"/>
                <w:sz w:val="21"/>
                <w:szCs w:val="21"/>
              </w:rPr>
              <w:t xml:space="preserve">If the film has been shown anywhere besides Bilibili, list it; if not, omit cleanly</w:t>
            </w:r>
          </w:p>
        </w:tc>
      </w:tr>
      <w:tr>
        <w:tc>
          <w:tcPr>
            <w:tcW w:type="dxa" w:w="600"/>
            <w:tcBorders>
              <w:top w:val="single" w:color="CCCCCC" w:sz="4"/>
              <w:left w:val="single" w:color="CCCCCC" w:sz="4"/>
              <w:bottom w:val="single" w:color="CCCCCC" w:sz="4"/>
              <w:right w:val="single" w:color="CCCCCC" w:sz="4"/>
            </w:tcBorders>
            <w:shd w:fill="F4F8FC" w:val="clear"/>
            <w:tcMar>
              <w:top w:type="dxa" w:w="100"/>
              <w:left w:type="dxa" w:w="140"/>
              <w:bottom w:type="dxa" w:w="100"/>
              <w:right w:type="dxa" w:w="140"/>
            </w:tcMar>
          </w:tcPr>
          <w:p>
            <w:pPr>
              <w:spacing w:after="40" w:before="40"/>
            </w:pPr>
            <w:r>
              <w:rPr>
                <w:rFonts w:ascii="Arial" w:cs="Arial" w:eastAsia="Arial" w:hAnsi="Arial"/>
                <w:sz w:val="21"/>
                <w:szCs w:val="21"/>
              </w:rPr>
              <w:t xml:space="preserve">6</w:t>
            </w:r>
          </w:p>
        </w:tc>
        <w:tc>
          <w:tcPr>
            <w:tcW w:type="dxa" w:w="30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before="40"/>
            </w:pPr>
            <w:r>
              <w:rPr>
                <w:rFonts w:ascii="Arial" w:cs="Arial" w:eastAsia="Arial" w:hAnsi="Arial"/>
                <w:sz w:val="21"/>
                <w:szCs w:val="21"/>
              </w:rPr>
              <w:t xml:space="preserve">Thesis paper as a clean PDF</w:t>
            </w:r>
          </w:p>
        </w:tc>
        <w:tc>
          <w:tcPr>
            <w:tcW w:type="dxa" w:w="57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before="40"/>
            </w:pPr>
            <w:r>
              <w:rPr>
                <w:rFonts w:ascii="Arial" w:cs="Arial" w:eastAsia="Arial" w:hAnsi="Arial"/>
                <w:sz w:val="21"/>
                <w:szCs w:val="21"/>
              </w:rPr>
              <w:t xml:space="preserve">With a 2–3 sentence English abstract surfaced on the page</w:t>
            </w:r>
          </w:p>
        </w:tc>
      </w:tr>
      <w:tr>
        <w:tc>
          <w:tcPr>
            <w:tcW w:type="dxa" w:w="600"/>
            <w:tcBorders>
              <w:top w:val="single" w:color="CCCCCC" w:sz="4"/>
              <w:left w:val="single" w:color="CCCCCC" w:sz="4"/>
              <w:bottom w:val="single" w:color="CCCCCC" w:sz="4"/>
              <w:right w:val="single" w:color="CCCCCC" w:sz="4"/>
            </w:tcBorders>
            <w:shd w:fill="F4F8FC" w:val="clear"/>
            <w:tcMar>
              <w:top w:type="dxa" w:w="100"/>
              <w:left w:type="dxa" w:w="140"/>
              <w:bottom w:type="dxa" w:w="100"/>
              <w:right w:type="dxa" w:w="140"/>
            </w:tcMar>
          </w:tcPr>
          <w:p>
            <w:pPr>
              <w:spacing w:after="40" w:before="40"/>
            </w:pPr>
            <w:r>
              <w:rPr>
                <w:rFonts w:ascii="Arial" w:cs="Arial" w:eastAsia="Arial" w:hAnsi="Arial"/>
                <w:sz w:val="21"/>
                <w:szCs w:val="21"/>
              </w:rPr>
              <w:t xml:space="preserve">7</w:t>
            </w:r>
          </w:p>
        </w:tc>
        <w:tc>
          <w:tcPr>
            <w:tcW w:type="dxa" w:w="30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before="40"/>
            </w:pPr>
            <w:r>
              <w:rPr>
                <w:rFonts w:ascii="Arial" w:cs="Arial" w:eastAsia="Arial" w:hAnsi="Arial"/>
                <w:sz w:val="21"/>
                <w:szCs w:val="21"/>
              </w:rPr>
              <w:t xml:space="preserve">Decide on Case 3 (Iron House) format</w:t>
            </w:r>
          </w:p>
        </w:tc>
        <w:tc>
          <w:tcPr>
            <w:tcW w:type="dxa" w:w="57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before="40"/>
            </w:pPr>
            <w:r>
              <w:rPr>
                <w:rFonts w:ascii="Arial" w:cs="Arial" w:eastAsia="Arial" w:hAnsi="Arial"/>
                <w:sz w:val="21"/>
                <w:szCs w:val="21"/>
              </w:rPr>
              <w:t xml:space="preserve">Strong recommendation for a ~3-second looping clip rather than a still — the shot's power is in its transformation, which a still cannot capture</w:t>
            </w:r>
          </w:p>
        </w:tc>
      </w:tr>
      <w:tr>
        <w:tc>
          <w:tcPr>
            <w:tcW w:type="dxa" w:w="600"/>
            <w:tcBorders>
              <w:top w:val="single" w:color="CCCCCC" w:sz="4"/>
              <w:left w:val="single" w:color="CCCCCC" w:sz="4"/>
              <w:bottom w:val="single" w:color="CCCCCC" w:sz="4"/>
              <w:right w:val="single" w:color="CCCCCC" w:sz="4"/>
            </w:tcBorders>
            <w:shd w:fill="F4F8FC" w:val="clear"/>
            <w:tcMar>
              <w:top w:type="dxa" w:w="100"/>
              <w:left w:type="dxa" w:w="140"/>
              <w:bottom w:type="dxa" w:w="100"/>
              <w:right w:type="dxa" w:w="140"/>
            </w:tcMar>
          </w:tcPr>
          <w:p>
            <w:pPr>
              <w:spacing w:after="40" w:before="40"/>
            </w:pPr>
            <w:r>
              <w:rPr>
                <w:rFonts w:ascii="Arial" w:cs="Arial" w:eastAsia="Arial" w:hAnsi="Arial"/>
                <w:sz w:val="21"/>
                <w:szCs w:val="21"/>
              </w:rPr>
              <w:t xml:space="preserve">8</w:t>
            </w:r>
          </w:p>
        </w:tc>
        <w:tc>
          <w:tcPr>
            <w:tcW w:type="dxa" w:w="30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before="40"/>
            </w:pPr>
            <w:r>
              <w:rPr>
                <w:rFonts w:ascii="Arial" w:cs="Arial" w:eastAsia="Arial" w:hAnsi="Arial"/>
                <w:sz w:val="21"/>
                <w:szCs w:val="21"/>
              </w:rPr>
              <w:t xml:space="preserve">Health portfolio site design tokens</w:t>
            </w:r>
          </w:p>
        </w:tc>
        <w:tc>
          <w:tcPr>
            <w:tcW w:type="dxa" w:w="57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before="40"/>
            </w:pPr>
            <w:r>
              <w:rPr>
                <w:rFonts w:ascii="Arial" w:cs="Arial" w:eastAsia="Arial" w:hAnsi="Arial"/>
                <w:sz w:val="21"/>
                <w:szCs w:val="21"/>
              </w:rPr>
              <w:t xml:space="preserve">Same requirement as the Shui's Odyssey page — alignment of the outer frame</w:t>
            </w:r>
          </w:p>
        </w:tc>
      </w:tr>
    </w:tbl>
    <w:p>
      <w:pPr>
        <w:pBdr>
          <w:bottom w:val="single" w:color="CCCCCC" w:sz="6" w:space="1"/>
        </w:pBdr>
        <w:spacing w:after="200" w:before="200"/>
      </w:pPr>
      <w:r>
        <w:t xml:space="preserve"/>
      </w:r>
    </w:p>
    <w:p>
      <w:pPr>
        <w:pStyle w:val="Heading1"/>
        <w:spacing w:after="200" w:before="360"/>
      </w:pPr>
      <w:r>
        <w:rPr>
          <w:rFonts w:ascii="Arial" w:cs="Arial" w:eastAsia="Arial" w:hAnsi="Arial"/>
          <w:b/>
          <w:bCs/>
          <w:color w:val="1A1A1A"/>
          <w:sz w:val="36"/>
          <w:szCs w:val="36"/>
        </w:rPr>
        <w:t xml:space="preserve">VII. Summary</w:t>
      </w:r>
    </w:p>
    <w:p>
      <w:pPr>
        <w:spacing w:after="80" w:before="80" w:line="320"/>
      </w:pPr>
      <w:r>
        <w:rPr>
          <w:rFonts w:ascii="Arial" w:cs="Arial" w:eastAsia="Arial" w:hAnsi="Arial"/>
          <w:sz w:val="22"/>
          <w:szCs w:val="22"/>
        </w:rPr>
        <w:t xml:space="preserve">This page exists to demonstrate one capability that Health Tech consistently needs and consistently underweights: visual translation of complex content.</w:t>
      </w:r>
    </w:p>
    <w:p>
      <w:pPr>
        <w:spacing w:after="80" w:before="80" w:line="320"/>
      </w:pPr>
      <w:r>
        <w:rPr>
          <w:rFonts w:ascii="Arial" w:cs="Arial" w:eastAsia="Arial" w:hAnsi="Arial"/>
          <w:sz w:val="22"/>
          <w:szCs w:val="22"/>
        </w:rPr>
        <w:t xml:space="preserve">The page succeeds if a Health Tech reader, after three minutes on it, can finish the following sentence in their own words:</w:t>
      </w:r>
    </w:p>
    <w:p>
      <w:pPr>
        <w:spacing w:after="120" w:before="120" w:line="320"/>
        <w:jc w:val="center"/>
      </w:pPr>
      <w:r>
        <w:rPr>
          <w:rFonts w:ascii="Arial" w:cs="Arial" w:eastAsia="Arial" w:hAnsi="Arial"/>
          <w:i/>
          <w:iCs/>
          <w:color w:val="1F4E79"/>
          <w:sz w:val="24"/>
          <w:szCs w:val="24"/>
        </w:rPr>
        <w:t xml:space="preserve">“This candidate can take something I think is too complicated to communicate to a general audience, and they can communicate it.”</w:t>
      </w:r>
    </w:p>
    <w:p>
      <w:pPr>
        <w:spacing w:after="80" w:before="80" w:line="320"/>
      </w:pPr>
      <w:r>
        <w:rPr>
          <w:rFonts w:ascii="Arial" w:cs="Arial" w:eastAsia="Arial" w:hAnsi="Arial"/>
          <w:sz w:val="22"/>
          <w:szCs w:val="22"/>
        </w:rPr>
        <w:t xml:space="preserve"/>
      </w:r>
    </w:p>
    <w:p>
      <w:pPr>
        <w:spacing w:after="80" w:before="80" w:line="320"/>
      </w:pPr>
      <w:r>
        <w:rPr>
          <w:rFonts w:ascii="Arial" w:cs="Arial" w:eastAsia="Arial" w:hAnsi="Arial"/>
          <w:sz w:val="22"/>
          <w:szCs w:val="22"/>
        </w:rPr>
        <w:t xml:space="preserve">The page fails if it reads as a film-school portfolio piece. Every section is structured to prevent that failure mode — the shot-cases especially, which translate film craft into terms (source-grounded reasoning, image-logic carrying argumentative logic, multi-source visual synthesis) that map directly onto Health Tech work.</w:t>
      </w:r>
    </w:p>
    <w:p>
      <w:pPr>
        <w:spacing w:after="80" w:before="80" w:line="320"/>
      </w:pPr>
      <w:r>
        <w:rPr>
          <w:rFonts w:ascii="Arial" w:cs="Arial" w:eastAsia="Arial" w:hAnsi="Arial"/>
          <w:sz w:val="22"/>
          <w:szCs w:val="22"/>
        </w:rPr>
        <w:t xml:space="preserve">With the open items resolved, the page is ready to enter build, paired with the Shui's Odyssey case study as the second of two anchor projects.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1A1A"/>
      <w:sz w:val="36"/>
      <w:szCs w:val="36"/>
    </w:rPr>
  </w:style>
  <w:style w:type="paragraph" w:styleId="Heading2">
    <w:name w:val="Heading 2"/>
    <w:basedOn w:val="Normal"/>
    <w:next w:val="Normal"/>
    <w:qFormat/>
    <w:pPr>
      <w:spacing w:after="140" w:before="280"/>
      <w:outlineLvl w:val="1"/>
    </w:pPr>
    <w:rPr>
      <w:rFonts w:ascii="Arial" w:cs="Arial" w:eastAsia="Arial" w:hAnsi="Arial"/>
      <w:b/>
      <w:bCs/>
      <w:color w:val="1A1A1A"/>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1F4E7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2026-04-30T17:05:56.083Z</dcterms:created>
  <dcterms:modified xsi:type="dcterms:W3CDTF">2026-04-30T17:05:56.100Z</dcterms:modified>
</cp:coreProperties>
</file>

<file path=docProps/custom.xml><?xml version="1.0" encoding="utf-8"?>
<Properties xmlns="http://schemas.openxmlformats.org/officeDocument/2006/custom-properties" xmlns:vt="http://schemas.openxmlformats.org/officeDocument/2006/docPropsVTypes"/>
</file>