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sz w:val="40"/>
          <w:szCs w:val="40"/>
        </w:rPr>
        <w:t xml:space="preserve">機器學習期末專題報告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情緒聲量投資交易</w:t>
      </w:r>
    </w:p>
    <w:p>
      <w:pPr>
        <w:spacing w:after="600"/>
        <w:jc w:val="center"/>
      </w:pPr>
      <w:r>
        <w:rPr>
          <w:sz w:val="24"/>
          <w:szCs w:val="24"/>
        </w:rPr>
        <w:t xml:space="preserve">以 PTT 股票版 GPT 情緒標註預測台積電(2330)隔日漲跌之量化交易策略</w:t>
      </w:r>
    </w:p>
    <w:p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Sentiment-Volume Quantitative Trading with Machine Learning</w:t>
      </w:r>
    </w:p>
    <w:p>
      <w:pPr>
        <w:spacing w:after="80" w:before="1000"/>
        <w:jc w:val="center"/>
      </w:pPr>
      <w:r>
        <w:rPr>
          <w:sz w:val="22"/>
          <w:szCs w:val="22"/>
        </w:rPr>
        <w:t xml:space="preserve">監督式模型：Logistic Regression、Random Forest</w:t>
      </w:r>
    </w:p>
    <w:p>
      <w:pPr>
        <w:spacing w:after="80"/>
        <w:jc w:val="center"/>
      </w:pPr>
      <w:r>
        <w:rPr>
          <w:sz w:val="22"/>
          <w:szCs w:val="22"/>
        </w:rPr>
        <w:t xml:space="preserve">非監督式模型：K-Means 分群、PCA 降維</w:t>
      </w:r>
    </w:p>
    <w:p>
      <w:pPr>
        <w:spacing w:after="80" w:before="900"/>
        <w:jc w:val="center"/>
      </w:pPr>
      <w:r>
        <w:rPr>
          <w:sz w:val="24"/>
          <w:szCs w:val="24"/>
        </w:rPr>
        <w:t xml:space="preserve">報告日期：2026 年 6 月 22 日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組員分工貢獻</w:t>
      </w:r>
    </w:p>
    <w:p>
      <w:pPr>
        <w:spacing w:after="120" w:line="300"/>
      </w:pPr>
      <w:r>
        <w:rPr>
          <w:sz w:val="22"/>
          <w:szCs w:val="22"/>
        </w:rPr>
        <w:t xml:space="preserve">（請依實際組員填寫姓名與學號）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組員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學號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主要分工貢獻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組員 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（學號）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資料收集、資料清洗與前處理、探索式資料分析(EDA)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組員 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（學號）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特徵工程、特徵選擇與降維、監督式模型訓練與調參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組員 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（學號）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模型評估、非監督分群、回測應用、書面報告與投影片</w:t>
            </w:r>
          </w:p>
        </w:tc>
      </w:tr>
    </w:tbl>
    <w:p>
      <w:pPr>
        <w:pStyle w:val="Heading1"/>
      </w:pPr>
      <w:r>
        <w:t xml:space="preserve">摘要</w:t>
      </w:r>
    </w:p>
    <w:p>
      <w:pPr>
        <w:spacing w:after="120" w:line="300"/>
      </w:pPr>
      <w:r>
        <w:rPr>
          <w:sz w:val="22"/>
          <w:szCs w:val="22"/>
        </w:rPr>
        <w:t xml:space="preserve">本專題以「情緒聲量」作為投資決策訊號，研究 PTT 股票版的網路討論熱度與情緒，是否能預測台灣權值龍頭台積電（2330.TW）的隔日漲跌。資料結合兩部分：(1) PTT 股票版貼文經大型語言模型（GPT-3.5-turbo 與 gpt-4o-mini）逐篇情緒標註後，依股票與交易日彙總而成的「情緒聲量」資料；(2) 透過 yfinance 取得的台積電日線價格。時間涵蓋 2019 至 2025 年，共 1,692 個建模樣本。</w:t>
      </w:r>
    </w:p>
    <w:p>
      <w:pPr>
        <w:spacing w:after="120" w:line="300"/>
      </w:pPr>
      <w:r>
        <w:rPr>
          <w:sz w:val="22"/>
          <w:szCs w:val="22"/>
        </w:rPr>
        <w:t xml:space="preserve">本專題完整實作機器學習流程：資料清洗、特徵縮放、EDA、特徵工程（建構／選擇／PCA 降維）、模型訓練（時間序列分割、TimeSeriesSplit 交叉驗證、GridSearch 調參）、效能評估（混淆矩陣、ROC-AUC、PR 曲線、可解釋性）、K-Means 非監督分群，最後以回測驗證策略。結果顯示：隨機森林測試集 ROC-AUC 約 0.56，優於隨機(0.5)與邏輯迴歸；回測中情緒聲量策略的總報酬（68.8%）雖略低於買進持有（73.9%），但夏普值（2.31）遠勝買進持有（1.46）、最大回撤（−10%）也遠優於買進持有（−30%），顯示情緒訊號的核心價值在於風險控管。</w:t>
      </w:r>
    </w:p>
    <w:p>
      <w:r>
        <w:br w:type="page"/>
      </w:r>
    </w:p>
    <w:p>
      <w:pPr>
        <w:pStyle w:val="Heading1"/>
      </w:pPr>
      <w:r>
        <w:t xml:space="preserve">一、專題簡介與選題動機</w:t>
      </w:r>
    </w:p>
    <w:p>
      <w:pPr>
        <w:spacing w:after="120" w:line="300"/>
      </w:pPr>
      <w:r>
        <w:rPr>
          <w:sz w:val="22"/>
          <w:szCs w:val="22"/>
        </w:rPr>
        <w:t xml:space="preserve">傳統量化交易多以價格與成交量等技術面資料為主，但近年「行為財務學」指出，散戶情緒與市場關注度（聲量）對短期股價有顯著影響。PTT 股票版是台灣最大的散戶討論社群之一，其貼文情緒與討論熱度可視為市場情緒的即時溫度計。</w:t>
      </w:r>
    </w:p>
    <w:p>
      <w:pPr>
        <w:spacing w:after="120" w:line="300"/>
      </w:pPr>
      <w:r>
        <w:rPr>
          <w:sz w:val="22"/>
          <w:szCs w:val="22"/>
        </w:rPr>
        <w:t xml:space="preserve">本專題的核心問題是：能否讓機器學習模型從「開盤前」的 PTT 情緒聲量中，學會判斷台積電當日的漲跌方向，並轉化為可回測的交易策略？我們選擇台積電，因其為 PTT 討論度最高（資料中總貼文量達 30,303 篇、居 50 檔之冠）、流動性佳、且具市場代表性。</w:t>
      </w:r>
    </w:p>
    <w:p>
      <w:pPr>
        <w:pStyle w:val="Heading1"/>
      </w:pPr>
      <w:r>
        <w:t xml:space="preserve">二、資料收集（Data Collection）</w:t>
      </w:r>
    </w:p>
    <w:p>
      <w:pPr>
        <w:pStyle w:val="Heading2"/>
      </w:pPr>
      <w:r>
        <w:t xml:space="preserve">2.1 資料來源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情緒聲量資料：PTT 股票版貼文，經 GPT-3.5-turbo 與 gpt-4o-mini 兩個大型語言模型逐篇做情緒分類（正面／中性／負面），再依「股票代號 × 交易日」彙總每日的貼文數與情緒分數。提供 0000（全日）與 0900（開盤前 9 點）兩種時間切點。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股價資料：Yahoo Finance，透過 yfinance 套件下載台積電 2330.TW 日線（開高低收量）。</w:t>
      </w:r>
    </w:p>
    <w:p>
      <w:pPr>
        <w:pStyle w:val="Heading2"/>
      </w:pPr>
      <w:r>
        <w:t xml:space="preserve">2.2 資料型態、問題定義與目標變數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資料型態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結構化資料（CSV 情緒聲量彙總 + 價格時間序列）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任務型態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監督式二元分類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目標變數 target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= 隔日收盤上漲；0 = 下跌或持平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目標分布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跌 50.7% / 漲 49.3%（接近平衡，輕微不平衡）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樣本數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1,692 個交易日（2019–2025）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特徵時點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採 0900 開盤前版本，避免未來函數(look-ahead bias)</w:t>
            </w:r>
          </w:p>
        </w:tc>
      </w:tr>
    </w:tbl>
    <w:p>
      <w:pPr>
        <w:pStyle w:val="Heading2"/>
      </w:pPr>
      <w:r>
        <w:t xml:space="preserve">2.3 資料倫理</w:t>
      </w:r>
    </w:p>
    <w:p>
      <w:pPr>
        <w:spacing w:after="120" w:line="300"/>
      </w:pPr>
      <w:r>
        <w:rPr>
          <w:sz w:val="22"/>
          <w:szCs w:val="22"/>
        </w:rPr>
        <w:t xml:space="preserve">PTT 為公開論壇，本資料已彙總為每日統計數字，不含使用者帳號或任何可識別個資；情緒標註由 LLM 自動產生，僅供本課程學術研究使用，未作商業用途。</w:t>
      </w:r>
    </w:p>
    <w:p>
      <w:pPr>
        <w:pStyle w:val="Heading2"/>
      </w:pPr>
      <w:r>
        <w:t xml:space="preserve">2.4 資料集簡介表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3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trading_date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日期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交易日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sum_count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整數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當日貼文總數（聲量）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positive/neutral/negative_count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整數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正／中／負面貼文數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daily_mean_score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浮點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當日情緒均分（約 −0.7 ~ +0.8）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positive_count/sum_count 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浮點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各情緒佔比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Open/High/Low/Close/Volume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數值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台積電當日開高低收量</w:t>
            </w:r>
          </w:p>
        </w:tc>
      </w:tr>
    </w:tbl>
    <w:p>
      <w:pPr>
        <w:pStyle w:val="Heading1"/>
      </w:pPr>
      <w:r>
        <w:t xml:space="preserve">三、資料前處理（Data Preprocessing）</w:t>
      </w:r>
    </w:p>
    <w:p>
      <w:pPr>
        <w:pStyle w:val="Heading2"/>
      </w:pPr>
      <w:r>
        <w:t xml:space="preserve">3.1 資料清洗（缺失值／重複值／異常值）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缺失值：情緒彙總資料經檢查無任何缺失值（0 筆）。價格與情緒合併後，因滾動特徵在序列前段產生的 NaN 一併移除。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重複值：以交易日為主鍵檢查，無重複日期。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異常值：聲量 sum_count 右偏，以 IQR 法偵測（上界約 41.5），約 5.6% 為高聲量日。我們選擇「保留」，因為爆量日通常對應重大事件，正是策略最關注的訊號，不應刪除；改以 log 轉換降低其對模型的過度影響。</w:t>
      </w:r>
    </w:p>
    <w:p>
      <w:pPr>
        <w:pStyle w:val="Heading2"/>
      </w:pPr>
      <w:r>
        <w:t xml:space="preserve">3.2 特徵縮放（Feature Scaling）</w:t>
      </w:r>
    </w:p>
    <w:p>
      <w:pPr>
        <w:spacing w:after="120" w:line="300"/>
      </w:pPr>
      <w:r>
        <w:rPr>
          <w:sz w:val="22"/>
          <w:szCs w:val="22"/>
        </w:rPr>
        <w:t xml:space="preserve">Logistic Regression 對特徵尺度敏感，採用 StandardScaler 標準化（僅以訓練集 fit，避免資料洩漏）。Random Forest 為樹模型，分裂點不受單調縮放影響，故不需縮放；K-Means 基於歐氏距離則另行標準化。</w:t>
      </w:r>
    </w:p>
    <w:p>
      <w:pPr>
        <w:pStyle w:val="Heading2"/>
      </w:pPr>
      <w:r>
        <w:t xml:space="preserve">3.3 類別資料編碼（Categorical Encoding）</w:t>
      </w:r>
    </w:p>
    <w:p>
      <w:pPr>
        <w:spacing w:after="120" w:line="300"/>
      </w:pPr>
      <w:r>
        <w:rPr>
          <w:sz w:val="22"/>
          <w:szCs w:val="22"/>
        </w:rPr>
        <w:t xml:space="preserve">本資料特徵幾乎全為數值型，無需 One-Hot 或 Label Encoding。唯一的「類別來源」是兩個 GPT 模型，我們未直接編碼，而是將其轉換為「兩模型情緒分歧度」這個有意義的數值特徵（model_disagree）。</w:t>
      </w:r>
    </w:p>
    <w:p>
      <w:pPr>
        <w:pStyle w:val="Heading2"/>
      </w:pPr>
      <w:r>
        <w:t xml:space="preserve">3.4 探索式資料分析（EDA）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eda_dist.png" descr="eda_dist.png" title="eda_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1：每日聲量與情緒均分的分布</w:t>
      </w:r>
    </w:p>
    <w:p>
      <w:pPr>
        <w:spacing w:after="120" w:line="300"/>
      </w:pPr>
      <w:r>
        <w:rPr>
          <w:sz w:val="22"/>
          <w:szCs w:val="22"/>
        </w:rPr>
        <w:t xml:space="preserve">觀察：聲量明顯右偏（多數日 10–20 篇、少數爆量日達 200+），故採 log 轉換；情緒均分集中於 0 附近、略偏正，反映 PTT 對台積電整體情緒中性偏多。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eda_box.png" descr="eda_box.png" title="eda_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2：聲量／情緒 對隔日漲跌的箱型圖</w:t>
      </w:r>
    </w:p>
    <w:p>
      <w:pPr>
        <w:spacing w:after="120" w:line="300"/>
      </w:pPr>
      <w:r>
        <w:rPr>
          <w:sz w:val="22"/>
          <w:szCs w:val="22"/>
        </w:rPr>
        <w:t xml:space="preserve">觀察：上漲日的當日情緒均分中位數略高於下跌日，但兩者分布重疊嚴重，顯示單一特徵難以準確預測隔日方向。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eda_corr.png" descr="eda_corr.png" title="eda_co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3：特徵相關矩陣熱力圖</w:t>
      </w:r>
    </w:p>
    <w:p>
      <w:pPr>
        <w:spacing w:after="120" w:line="300"/>
      </w:pPr>
      <w:r>
        <w:rPr>
          <w:sz w:val="22"/>
          <w:szCs w:val="22"/>
        </w:rPr>
        <w:t xml:space="preserve">觀察：所有情緒特徵與 target 的相關係數皆很低（|r| &lt; 0.07），符合「股市隔日方向高雜訊」的金融常識；聲量類特徵彼此高度相關（多重共線性），對線性模型不利、對樹模型影響較小。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eda_timeseries.png" descr="eda_timeseries.png" title="eda_timeser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4：台積電股價 vs PTT 聲量 時間序列</w:t>
      </w:r>
    </w:p>
    <w:p>
      <w:pPr>
        <w:spacing w:after="120" w:line="300"/>
      </w:pPr>
      <w:r>
        <w:rPr>
          <w:sz w:val="22"/>
          <w:szCs w:val="22"/>
        </w:rPr>
        <w:t xml:space="preserve">觀察：聲量在大跌或大漲時明顯放大（如 2020 年疫情、2022 年空頭），聲量爆量常伴隨高波動，呼應「聲量＝市場情緒強度」的假設。</w:t>
      </w:r>
    </w:p>
    <w:p>
      <w:pPr>
        <w:pStyle w:val="Heading1"/>
      </w:pPr>
      <w:r>
        <w:t xml:space="preserve">四、特徵工程（Feature Engineering）</w:t>
      </w:r>
    </w:p>
    <w:p>
      <w:pPr>
        <w:pStyle w:val="Heading2"/>
      </w:pPr>
      <w:r>
        <w:t xml:space="preserve">4.1 特徵建構</w:t>
      </w:r>
    </w:p>
    <w:p>
      <w:pPr>
        <w:spacing w:after="120" w:line="300"/>
      </w:pPr>
      <w:r>
        <w:rPr>
          <w:sz w:val="22"/>
          <w:szCs w:val="22"/>
        </w:rPr>
        <w:t xml:space="preserve">依領域知識，把原始聲量／情緒轉成更具預測力的 15 個特徵：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特徵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buzz_log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聲量取 log1p（修正右偏，數學轉換）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buzz_ma3 / buzz_ma5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聲量 3 日／5 日移動平均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buzz_mom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聲量動能＝今日聲量 / 5 日均（討論熱度突升）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score_ma3 / score_mom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情緒 3 日均 / 情緒動能（今日−3日均）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pos_ratio / neg_ratio / neu_ratio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正／負／中性貼文佔比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pos_neg_diff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正負情緒淨值（pos_ratio − neg_ratio）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model_disagree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兩 GPT 模型情緒分數差（標註不確定性）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ret_prev / vol_chg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前一日報酬、量能比（價格輔助特徵）</w:t>
            </w:r>
          </w:p>
        </w:tc>
      </w:tr>
    </w:tbl>
    <w:p>
      <w:pPr>
        <w:pStyle w:val="Heading2"/>
      </w:pPr>
      <w:r>
        <w:t xml:space="preserve">4.2 特徵選擇</w:t>
      </w:r>
    </w:p>
    <w:p>
      <w:pPr>
        <w:spacing w:after="120" w:line="300"/>
      </w:pPr>
      <w:r>
        <w:rPr>
          <w:sz w:val="22"/>
          <w:szCs w:val="22"/>
        </w:rPr>
        <w:t xml:space="preserve">以三種方法交叉檢視：互信息（Filter）、RFE（Wrapper）、樹模型重要性（Embedded）。互信息顯示情緒動能類（score_ma3、pos_neg_diff）資訊量最高；RFE 選出 8 個以情緒為主的特徵。最終保留全部 15 個特徵交給隨機森林（其具內建特徵選擇能力），並以特徵重要性事後檢驗。</w:t>
      </w:r>
    </w:p>
    <w:p>
      <w:pPr>
        <w:pStyle w:val="Heading2"/>
      </w:pPr>
      <w:r>
        <w:t xml:space="preserve">4.3 特徵提取／降維（PCA）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2400300"/>
            <wp:effectExtent t="0" r="0" b="0" l="0"/>
            <wp:docPr id="1" name="pca_var.png" descr="pca_var.png" title="pca_v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5：PCA 累積解釋變異</w:t>
      </w:r>
    </w:p>
    <w:p>
      <w:pPr>
        <w:spacing w:after="120" w:line="300"/>
      </w:pPr>
      <w:r>
        <w:rPr>
          <w:sz w:val="22"/>
          <w:szCs w:val="22"/>
        </w:rPr>
        <w:t xml:space="preserve">前 2 個主成分解釋約 56% 變異，達 90% 需 7 個主成分；2D 投影中漲／跌樣本高度重疊，印證線性可分性低，故主力採用非線性的隨機森林。</w:t>
      </w:r>
    </w:p>
    <w:p>
      <w:pPr>
        <w:pStyle w:val="Heading1"/>
      </w:pPr>
      <w:r>
        <w:t xml:space="preserve">五、模型訓練（Model Training）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5.1 模型選擇：以 DummyClassifier（多數類別）為 Baseline；Logistic Regression（線性、可解釋）與 Random Forest（非線性、抗雜訊）為主力模型。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5.2 資料分割：時間序列資料，依時間順序取前 80%（1,353 筆）訓練、後 20%（339 筆）測試，嚴禁隨機打亂以免「用未來預測過去」。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5.3 交叉驗證：採 TimeSeriesSplit（5 折），確保每折驗證集都在訓練集之後。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5.4 超參數調校：GridSearchCV 以 ROC-AUC 為評分。隨機森林最佳參數為 max_depth=3、min_samples_leaf=10、n_estimators=300（淺樹避免過擬合）；邏輯迴歸最佳 C=0.01（強正則化）。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5.5 類別不平衡：隔日漲跌約 49/51，輕微不平衡，統一設定 class_weight="balanced"。</w:t>
      </w:r>
    </w:p>
    <w:p>
      <w:pPr>
        <w:pStyle w:val="Heading2"/>
      </w:pPr>
      <w:r>
        <w:t xml:space="preserve">5.6 實驗記錄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交叉驗證 ROC-AUC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最佳超參數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Baseline（多數類別）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0.500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0.502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 = 0.01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0.553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depth=3, leaf=10, n=300</w:t>
            </w:r>
          </w:p>
        </w:tc>
      </w:tr>
    </w:tbl>
    <w:p>
      <w:pPr>
        <w:pStyle w:val="Heading1"/>
      </w:pPr>
      <w:r>
        <w:t xml:space="preserve">六、模型效能評估（Model Evaluation）</w:t>
      </w:r>
    </w:p>
    <w:p>
      <w:pPr>
        <w:spacing w:after="120" w:line="300"/>
      </w:pPr>
      <w:r>
        <w:rPr>
          <w:sz w:val="22"/>
          <w:szCs w:val="22"/>
        </w:rPr>
        <w:t xml:space="preserve">分類任務以 ROC-AUC 為主指標（對門檻不敏感、適合近平衡資料），輔以混淆矩陣、Precision／Recall／F1 與 PR 曲線。</w:t>
      </w:r>
    </w:p>
    <w:p>
      <w:pPr>
        <w:pStyle w:val="Heading2"/>
      </w:pPr>
      <w:r>
        <w:t xml:space="preserve">6.1 模型比較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300"/>
        <w:gridCol w:w="19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 / ROC-AUC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Baseline（多數類別）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0.507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0.000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0.000 / 0.500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0.519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0.516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0.389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0.444 / 0.533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Random Forest（最佳）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0.540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0.537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0.473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0.503 / 0.561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Random Forest 在所有指標皆最佳，明顯優於 Baseline 與線性模型；但 AUC 僅略高於 0.5，說明情緒聲量對隔日方向具備「微弱但真實」的預測力——這在效率市場下其實是合理且誠實的結果。</w:t>
      </w:r>
    </w:p>
    <w:p>
      <w:pPr>
        <w:pStyle w:val="Heading2"/>
      </w:pPr>
      <w:r>
        <w:t xml:space="preserve">6.2 混淆矩陣與 ROC／PR 曲線</w:t>
      </w:r>
    </w:p>
    <w:p>
      <w:pPr>
        <w:spacing w:after="40" w:before="80"/>
        <w:jc w:val="center"/>
      </w:pPr>
      <w:r>
        <w:drawing>
          <wp:inline distT="0" distB="0" distL="0" distR="0">
            <wp:extent cx="3048000" cy="2590800"/>
            <wp:effectExtent t="0" r="0" b="0" l="0"/>
            <wp:docPr id="1" name="confusion.png" descr="confusion.png" title="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6：Random Forest 混淆矩陣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roc.png" descr="roc.png" title="r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7：ROC 曲線（左）與 PR 曲線（右）模型比較</w:t>
      </w:r>
    </w:p>
    <w:p>
      <w:pPr>
        <w:pStyle w:val="Heading2"/>
      </w:pPr>
      <w:r>
        <w:t xml:space="preserve">6.3 誤差分析與模型可解釋性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3133725"/>
            <wp:effectExtent t="0" r="0" b="0" l="0"/>
            <wp:docPr id="1" name="importance.png" descr="importance.png" title="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8：Random Forest 特徵重要性</w:t>
      </w:r>
    </w:p>
    <w:p>
      <w:pPr>
        <w:spacing w:after="120" w:line="300"/>
      </w:pPr>
      <w:r>
        <w:rPr>
          <w:sz w:val="22"/>
          <w:szCs w:val="22"/>
        </w:rPr>
        <w:t xml:space="preserve">可解釋性：情緒動能（score_ma3）、正面佔比（pos_ratio）、正負差（pos_neg_diff）為最重要特徵，符合「情緒聲量驅動」的領域直覺。誤差分析顯示：模型在盤整期（情緒中性、聲量平淡）近乎隨機，而在情緒或聲量極端的交易日較有把握——這也指引了未來可只在「高聲量」時段啟用策略。</w:t>
      </w:r>
    </w:p>
    <w:p>
      <w:pPr>
        <w:pStyle w:val="Heading1"/>
      </w:pPr>
      <w:r>
        <w:t xml:space="preserve">七、非監督學習：情緒聲量市場狀態分群（K-Means）</w:t>
      </w:r>
    </w:p>
    <w:p>
      <w:pPr>
        <w:spacing w:after="120" w:line="300"/>
      </w:pPr>
      <w:r>
        <w:rPr>
          <w:sz w:val="22"/>
          <w:szCs w:val="22"/>
        </w:rPr>
        <w:t xml:space="preserve">以聲量（log）、情緒均分、正負差、聲量動能對交易日分群，觀察不同「市場情緒狀態」的隔日表現。以肘部法則與輪廓係數決定 k=3（輪廓係數 0.29）。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kmeans_select.png" descr="kmeans_select.png" title="kmeans_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9：K-Means 分群數選擇（肘部法則與輪廓係數）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26"/>
        <w:gridCol w:w="15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群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平均聲量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平均情緒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隔日上漲率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樣本數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群0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31.6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0.066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46.0%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478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群1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12.9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−0.117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47.4%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496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群2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12.2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0.253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52.8%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718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619500" cy="2962275"/>
            <wp:effectExtent t="0" r="0" b="0" l="0"/>
            <wp:docPr id="1" name="kmeans_2d.png" descr="kmeans_2d.png" title="kmeans_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10：K-Means 情緒聲量分群（PCA 投影）</w:t>
      </w:r>
    </w:p>
    <w:p>
      <w:pPr>
        <w:spacing w:after="120" w:line="300"/>
      </w:pPr>
      <w:r>
        <w:rPr>
          <w:sz w:val="22"/>
          <w:szCs w:val="22"/>
        </w:rPr>
        <w:t xml:space="preserve">分群洞察：三群分別對應「高聲量中性（群0）」「低聲量偏空（群1）」「正面情緒（群2）」狀態。正面情緒群隔日上漲率最高（52.8%），而高聲量爆量群最低（46.0%）——印證「聲量爆量常見於恐慌追高、屬反向訊號」的市場經驗，也與隨機森林學到的規律一致。</w:t>
      </w:r>
    </w:p>
    <w:p>
      <w:pPr>
        <w:pStyle w:val="Heading1"/>
      </w:pPr>
      <w:r>
        <w:t xml:space="preserve">八、回測應用與結果討論</w:t>
      </w:r>
    </w:p>
    <w:p>
      <w:pPr>
        <w:spacing w:after="120" w:line="300"/>
      </w:pPr>
      <w:r>
        <w:rPr>
          <w:sz w:val="22"/>
          <w:szCs w:val="22"/>
        </w:rPr>
        <w:t xml:space="preserve">將隨機森林的預測轉為交易訊號：預測隔日上漲則持有一日、否則空手，在測試集（後 20%，約 2024–2025）回測，並與買進持有對照。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backtest.png" descr="backtest.png" title="back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圖 11：回測權益曲線（測試集）— 情緒聲量策略 vs 買進持有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情緒聲量策略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買進持有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總報酬率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68.76%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73.85%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夏普值 (Sharpe)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2.31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1.46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最大回撤 (Max DD)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−10.10%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−30.51%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做多日勝率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53.7%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持有天數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147 / 339 天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339 / 339 天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討論：策略總報酬略低於買進持有，但僅用 43% 的時間在場內，卻換得更高的風險調整後報酬（夏普值 2.31 vs 1.46）與大幅縮小的最大回撤（−10% vs −30%）。這代表情緒聲量訊號的真正價值在於「擇時避險」——在情緒轉差時離場、躲過大跌，而非單純追求最高報酬。</w:t>
      </w:r>
    </w:p>
    <w:p>
      <w:pPr>
        <w:pStyle w:val="Heading1"/>
      </w:pPr>
      <w:r>
        <w:t xml:space="preserve">九、結論與未來改進方向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情緒聲量對台積電隔日漲跌具備微弱但真實的預測力（Random Forest 測試集 ROC-AUC≈0.56，優於隨機與線性模型）。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風險控管價值大於方向預測：策略夏普值與最大回撤顯著優於買進持有，適合作為避險擇時訊號。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聲量為反向指標：分群顯示爆量日隔日上漲率反而偏低，符合散戶追高殺低行為。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過程困難與克服：情緒分數雜訊高 → 以動能／比例／滾動特徵強化訊號；時間序列易資料洩漏 → 全程採時間分割、TimeSeriesSplit，並僅使用開盤前資料。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未來改進：擴大到多檔股票面板資料、納入新聞與三大法人買賣超、改預測 5 日報酬、加入交易成本與停損機制。</w:t>
      </w:r>
    </w:p>
    <w:p>
      <w:r>
        <w:br w:type="page"/>
      </w:r>
    </w:p>
    <w:p>
      <w:pPr>
        <w:pStyle w:val="Heading1"/>
      </w:pPr>
      <w:r>
        <w:t xml:space="preserve">附錄 A：引用出處與資料下載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股價資料：Yahoo Finance（透過 yfinance 套件），台積電行情頁：</w:t>
      </w:r>
    </w:p>
    <w:p>
      <w:pPr>
        <w:spacing w:after="80"/>
      </w:pPr>
      <w:hyperlink w:history="1" r:id="rId7hfxroed2ptvayp63dlbv">
        <w:r>
          <w:rPr>
            <w:rStyle w:val="Hyperlink"/>
          </w:rPr>
          <w:t xml:space="preserve">https://finance.yahoo.com/quote/2330.TW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情緒聲量資料集（PTT 股票版 + GPT 情緒標註）下載連結（Google Drive）：</w:t>
      </w:r>
    </w:p>
    <w:p>
      <w:pPr>
        <w:spacing w:after="80"/>
      </w:pPr>
      <w:hyperlink w:history="1" r:id="rIdhhz8ieuabmxz2f4yr6_kl">
        <w:r>
          <w:rPr>
            <w:rStyle w:val="Hyperlink"/>
          </w:rPr>
          <w:t xml:space="preserve">https://drive.google.com/drive/folders/19Eha3DQJNC2EflvncIwGODKIUdTGg4UX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情緒標註模型：OpenAI GPT-3.5-turbo、gpt-4o-mini-2024-07-18。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程式環境以 uv 管理（pyproject.toml + uv.lock），完整程式碼見 情緒聲量投資交易.ipynb。</w:t>
      </w:r>
    </w:p>
    <w:p>
      <w:pPr>
        <w:spacing w:after="120" w:line="300"/>
      </w:pPr>
      <w:r>
        <w:rPr>
          <w:sz w:val="22"/>
          <w:szCs w:val="22"/>
        </w:rPr>
        <w:t xml:space="preserve">註：LLM 工具協作記錄另見「LLM工具協作記錄.docx」。</w:t>
      </w:r>
    </w:p>
    <w:p>
      <w:pPr>
        <w:pStyle w:val="Heading1"/>
      </w:pPr>
      <w:r>
        <w:t xml:space="preserve">附錄 B：核心程式碼節錄</w:t>
      </w:r>
    </w:p>
    <w:p>
      <w:pPr>
        <w:spacing w:after="120" w:line="300"/>
      </w:pPr>
      <w:r>
        <w:rPr>
          <w:sz w:val="22"/>
          <w:szCs w:val="22"/>
        </w:rPr>
        <w:t xml:space="preserve">完整可執行程式碼請見隨附的 情緒聲量投資交易.ipynb，以下節錄特徵工程與模型訓練核心：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特徵工程（情緒聲量 → 模型特徵）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df["buzz_log"]   = np.log1p(df["sum_count"])           # 聲量取 log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df["buzz_mom"]   = df["sum_count"] / df["sum_count"].rolling(5).mean()   # 聲量動能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df["score_mom"]  = df["daily_mean_score"] - df["daily_mean_score"].rolling(3).mean()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df["pos_neg_diff"] = df["pos_ratio"] - df["neg_ratio"]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df["model_disagree"] = (df["daily_mean_score"] - df["score_gpt35"]).abs()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時間序列分割（嚴禁打亂）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split = int(len(df)*0.8)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Xtr, Xte = X.iloc[:split], X.iloc[split:]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TimeSeriesSplit 交叉驗證 + GridSearch 調參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tscv = TimeSeriesSplit(n_splits=5)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rf = GridSearchCV(RandomForestClassifier(class_weight="balanced", random_state=42),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{"n_estimators":[100,300], "max_depth":[3,5,8,None], "min_samples_leaf":[1,5,10]},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cv=tscv, scoring="roc_auc").fit(Xtr, ytr)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 回測：預測隔日漲 -&gt; 持有一日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test["signal"]    = rf.best_estimator_.predict(Xte)</w:t>
      </w:r>
    </w:p>
    <w:p>
      <w:pPr>
        <w:shd w:fill="F2F2F2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test["strat_ret"] = test["signal"] * test["ret_next"]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頁 /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color w:val="888888"/>
        <w:sz w:val="16"/>
        <w:szCs w:val="16"/>
      </w:rPr>
      <w:t xml:space="preserve">機器學習期末專題 — 情緒聲量投資交易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Microsoft JhengHei" w:cs="Microsoft JhengHei" w:eastAsia="Microsoft JhengHei" w:hAnsi="Microsoft JhengHe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hfxroed2ptvayp63dlbv" Type="http://schemas.openxmlformats.org/officeDocument/2006/relationships/hyperlink" Target="https://finance.yahoo.com/quote/2330.TW" TargetMode="External"/><Relationship Id="rIdhhz8ieuabmxz2f4yr6_kl" Type="http://schemas.openxmlformats.org/officeDocument/2006/relationships/hyperlink" Target="https://drive.google.com/drive/folders/19Eha3DQJNC2EflvncIwGODKIUdTGg4UX" TargetMode="External"/><Relationship Id="rId9" Type="http://schemas.openxmlformats.org/officeDocument/2006/relationships/image" Target="media/4644d362c24e54170e20d15f95b48b8a8cd58873.png"/><Relationship Id="rId10" Type="http://schemas.openxmlformats.org/officeDocument/2006/relationships/image" Target="media/33dae17676806b658a51b64533623bd657445763.png"/><Relationship Id="rId11" Type="http://schemas.openxmlformats.org/officeDocument/2006/relationships/image" Target="media/617661d46e78367b94f4f4d51393f5255fcdf802.png"/><Relationship Id="rId12" Type="http://schemas.openxmlformats.org/officeDocument/2006/relationships/image" Target="media/610fafe409cd381d830e2f3a7b2f22348b7fbded.png"/><Relationship Id="rId13" Type="http://schemas.openxmlformats.org/officeDocument/2006/relationships/image" Target="media/7182fcdd0622c1c02a5492eb77460642a6f2dea8.png"/><Relationship Id="rId14" Type="http://schemas.openxmlformats.org/officeDocument/2006/relationships/image" Target="media/5be8d402224e1963a82760bf45119c98ab045e0e.png"/><Relationship Id="rId15" Type="http://schemas.openxmlformats.org/officeDocument/2006/relationships/image" Target="media/87c4ed8938660e72dd1d9d416c380a9fa3a4f71b.png"/><Relationship Id="rId16" Type="http://schemas.openxmlformats.org/officeDocument/2006/relationships/image" Target="media/0ed46eb3b787a1cdeef6452b29d7e977febabcc4.png"/><Relationship Id="rId17" Type="http://schemas.openxmlformats.org/officeDocument/2006/relationships/image" Target="media/ebf554ef6c35b5b106c22e3dde02383b2ee23bf9.png"/><Relationship Id="rId18" Type="http://schemas.openxmlformats.org/officeDocument/2006/relationships/image" Target="media/c714054f9275ae84312b7808c832e404a4905d12.png"/><Relationship Id="rId19" Type="http://schemas.openxmlformats.org/officeDocument/2006/relationships/image" Target="media/92dcf976098ad8284ab9177416cf4dd9cca64f4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2026-06-22T09:12:02.986Z</dcterms:created>
  <dcterms:modified xsi:type="dcterms:W3CDTF">2026-06-22T09:12:02.996Z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