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Harborline Home Furnishings Inc. — Monthly Change in Provision</w:t>
      </w:r>
    </w:p>
    <w:p>
      <w:pPr>
        <w:pStyle w:val="Heading2"/>
      </w:pPr>
      <w:r>
        <w:t>Situation Recap</w:t>
      </w:r>
    </w:p>
    <w:p>
      <w:pPr>
        <w:pStyle w:val="ListBullet"/>
      </w:pPr>
      <w:r>
        <w:rPr>
          <w:b w:val="0"/>
        </w:rPr>
        <w:t xml:space="preserve">Harborline is a Crestmark-sponsored, vertically integrated furniture designer and retailer (118 showrooms, FY2025 revenue </w:t>
      </w:r>
      <w:r>
        <w:rPr>
          <w:b/>
        </w:rPr>
        <w:t>$1.42bn</w:t>
      </w:r>
      <w:r>
        <w:rPr>
          <w:b w:val="0"/>
        </w:rPr>
        <w:t xml:space="preserve">). The collapse in existing home sales drove same-store sales down 9% in FY2024 and </w:t>
      </w:r>
      <w:r>
        <w:rPr>
          <w:b/>
        </w:rPr>
        <w:t>14% in FY2025</w:t>
      </w:r>
      <w:r>
        <w:rPr>
          <w:b w:val="0"/>
        </w:rPr>
        <w:t>, compounded by tariffs raising case-goods landed costs by ~18% and a failed ERP migration.</w:t>
      </w:r>
      <w:r>
        <w:rPr>
          <w:color w:val="808080"/>
          <w:vertAlign w:val="superscript"/>
        </w:rPr>
        <w:t xml:space="preserve"> [OV-1, RR-1, RR-2, RR-4]</w:t>
      </w:r>
    </w:p>
    <w:p>
      <w:pPr>
        <w:pStyle w:val="ListBullet"/>
      </w:pPr>
      <w:r>
        <w:rPr>
          <w:b w:val="0"/>
        </w:rPr>
        <w:t xml:space="preserve">Adj. EBITDA fell from $212mm (FY2022) to $71mm (FY2025), margin compressing from 12.4% to </w:t>
      </w:r>
      <w:r>
        <w:rPr>
          <w:b/>
        </w:rPr>
        <w:t>5.0%</w:t>
      </w:r>
      <w:r>
        <w:rPr>
          <w:b w:val="0"/>
        </w:rPr>
        <w:t xml:space="preserve">; with </w:t>
      </w:r>
      <w:r>
        <w:rPr>
          <w:b/>
        </w:rPr>
        <w:t>$1.35bn</w:t>
      </w:r>
      <w:r>
        <w:rPr>
          <w:b w:val="0"/>
        </w:rPr>
        <w:t xml:space="preserve"> of funded debt (ABL, $850mm 1st Lien TLB, $360mm 2nd Lien Notes), leverage reached </w:t>
      </w:r>
      <w:r>
        <w:rPr>
          <w:b/>
        </w:rPr>
        <w:t>19.3x</w:t>
      </w:r>
      <w:r>
        <w:rPr>
          <w:b w:val="0"/>
        </w:rPr>
        <w:t xml:space="preserve">. The Bank holds </w:t>
      </w:r>
      <w:r>
        <w:rPr>
          <w:b/>
        </w:rPr>
        <w:t>$45.0mm</w:t>
      </w:r>
      <w:r>
        <w:rPr>
          <w:b w:val="0"/>
        </w:rPr>
        <w:t xml:space="preserve"> of the 1st Lien TLB.</w:t>
      </w:r>
      <w:r>
        <w:rPr>
          <w:color w:val="808080"/>
          <w:vertAlign w:val="superscript"/>
        </w:rPr>
        <w:t xml:space="preserve"> [RR-5, OV-3]</w:t>
      </w:r>
    </w:p>
    <w:p>
      <w:pPr>
        <w:pStyle w:val="ListBullet"/>
      </w:pPr>
      <w:r>
        <w:rPr>
          <w:b w:val="0"/>
        </w:rPr>
        <w:t xml:space="preserve">After a failed turnaround, the Company engaged restructuring advisors in February 2026, skipped the March 2026 2nd Lien coupon and entered ABL forbearance; the credit was downgraded to </w:t>
      </w:r>
      <w:r>
        <w:rPr>
          <w:b/>
        </w:rPr>
        <w:t>Doubtful in April 2026</w:t>
      </w:r>
      <w:r>
        <w:rPr>
          <w:b w:val="0"/>
        </w:rPr>
        <w:t>.</w:t>
      </w:r>
      <w:r>
        <w:rPr>
          <w:color w:val="808080"/>
          <w:vertAlign w:val="superscript"/>
        </w:rPr>
        <w:t xml:space="preserve"> [RR-6]</w:t>
      </w:r>
    </w:p>
    <w:p>
      <w:pPr>
        <w:pStyle w:val="Heading2"/>
      </w:pPr>
      <w:r>
        <w:t>Recent Development</w:t>
      </w:r>
    </w:p>
    <w:p>
      <w:pPr>
        <w:pStyle w:val="ListBullet"/>
      </w:pPr>
      <w:r>
        <w:rPr>
          <w:b w:val="0"/>
        </w:rPr>
        <w:t xml:space="preserve">Harborline filed </w:t>
      </w:r>
      <w:r>
        <w:rPr>
          <w:b/>
        </w:rPr>
        <w:t>Chapter 11 on August 4, 2026</w:t>
      </w:r>
      <w:r>
        <w:rPr>
          <w:b w:val="0"/>
        </w:rPr>
        <w:t xml:space="preserve"> (D. Del.) with an RSA supported by ~78% of the 1st Lien TLB, including the Bank. A </w:t>
      </w:r>
      <w:r>
        <w:rPr>
          <w:b/>
        </w:rPr>
        <w:t>$150mm DIP</w:t>
      </w:r>
      <w:r>
        <w:rPr>
          <w:b w:val="0"/>
        </w:rPr>
        <w:t xml:space="preserve"> ($100mm new money, $50mm 1st Lien roll-up) received final approval; the Bank did not participate.</w:t>
      </w:r>
      <w:r>
        <w:rPr>
          <w:color w:val="808080"/>
          <w:vertAlign w:val="superscript"/>
        </w:rPr>
        <w:t xml:space="preserve"> [TU-1, TU-2]</w:t>
      </w:r>
    </w:p>
    <w:p>
      <w:pPr>
        <w:pStyle w:val="ListBullet"/>
      </w:pPr>
      <w:r>
        <w:rPr>
          <w:b w:val="0"/>
        </w:rPr>
        <w:t xml:space="preserve">Under the Plan, 1st Lien lenders receive pro-rata a </w:t>
      </w:r>
      <w:r>
        <w:rPr>
          <w:b/>
        </w:rPr>
        <w:t>$150mm Exit Term Loan</w:t>
      </w:r>
      <w:r>
        <w:rPr>
          <w:b w:val="0"/>
        </w:rPr>
        <w:t xml:space="preserve"> and </w:t>
      </w:r>
      <w:r>
        <w:rPr>
          <w:b/>
        </w:rPr>
        <w:t>85% of reorganized equity</w:t>
      </w:r>
      <w:r>
        <w:rPr>
          <w:b w:val="0"/>
        </w:rPr>
        <w:t xml:space="preserve"> (subject to a 10% MIP); 2nd Lien receives 15% plus warrants; GUCs share a $6mm cash pool, with cramdown if the class rejects; sponsor equity is cancelled.</w:t>
      </w:r>
      <w:r>
        <w:rPr>
          <w:color w:val="808080"/>
          <w:vertAlign w:val="superscript"/>
        </w:rPr>
        <w:t xml:space="preserve"> [TU-4, TU-5, TU-6, TU-7]</w:t>
      </w:r>
    </w:p>
    <w:p>
      <w:pPr>
        <w:pStyle w:val="ListBullet"/>
      </w:pPr>
      <w:r>
        <w:rPr>
          <w:b w:val="0"/>
          <w:highlight w:val="yellow"/>
        </w:rPr>
        <w:t xml:space="preserve">Provision increased from $18.0mm to </w:t>
      </w:r>
      <w:r>
        <w:rPr>
          <w:b/>
          <w:highlight w:val="yellow"/>
        </w:rPr>
        <w:t>$29.3mm (65% of exposure)</w:t>
      </w:r>
      <w:r>
        <w:rPr>
          <w:b w:val="0"/>
          <w:highlight w:val="yellow"/>
        </w:rPr>
        <w:t xml:space="preserve"> in September 2026, an increase of </w:t>
      </w:r>
      <w:r>
        <w:rPr>
          <w:b/>
          <w:highlight w:val="yellow"/>
        </w:rPr>
        <w:t>$12.3mm</w:t>
      </w:r>
      <w:r>
        <w:rPr>
          <w:b w:val="0"/>
          <w:highlight w:val="yellow"/>
        </w:rPr>
        <w:t xml:space="preserve">, driven by the Disclosure Statement EV of </w:t>
      </w:r>
      <w:r>
        <w:rPr>
          <w:b/>
          <w:highlight w:val="yellow"/>
        </w:rPr>
        <w:t>$420mm</w:t>
      </w:r>
      <w:r>
        <w:rPr>
          <w:b w:val="0"/>
          <w:highlight w:val="yellow"/>
        </w:rPr>
        <w:t xml:space="preserve"> vs. $600mm previously assumed, implying ~35% 1st Lien recovery.</w:t>
      </w:r>
      <w:r>
        <w:rPr>
          <w:color w:val="808080"/>
          <w:vertAlign w:val="superscript"/>
        </w:rPr>
        <w:t xml:space="preserve"> [PR-1, PR-2]</w:t>
      </w:r>
    </w:p>
    <w:p>
      <w:pPr>
        <w:pStyle w:val="ListBullet"/>
      </w:pPr>
      <w:r>
        <w:rPr>
          <w:b w:val="0"/>
        </w:rPr>
        <w:t xml:space="preserve">The Bank's estimated recovery of </w:t>
      </w:r>
      <w:r>
        <w:rPr>
          <w:b/>
        </w:rPr>
        <w:t>$15.7mm</w:t>
      </w:r>
      <w:r>
        <w:rPr>
          <w:b w:val="0"/>
        </w:rPr>
        <w:t xml:space="preserve"> comprises ~$7.9mm of Exit TL and ~4.5% of reorganized equity. The Disclosure Statement hearing is set for </w:t>
      </w:r>
      <w:r>
        <w:rPr>
          <w:b/>
        </w:rPr>
        <w:t>October 28, 2026</w:t>
      </w:r>
      <w:r>
        <w:rPr>
          <w:b w:val="0"/>
        </w:rPr>
        <w:t>, with emergence targeted for Q1 2027.</w:t>
      </w:r>
      <w:r>
        <w:rPr>
          <w:color w:val="808080"/>
          <w:vertAlign w:val="superscript"/>
        </w:rPr>
        <w:t xml:space="preserve"> [PR-3, TU-8, OL-4]</w:t>
      </w:r>
    </w:p>
    <w:p>
      <w:pPr>
        <w:pStyle w:val="Heading2"/>
      </w:pPr>
      <w:r>
        <w:t>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Location in memo</w:t>
            </w:r>
          </w:p>
        </w:tc>
        <w:tc>
          <w:tcPr>
            <w:tcW w:type="dxa" w:w="2880"/>
          </w:tcPr>
          <w:p>
            <w:r>
              <w:t>Paragraph text</w:t>
            </w:r>
          </w:p>
        </w:tc>
      </w:tr>
      <w:tr>
        <w:tc>
          <w:tcPr>
            <w:tcW w:type="dxa" w:w="2880"/>
          </w:tcPr>
          <w:p>
            <w:r>
              <w:rPr>
                <w:sz w:val="17"/>
              </w:rPr>
              <w:t>OV-1</w:t>
            </w:r>
          </w:p>
        </w:tc>
        <w:tc>
          <w:tcPr>
            <w:tcW w:type="dxa" w:w="2880"/>
          </w:tcPr>
          <w:p>
            <w:r>
              <w:rPr>
                <w:sz w:val="17"/>
              </w:rPr>
              <w:t>Company Overview, p.1</w:t>
            </w:r>
          </w:p>
        </w:tc>
        <w:tc>
          <w:tcPr>
            <w:tcW w:type="dxa" w:w="2880"/>
          </w:tcPr>
          <w:p>
            <w:r>
              <w:rPr>
                <w:sz w:val="17"/>
              </w:rPr>
              <w:t>Harborline Home Furnishings Inc. ("Harborline" or the "Company") is a vertically integrated designer, manufacturer and omni-channel retailer of mid-priced residential furniture, headquartered in Charlotte, North Carolina. The Company operates 118 showrooms across 22 states and generated FY2025 revenue of $1.42bn and Adj. EBITDA of $71mm. Harborline was acquired by Crestmark Capital Partners in a 2021 LBO at approximately 7.0x EBITDA.</w:t>
            </w:r>
          </w:p>
        </w:tc>
      </w:tr>
      <w:tr>
        <w:tc>
          <w:tcPr>
            <w:tcW w:type="dxa" w:w="2880"/>
          </w:tcPr>
          <w:p>
            <w:r>
              <w:rPr>
                <w:sz w:val="17"/>
              </w:rPr>
              <w:t>OV-3</w:t>
            </w:r>
          </w:p>
        </w:tc>
        <w:tc>
          <w:tcPr>
            <w:tcW w:type="dxa" w:w="2880"/>
          </w:tcPr>
          <w:p>
            <w:r>
              <w:rPr>
                <w:sz w:val="17"/>
              </w:rPr>
              <w:t>Company Overview &gt; Capital Structure, p.1</w:t>
            </w:r>
          </w:p>
        </w:tc>
        <w:tc>
          <w:tcPr>
            <w:tcW w:type="dxa" w:w="2880"/>
          </w:tcPr>
          <w:p>
            <w:r>
              <w:rPr>
                <w:sz w:val="17"/>
              </w:rPr>
              <w:t>As of the petition date, funded debt totaled approximately $1.35bn, comprising a $200mm ABL revolver ($140mm drawn), an $850mm 1st Lien Term Loan B maturing 2028 (S+425) and $360mm of 9.25% 2nd Lien Senior Secured Notes due 2029. Total leverage stood at 19.3x LTM Adj. EBITDA of $70mm, compared with 6.1x at closing of the LBO. The Bank holds $45.0mm of the 1st Lien TLB (5.3% of the tranche).</w:t>
            </w:r>
          </w:p>
        </w:tc>
      </w:tr>
      <w:tr>
        <w:tc>
          <w:tcPr>
            <w:tcW w:type="dxa" w:w="2880"/>
          </w:tcPr>
          <w:p>
            <w:r>
              <w:rPr>
                <w:sz w:val="17"/>
              </w:rPr>
              <w:t>RR-1</w:t>
            </w:r>
          </w:p>
        </w:tc>
        <w:tc>
          <w:tcPr>
            <w:tcW w:type="dxa" w:w="2880"/>
          </w:tcPr>
          <w:p>
            <w:r>
              <w:rPr>
                <w:sz w:val="17"/>
              </w:rPr>
              <w:t>Reason for Rating &gt; Operational Drivers, p.1</w:t>
            </w:r>
          </w:p>
        </w:tc>
        <w:tc>
          <w:tcPr>
            <w:tcW w:type="dxa" w:w="2880"/>
          </w:tcPr>
          <w:p>
            <w:r>
              <w:rPr>
                <w:sz w:val="17"/>
              </w:rPr>
              <w:t>Demand for big-ticket home furnishings has contracted sharply since 2023 as existing home sales fell to multi-decade lows, removing the primary purchase trigger for the Company's core customer. Harborline's same-store sales declined 9% in FY2024 and a further 14% in FY2025.</w:t>
            </w:r>
          </w:p>
        </w:tc>
      </w:tr>
      <w:tr>
        <w:tc>
          <w:tcPr>
            <w:tcW w:type="dxa" w:w="2880"/>
          </w:tcPr>
          <w:p>
            <w:r>
              <w:rPr>
                <w:sz w:val="17"/>
              </w:rPr>
              <w:t>RR-2</w:t>
            </w:r>
          </w:p>
        </w:tc>
        <w:tc>
          <w:tcPr>
            <w:tcW w:type="dxa" w:w="2880"/>
          </w:tcPr>
          <w:p>
            <w:r>
              <w:rPr>
                <w:sz w:val="17"/>
              </w:rPr>
              <w:t>Reason for Rating &gt; Operational Drivers, p.1</w:t>
            </w:r>
          </w:p>
        </w:tc>
        <w:tc>
          <w:tcPr>
            <w:tcW w:type="dxa" w:w="2880"/>
          </w:tcPr>
          <w:p>
            <w:r>
              <w:rPr>
                <w:sz w:val="17"/>
              </w:rPr>
              <w:t>• Tariffs on Southeast Asian imports introduced in 2025 increased landed costs on case goods by approximately 18%, of which management was able to pass through less than half.</w:t>
            </w:r>
          </w:p>
        </w:tc>
      </w:tr>
      <w:tr>
        <w:tc>
          <w:tcPr>
            <w:tcW w:type="dxa" w:w="2880"/>
          </w:tcPr>
          <w:p>
            <w:r>
              <w:rPr>
                <w:sz w:val="17"/>
              </w:rPr>
              <w:t>RR-4</w:t>
            </w:r>
          </w:p>
        </w:tc>
        <w:tc>
          <w:tcPr>
            <w:tcW w:type="dxa" w:w="2880"/>
          </w:tcPr>
          <w:p>
            <w:r>
              <w:rPr>
                <w:sz w:val="17"/>
              </w:rPr>
              <w:t>Reason for Rating &gt; Operational Drivers, p.2</w:t>
            </w:r>
          </w:p>
        </w:tc>
        <w:tc>
          <w:tcPr>
            <w:tcW w:type="dxa" w:w="2880"/>
          </w:tcPr>
          <w:p>
            <w:r>
              <w:rPr>
                <w:sz w:val="17"/>
              </w:rPr>
              <w:t>• A failed ERP migration in Q3 2025 disrupted order fulfillment for roughly ten weeks, driving elevated cancellations and customer concessions.</w:t>
            </w:r>
          </w:p>
        </w:tc>
      </w:tr>
      <w:tr>
        <w:tc>
          <w:tcPr>
            <w:tcW w:type="dxa" w:w="2880"/>
          </w:tcPr>
          <w:p>
            <w:r>
              <w:rPr>
                <w:sz w:val="17"/>
              </w:rPr>
              <w:t>RR-5</w:t>
            </w:r>
          </w:p>
        </w:tc>
        <w:tc>
          <w:tcPr>
            <w:tcW w:type="dxa" w:w="2880"/>
          </w:tcPr>
          <w:p>
            <w:r>
              <w:rPr>
                <w:sz w:val="17"/>
              </w:rPr>
              <w:t>Reason for Rating &gt; Financial Metrics, p.2</w:t>
            </w:r>
          </w:p>
        </w:tc>
        <w:tc>
          <w:tcPr>
            <w:tcW w:type="dxa" w:w="2880"/>
          </w:tcPr>
          <w:p>
            <w:r>
              <w:rPr>
                <w:sz w:val="17"/>
              </w:rPr>
              <w:t>Adj. EBITDA declined from $212mm in FY2022 to $71mm in FY2025, with margin compressing from 12.4% to 5.0%. LTM Adj. EBITDA as of June 2026 was $70mm. Liquidity fell to $38mm at the end of Q1 2026, below the $50mm springing covenant threshold under the ABL.</w:t>
            </w:r>
          </w:p>
        </w:tc>
      </w:tr>
      <w:tr>
        <w:tc>
          <w:tcPr>
            <w:tcW w:type="dxa" w:w="2880"/>
          </w:tcPr>
          <w:p>
            <w:r>
              <w:rPr>
                <w:sz w:val="17"/>
              </w:rPr>
              <w:t>RR-6</w:t>
            </w:r>
          </w:p>
        </w:tc>
        <w:tc>
          <w:tcPr>
            <w:tcW w:type="dxa" w:w="2880"/>
          </w:tcPr>
          <w:p>
            <w:r>
              <w:rPr>
                <w:sz w:val="17"/>
              </w:rPr>
              <w:t>Reason for Rating &gt; Strategic Pivot, p.2</w:t>
            </w:r>
          </w:p>
        </w:tc>
        <w:tc>
          <w:tcPr>
            <w:tcW w:type="dxa" w:w="2880"/>
          </w:tcPr>
          <w:p>
            <w:r>
              <w:rPr>
                <w:sz w:val="17"/>
              </w:rPr>
              <w:t>Management initially pursued an operational turnaround in 2025, including the closure of 14 underperforming showrooms and a SKU rationalization program. As the turnaround failed to gain traction, the Company engaged Kirkland-Ellison LLP and Hollow Ridge Partners as restructuring advisors in February 2026, elected to skip the March 2026 coupon on the 2nd Lien Notes and entered into forbearance with the ABL lenders. The credit was downgraded to Doubtful in April 2026.</w:t>
            </w:r>
          </w:p>
        </w:tc>
      </w:tr>
      <w:tr>
        <w:tc>
          <w:tcPr>
            <w:tcW w:type="dxa" w:w="2880"/>
          </w:tcPr>
          <w:p>
            <w:r>
              <w:rPr>
                <w:sz w:val="17"/>
              </w:rPr>
              <w:t>TU-1</w:t>
            </w:r>
          </w:p>
        </w:tc>
        <w:tc>
          <w:tcPr>
            <w:tcW w:type="dxa" w:w="2880"/>
          </w:tcPr>
          <w:p>
            <w:r>
              <w:rPr>
                <w:sz w:val="17"/>
              </w:rPr>
              <w:t>Transactional Updates, p.2</w:t>
            </w:r>
          </w:p>
        </w:tc>
        <w:tc>
          <w:tcPr>
            <w:tcW w:type="dxa" w:w="2880"/>
          </w:tcPr>
          <w:p>
            <w:r>
              <w:rPr>
                <w:sz w:val="17"/>
              </w:rPr>
              <w:t>On August 4, 2026, Harborline and its subsidiaries filed voluntary petitions under Chapter 11 of the U.S. Bankruptcy Code in the District of Delaware, supported by a Restructuring Support Agreement (RSA) signed by holders of approximately 78% of the 1st Lien TLB. The Bank is a signatory to the RSA.</w:t>
            </w:r>
          </w:p>
        </w:tc>
      </w:tr>
      <w:tr>
        <w:tc>
          <w:tcPr>
            <w:tcW w:type="dxa" w:w="2880"/>
          </w:tcPr>
          <w:p>
            <w:r>
              <w:rPr>
                <w:sz w:val="17"/>
              </w:rPr>
              <w:t>TU-2</w:t>
            </w:r>
          </w:p>
        </w:tc>
        <w:tc>
          <w:tcPr>
            <w:tcW w:type="dxa" w:w="2880"/>
          </w:tcPr>
          <w:p>
            <w:r>
              <w:rPr>
                <w:sz w:val="17"/>
              </w:rPr>
              <w:t>Transactional Updates, p.2</w:t>
            </w:r>
          </w:p>
        </w:tc>
        <w:tc>
          <w:tcPr>
            <w:tcW w:type="dxa" w:w="2880"/>
          </w:tcPr>
          <w:p>
            <w:r>
              <w:rPr>
                <w:sz w:val="17"/>
              </w:rPr>
              <w:t>The Court granted final approval of a $150mm DIP facility on September 2, 2026, consisting of $100mm of new money and a $50mm roll-up of prepetition 1st Lien claims, provided pro-rata by participating 1st Lien lenders. The Bank elected not to participate in the DIP.</w:t>
            </w:r>
          </w:p>
        </w:tc>
      </w:tr>
      <w:tr>
        <w:tc>
          <w:tcPr>
            <w:tcW w:type="dxa" w:w="2880"/>
          </w:tcPr>
          <w:p>
            <w:r>
              <w:rPr>
                <w:sz w:val="17"/>
              </w:rPr>
              <w:t>TU-4</w:t>
            </w:r>
          </w:p>
        </w:tc>
        <w:tc>
          <w:tcPr>
            <w:tcW w:type="dxa" w:w="2880"/>
          </w:tcPr>
          <w:p>
            <w:r>
              <w:rPr>
                <w:sz w:val="17"/>
              </w:rPr>
              <w:t>Transactional Updates, p.2</w:t>
            </w:r>
          </w:p>
        </w:tc>
        <w:tc>
          <w:tcPr>
            <w:tcW w:type="dxa" w:w="2880"/>
          </w:tcPr>
          <w:p>
            <w:r>
              <w:rPr>
                <w:sz w:val="17"/>
              </w:rPr>
              <w:t>• 1st Lien TLB holders will receive, on a pro-rata basis, (i) a $150mm Exit Term Loan and (ii) 85% of the reorganized equity, subject to dilution by a 10% Management Incentive Plan.</w:t>
            </w:r>
          </w:p>
        </w:tc>
      </w:tr>
      <w:tr>
        <w:tc>
          <w:tcPr>
            <w:tcW w:type="dxa" w:w="2880"/>
          </w:tcPr>
          <w:p>
            <w:r>
              <w:rPr>
                <w:sz w:val="17"/>
              </w:rPr>
              <w:t>TU-5</w:t>
            </w:r>
          </w:p>
        </w:tc>
        <w:tc>
          <w:tcPr>
            <w:tcW w:type="dxa" w:w="2880"/>
          </w:tcPr>
          <w:p>
            <w:r>
              <w:rPr>
                <w:sz w:val="17"/>
              </w:rPr>
              <w:t>Transactional Updates, p.2</w:t>
            </w:r>
          </w:p>
        </w:tc>
        <w:tc>
          <w:tcPr>
            <w:tcW w:type="dxa" w:w="2880"/>
          </w:tcPr>
          <w:p>
            <w:r>
              <w:rPr>
                <w:sz w:val="17"/>
              </w:rPr>
              <w:t>• 2nd Lien Noteholders will receive 15% of the reorganized equity plus warrants struck at a 1st Lien recovery-implied equity value, contingent on accepting the Plan.</w:t>
            </w:r>
          </w:p>
        </w:tc>
      </w:tr>
      <w:tr>
        <w:tc>
          <w:tcPr>
            <w:tcW w:type="dxa" w:w="2880"/>
          </w:tcPr>
          <w:p>
            <w:r>
              <w:rPr>
                <w:sz w:val="17"/>
              </w:rPr>
              <w:t>TU-6</w:t>
            </w:r>
          </w:p>
        </w:tc>
        <w:tc>
          <w:tcPr>
            <w:tcW w:type="dxa" w:w="2880"/>
          </w:tcPr>
          <w:p>
            <w:r>
              <w:rPr>
                <w:sz w:val="17"/>
              </w:rPr>
              <w:t>Transactional Updates, p.2</w:t>
            </w:r>
          </w:p>
        </w:tc>
        <w:tc>
          <w:tcPr>
            <w:tcW w:type="dxa" w:w="2880"/>
          </w:tcPr>
          <w:p>
            <w:r>
              <w:rPr>
                <w:sz w:val="17"/>
              </w:rPr>
              <w:t>• General unsecured creditors will share in a $6mm cash pool; the Plan contemplates a cramdown of this class should it vote to reject.</w:t>
            </w:r>
          </w:p>
        </w:tc>
      </w:tr>
      <w:tr>
        <w:tc>
          <w:tcPr>
            <w:tcW w:type="dxa" w:w="2880"/>
          </w:tcPr>
          <w:p>
            <w:r>
              <w:rPr>
                <w:sz w:val="17"/>
              </w:rPr>
              <w:t>TU-7</w:t>
            </w:r>
          </w:p>
        </w:tc>
        <w:tc>
          <w:tcPr>
            <w:tcW w:type="dxa" w:w="2880"/>
          </w:tcPr>
          <w:p>
            <w:r>
              <w:rPr>
                <w:sz w:val="17"/>
              </w:rPr>
              <w:t>Transactional Updates, p.2</w:t>
            </w:r>
          </w:p>
        </w:tc>
        <w:tc>
          <w:tcPr>
            <w:tcW w:type="dxa" w:w="2880"/>
          </w:tcPr>
          <w:p>
            <w:r>
              <w:rPr>
                <w:sz w:val="17"/>
              </w:rPr>
              <w:t>• Existing equity held by Crestmark Capital Partners will be cancelled for no recovery.</w:t>
            </w:r>
          </w:p>
        </w:tc>
      </w:tr>
      <w:tr>
        <w:tc>
          <w:tcPr>
            <w:tcW w:type="dxa" w:w="2880"/>
          </w:tcPr>
          <w:p>
            <w:r>
              <w:rPr>
                <w:sz w:val="17"/>
              </w:rPr>
              <w:t>TU-8</w:t>
            </w:r>
          </w:p>
        </w:tc>
        <w:tc>
          <w:tcPr>
            <w:tcW w:type="dxa" w:w="2880"/>
          </w:tcPr>
          <w:p>
            <w:r>
              <w:rPr>
                <w:sz w:val="17"/>
              </w:rPr>
              <w:t>Transactional Updates, p.2</w:t>
            </w:r>
          </w:p>
        </w:tc>
        <w:tc>
          <w:tcPr>
            <w:tcW w:type="dxa" w:w="2880"/>
          </w:tcPr>
          <w:p>
            <w:r>
              <w:rPr>
                <w:sz w:val="17"/>
              </w:rPr>
              <w:t>The Disclosure Statement hearing is scheduled for October 28, 2026, with a targeted confirmation hearing in early December 2026.</w:t>
            </w:r>
          </w:p>
        </w:tc>
      </w:tr>
      <w:tr>
        <w:tc>
          <w:tcPr>
            <w:tcW w:type="dxa" w:w="2880"/>
          </w:tcPr>
          <w:p>
            <w:r>
              <w:rPr>
                <w:sz w:val="17"/>
              </w:rPr>
              <w:t>PR-1</w:t>
            </w:r>
          </w:p>
        </w:tc>
        <w:tc>
          <w:tcPr>
            <w:tcW w:type="dxa" w:w="2880"/>
          </w:tcPr>
          <w:p>
            <w:r>
              <w:rPr>
                <w:sz w:val="17"/>
              </w:rPr>
              <w:t>Provision Rationale &amp; Accounting Impact, p.2</w:t>
            </w:r>
          </w:p>
        </w:tc>
        <w:tc>
          <w:tcPr>
            <w:tcW w:type="dxa" w:w="2880"/>
          </w:tcPr>
          <w:p>
            <w:r>
              <w:rPr>
                <w:sz w:val="17"/>
              </w:rPr>
              <w:t>The specific provision was increased from $18.0mm to $29.3mm (65% of exposure) during September 2026, an increase of $11.3mm. The provision had previously been raised from $9.0mm to $18.0mm in April 2026 upon downgrade to Doubtful.</w:t>
            </w:r>
          </w:p>
        </w:tc>
      </w:tr>
      <w:tr>
        <w:tc>
          <w:tcPr>
            <w:tcW w:type="dxa" w:w="2880"/>
          </w:tcPr>
          <w:p>
            <w:r>
              <w:rPr>
                <w:sz w:val="17"/>
              </w:rPr>
              <w:t>PR-2</w:t>
            </w:r>
          </w:p>
        </w:tc>
        <w:tc>
          <w:tcPr>
            <w:tcW w:type="dxa" w:w="2880"/>
          </w:tcPr>
          <w:p>
            <w:r>
              <w:rPr>
                <w:sz w:val="17"/>
              </w:rPr>
              <w:t>Provision Rationale &amp; Accounting Impact, p.2</w:t>
            </w:r>
          </w:p>
        </w:tc>
        <w:tc>
          <w:tcPr>
            <w:tcW w:type="dxa" w:w="2880"/>
          </w:tcPr>
          <w:p>
            <w:r>
              <w:rPr>
                <w:sz w:val="17"/>
              </w:rPr>
              <w:t>The increase reflects the valuation in the filed Disclosure Statement, which implies a total enterprise value of $420mm at the midpoint (6.0x LTM Adj. EBITDA), materially below the $600mm assumed in the prior provision analysis. After repayment of the DIP and ABL, implied recovery to 1st Lien lenders is approximately 35% of claim.</w:t>
            </w:r>
          </w:p>
        </w:tc>
      </w:tr>
      <w:tr>
        <w:tc>
          <w:tcPr>
            <w:tcW w:type="dxa" w:w="2880"/>
          </w:tcPr>
          <w:p>
            <w:r>
              <w:rPr>
                <w:sz w:val="17"/>
              </w:rPr>
              <w:t>PR-3</w:t>
            </w:r>
          </w:p>
        </w:tc>
        <w:tc>
          <w:tcPr>
            <w:tcW w:type="dxa" w:w="2880"/>
          </w:tcPr>
          <w:p>
            <w:r>
              <w:rPr>
                <w:sz w:val="17"/>
              </w:rPr>
              <w:t>Provision Rationale &amp; Accounting Impact, p.3</w:t>
            </w:r>
          </w:p>
        </w:tc>
        <w:tc>
          <w:tcPr>
            <w:tcW w:type="dxa" w:w="2880"/>
          </w:tcPr>
          <w:p>
            <w:r>
              <w:rPr>
                <w:sz w:val="17"/>
              </w:rPr>
              <w:t>The Bank's pro-rata share of recovery comprises approximately $7.9mm of Exit Term Loan (fair value $7.5mm) and approximately 4.5% of reorganized equity (fair value $8.2mm), for a total estimated recovery of $15.7mm against a carrying value of $45.0mm. Upon emergence, the residual loss will be charged off against the specific provision with no further P&amp;L impact expected.</w:t>
            </w:r>
          </w:p>
        </w:tc>
      </w:tr>
      <w:tr>
        <w:tc>
          <w:tcPr>
            <w:tcW w:type="dxa" w:w="2880"/>
          </w:tcPr>
          <w:p>
            <w:r>
              <w:rPr>
                <w:sz w:val="17"/>
              </w:rPr>
              <w:t>OL-4</w:t>
            </w:r>
          </w:p>
        </w:tc>
        <w:tc>
          <w:tcPr>
            <w:tcW w:type="dxa" w:w="2880"/>
          </w:tcPr>
          <w:p>
            <w:r>
              <w:rPr>
                <w:sz w:val="17"/>
              </w:rPr>
              <w:t>Outlook and Action Plan, p.3</w:t>
            </w:r>
          </w:p>
        </w:tc>
        <w:tc>
          <w:tcPr>
            <w:tcW w:type="dxa" w:w="2880"/>
          </w:tcPr>
          <w:p>
            <w:r>
              <w:rPr>
                <w:sz w:val="17"/>
              </w:rPr>
              <w:t>• Re-assess the provision upon plan confirmation; emergence is targeted for Q1 2027.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