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79AD" w14:textId="77777777" w:rsidR="00F9785B" w:rsidRPr="00896D29" w:rsidRDefault="00F9785B" w:rsidP="00F9785B">
      <w:pPr>
        <w:rPr>
          <w:rFonts w:ascii="Calibri" w:eastAsiaTheme="minorEastAsia" w:hAnsi="Calibri" w:cs="Calibri"/>
          <w:b/>
          <w:bCs/>
          <w:sz w:val="22"/>
          <w:szCs w:val="22"/>
        </w:rPr>
      </w:pPr>
      <w:r w:rsidRPr="00896D29">
        <w:rPr>
          <w:rFonts w:ascii="Calibri" w:eastAsiaTheme="minorEastAsia" w:hAnsi="Calibri" w:cs="Calibri"/>
          <w:b/>
          <w:bCs/>
          <w:sz w:val="22"/>
          <w:szCs w:val="22"/>
        </w:rPr>
        <w:t xml:space="preserve">Evaluation des Politiques Publiques </w:t>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t xml:space="preserve">                                  </w:t>
      </w:r>
      <w:r>
        <w:rPr>
          <w:rFonts w:ascii="Calibri" w:eastAsiaTheme="minorEastAsia" w:hAnsi="Calibri" w:cs="Calibri"/>
          <w:b/>
          <w:bCs/>
          <w:sz w:val="22"/>
          <w:szCs w:val="22"/>
        </w:rPr>
        <w:t xml:space="preserve">                    </w:t>
      </w:r>
      <w:r w:rsidRPr="00896D29">
        <w:rPr>
          <w:rFonts w:ascii="Calibri" w:eastAsiaTheme="minorEastAsia" w:hAnsi="Calibri" w:cs="Calibri"/>
          <w:b/>
          <w:bCs/>
          <w:sz w:val="22"/>
          <w:szCs w:val="22"/>
        </w:rPr>
        <w:t xml:space="preserve">  ENS Paris Saclay </w:t>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r>
      <w:r w:rsidRPr="00896D29">
        <w:rPr>
          <w:rFonts w:ascii="Calibri" w:eastAsiaTheme="minorEastAsia" w:hAnsi="Calibri" w:cs="Calibri"/>
          <w:b/>
          <w:bCs/>
          <w:sz w:val="22"/>
          <w:szCs w:val="22"/>
        </w:rPr>
        <w:tab/>
        <w:t xml:space="preserve">                                             Licence 3 d’Economie                                                                                                                                            </w:t>
      </w:r>
      <w:r>
        <w:rPr>
          <w:rFonts w:ascii="Calibri" w:eastAsiaTheme="minorEastAsia" w:hAnsi="Calibri" w:cs="Calibri"/>
          <w:b/>
          <w:bCs/>
          <w:sz w:val="22"/>
          <w:szCs w:val="22"/>
        </w:rPr>
        <w:t xml:space="preserve">                 </w:t>
      </w:r>
      <w:r w:rsidRPr="00896D29">
        <w:rPr>
          <w:rFonts w:ascii="Calibri" w:eastAsiaTheme="minorEastAsia" w:hAnsi="Calibri" w:cs="Calibri"/>
          <w:b/>
          <w:bCs/>
          <w:sz w:val="22"/>
          <w:szCs w:val="22"/>
        </w:rPr>
        <w:t xml:space="preserve">    2023-2024</w:t>
      </w:r>
    </w:p>
    <w:p w14:paraId="1B47C92D" w14:textId="77777777" w:rsidR="00F9785B" w:rsidRPr="00896D29" w:rsidRDefault="00F9785B" w:rsidP="00F9785B">
      <w:pPr>
        <w:ind w:left="360"/>
        <w:jc w:val="right"/>
        <w:rPr>
          <w:rFonts w:ascii="Calibri" w:eastAsiaTheme="minorEastAsia" w:hAnsi="Calibri" w:cs="Calibri"/>
          <w:b/>
          <w:bCs/>
          <w:sz w:val="22"/>
          <w:szCs w:val="22"/>
        </w:rPr>
      </w:pPr>
      <w:r w:rsidRPr="00896D29">
        <w:rPr>
          <w:rFonts w:ascii="Calibri" w:eastAsiaTheme="minorEastAsia" w:hAnsi="Calibri" w:cs="Calibri"/>
          <w:b/>
          <w:bCs/>
          <w:sz w:val="22"/>
          <w:szCs w:val="22"/>
        </w:rPr>
        <w:t>Enseignant : Yao Thibaut Kpegli</w:t>
      </w:r>
    </w:p>
    <w:p w14:paraId="2BFD8955" w14:textId="77777777" w:rsidR="00F9785B" w:rsidRPr="00896D29" w:rsidRDefault="00F9785B" w:rsidP="00F9785B">
      <w:pPr>
        <w:pStyle w:val="Default"/>
        <w:jc w:val="center"/>
        <w:rPr>
          <w:b/>
          <w:bCs/>
          <w:sz w:val="22"/>
          <w:szCs w:val="22"/>
        </w:rPr>
      </w:pPr>
    </w:p>
    <w:p w14:paraId="0971F2E8" w14:textId="59D3CE07" w:rsidR="00F9785B" w:rsidRDefault="00F9785B" w:rsidP="00F9785B">
      <w:pPr>
        <w:pStyle w:val="Default"/>
        <w:jc w:val="center"/>
        <w:rPr>
          <w:b/>
          <w:bCs/>
          <w:sz w:val="22"/>
          <w:szCs w:val="22"/>
        </w:rPr>
      </w:pPr>
      <w:r w:rsidRPr="00896D29">
        <w:rPr>
          <w:b/>
          <w:bCs/>
          <w:sz w:val="22"/>
          <w:szCs w:val="22"/>
        </w:rPr>
        <w:t xml:space="preserve">Application </w:t>
      </w:r>
      <w:r w:rsidR="004238FF">
        <w:rPr>
          <w:b/>
          <w:bCs/>
          <w:sz w:val="22"/>
          <w:szCs w:val="22"/>
        </w:rPr>
        <w:t>4</w:t>
      </w:r>
      <w:r w:rsidRPr="00896D29">
        <w:rPr>
          <w:b/>
          <w:bCs/>
          <w:sz w:val="22"/>
          <w:szCs w:val="22"/>
        </w:rPr>
        <w:t xml:space="preserve"> (Python) : analyse de l’impact d</w:t>
      </w:r>
      <w:r>
        <w:rPr>
          <w:b/>
          <w:bCs/>
          <w:sz w:val="22"/>
          <w:szCs w:val="22"/>
        </w:rPr>
        <w:t>u programme ‘’</w:t>
      </w:r>
      <w:r w:rsidRPr="00F9785B">
        <w:rPr>
          <w:b/>
          <w:bCs/>
          <w:sz w:val="22"/>
          <w:szCs w:val="22"/>
        </w:rPr>
        <w:t>Head Start</w:t>
      </w:r>
      <w:r>
        <w:rPr>
          <w:b/>
          <w:bCs/>
          <w:sz w:val="22"/>
          <w:szCs w:val="22"/>
        </w:rPr>
        <w:t>’’ sur la mortalité</w:t>
      </w:r>
    </w:p>
    <w:p w14:paraId="203B9541" w14:textId="77777777" w:rsidR="00F9785B" w:rsidRDefault="00F9785B" w:rsidP="00F9785B">
      <w:pPr>
        <w:pStyle w:val="Default"/>
        <w:jc w:val="center"/>
        <w:rPr>
          <w:b/>
          <w:bCs/>
          <w:sz w:val="22"/>
          <w:szCs w:val="22"/>
        </w:rPr>
      </w:pPr>
    </w:p>
    <w:p w14:paraId="2CEDCA89" w14:textId="77777777" w:rsidR="00F9785B" w:rsidRPr="00896D29" w:rsidRDefault="00F9785B" w:rsidP="00F9785B">
      <w:pPr>
        <w:pStyle w:val="Default"/>
        <w:jc w:val="both"/>
        <w:rPr>
          <w:sz w:val="22"/>
          <w:szCs w:val="22"/>
        </w:rPr>
      </w:pPr>
    </w:p>
    <w:p w14:paraId="70927EFF" w14:textId="77777777" w:rsidR="0063588A" w:rsidRPr="0063588A" w:rsidRDefault="00F9785B" w:rsidP="0063588A">
      <w:pPr>
        <w:pStyle w:val="Default"/>
        <w:jc w:val="both"/>
        <w:rPr>
          <w:sz w:val="22"/>
          <w:szCs w:val="22"/>
          <w:lang w:val="en-US"/>
        </w:rPr>
      </w:pPr>
      <w:r w:rsidRPr="00896D29">
        <w:rPr>
          <w:sz w:val="22"/>
          <w:szCs w:val="22"/>
        </w:rPr>
        <w:t xml:space="preserve">Cette application </w:t>
      </w:r>
      <w:r>
        <w:rPr>
          <w:sz w:val="22"/>
          <w:szCs w:val="22"/>
        </w:rPr>
        <w:t>consiste à évaluer</w:t>
      </w:r>
      <w:r w:rsidRPr="00896D29">
        <w:rPr>
          <w:sz w:val="22"/>
          <w:szCs w:val="22"/>
        </w:rPr>
        <w:t xml:space="preserve"> l’impact d</w:t>
      </w:r>
      <w:r>
        <w:rPr>
          <w:sz w:val="22"/>
          <w:szCs w:val="22"/>
        </w:rPr>
        <w:t xml:space="preserve">u programme </w:t>
      </w:r>
      <w:r>
        <w:rPr>
          <w:b/>
          <w:bCs/>
          <w:sz w:val="22"/>
          <w:szCs w:val="22"/>
        </w:rPr>
        <w:t>‘’</w:t>
      </w:r>
      <w:r w:rsidRPr="00F9785B">
        <w:rPr>
          <w:b/>
          <w:bCs/>
          <w:sz w:val="22"/>
          <w:szCs w:val="22"/>
        </w:rPr>
        <w:t>Head Start</w:t>
      </w:r>
      <w:r>
        <w:rPr>
          <w:b/>
          <w:bCs/>
          <w:sz w:val="22"/>
          <w:szCs w:val="22"/>
        </w:rPr>
        <w:t>’’</w:t>
      </w:r>
      <w:r>
        <w:rPr>
          <w:sz w:val="22"/>
          <w:szCs w:val="22"/>
        </w:rPr>
        <w:t xml:space="preserve"> </w:t>
      </w:r>
      <w:r w:rsidRPr="00896D29">
        <w:rPr>
          <w:sz w:val="22"/>
          <w:szCs w:val="22"/>
        </w:rPr>
        <w:t>sur l</w:t>
      </w:r>
      <w:r>
        <w:rPr>
          <w:sz w:val="22"/>
          <w:szCs w:val="22"/>
        </w:rPr>
        <w:t xml:space="preserve">a mortalité. </w:t>
      </w:r>
      <w:r w:rsidR="0063588A" w:rsidRPr="00F9785B">
        <w:rPr>
          <w:sz w:val="22"/>
          <w:szCs w:val="22"/>
        </w:rPr>
        <w:t xml:space="preserve">Les données proviennent de l’article de </w:t>
      </w:r>
      <w:r w:rsidR="0063588A">
        <w:rPr>
          <w:sz w:val="22"/>
          <w:szCs w:val="22"/>
        </w:rPr>
        <w:t xml:space="preserve">Jens </w:t>
      </w:r>
      <w:r w:rsidR="0063588A" w:rsidRPr="00F9785B">
        <w:rPr>
          <w:sz w:val="22"/>
          <w:szCs w:val="22"/>
        </w:rPr>
        <w:t>Ludwig</w:t>
      </w:r>
      <w:r w:rsidR="0063588A">
        <w:rPr>
          <w:sz w:val="22"/>
          <w:szCs w:val="22"/>
        </w:rPr>
        <w:t xml:space="preserve"> et </w:t>
      </w:r>
      <w:r w:rsidR="0063588A" w:rsidRPr="00F9785B">
        <w:rPr>
          <w:sz w:val="22"/>
          <w:szCs w:val="22"/>
        </w:rPr>
        <w:t>D</w:t>
      </w:r>
      <w:r w:rsidR="0063588A">
        <w:rPr>
          <w:sz w:val="22"/>
          <w:szCs w:val="22"/>
        </w:rPr>
        <w:t xml:space="preserve">ouglas </w:t>
      </w:r>
      <w:r w:rsidR="0063588A" w:rsidRPr="00F9785B">
        <w:rPr>
          <w:sz w:val="22"/>
          <w:szCs w:val="22"/>
        </w:rPr>
        <w:t>Miller</w:t>
      </w:r>
      <w:r w:rsidR="0063588A">
        <w:rPr>
          <w:sz w:val="22"/>
          <w:szCs w:val="22"/>
        </w:rPr>
        <w:t xml:space="preserve"> ‘’</w:t>
      </w:r>
      <w:r w:rsidR="0063588A" w:rsidRPr="00F9785B">
        <w:rPr>
          <w:sz w:val="22"/>
          <w:szCs w:val="22"/>
        </w:rPr>
        <w:t xml:space="preserve">Does Head Start improve children's life chances? </w:t>
      </w:r>
      <w:r w:rsidR="0063588A" w:rsidRPr="00F9785B">
        <w:rPr>
          <w:sz w:val="22"/>
          <w:szCs w:val="22"/>
          <w:lang w:val="en-US"/>
        </w:rPr>
        <w:t>Evidence from a regression discontinuity design</w:t>
      </w:r>
      <w:r w:rsidR="0063588A">
        <w:rPr>
          <w:sz w:val="22"/>
          <w:szCs w:val="22"/>
          <w:lang w:val="en-US"/>
        </w:rPr>
        <w:t xml:space="preserve">’’ </w:t>
      </w:r>
      <w:r w:rsidR="0063588A" w:rsidRPr="00896D29">
        <w:rPr>
          <w:sz w:val="22"/>
          <w:szCs w:val="22"/>
          <w:lang w:val="en-US"/>
        </w:rPr>
        <w:t>(</w:t>
      </w:r>
      <w:r w:rsidR="0063588A" w:rsidRPr="00F9785B">
        <w:rPr>
          <w:sz w:val="22"/>
          <w:szCs w:val="22"/>
          <w:lang w:val="en-US"/>
        </w:rPr>
        <w:t>The Quarterly journal of economics</w:t>
      </w:r>
      <w:r w:rsidR="0063588A" w:rsidRPr="00896D29">
        <w:rPr>
          <w:sz w:val="22"/>
          <w:szCs w:val="22"/>
          <w:lang w:val="en-US"/>
        </w:rPr>
        <w:t xml:space="preserve">, </w:t>
      </w:r>
      <w:r w:rsidR="0063588A" w:rsidRPr="00F9785B">
        <w:rPr>
          <w:sz w:val="22"/>
          <w:szCs w:val="22"/>
          <w:lang w:val="en-US"/>
        </w:rPr>
        <w:t>2007</w:t>
      </w:r>
      <w:r w:rsidR="0063588A" w:rsidRPr="00896D29">
        <w:rPr>
          <w:sz w:val="22"/>
          <w:szCs w:val="22"/>
          <w:lang w:val="en-US"/>
        </w:rPr>
        <w:t xml:space="preserve">). </w:t>
      </w:r>
    </w:p>
    <w:p w14:paraId="01A2A636" w14:textId="3F1EF9D8" w:rsidR="0063588A" w:rsidRPr="0063588A" w:rsidRDefault="0063588A" w:rsidP="0063588A">
      <w:pPr>
        <w:pStyle w:val="Default"/>
        <w:jc w:val="both"/>
        <w:rPr>
          <w:sz w:val="22"/>
          <w:szCs w:val="22"/>
          <w:lang w:val="en-US"/>
        </w:rPr>
      </w:pPr>
    </w:p>
    <w:p w14:paraId="608A9AC0" w14:textId="2F564F4B" w:rsidR="00B17736" w:rsidRPr="00B17736" w:rsidRDefault="00F9785B" w:rsidP="00B17736">
      <w:pPr>
        <w:pStyle w:val="Default"/>
        <w:jc w:val="both"/>
        <w:rPr>
          <w:sz w:val="22"/>
          <w:szCs w:val="22"/>
        </w:rPr>
      </w:pPr>
      <w:r w:rsidRPr="00F9785B">
        <w:rPr>
          <w:sz w:val="22"/>
          <w:szCs w:val="22"/>
        </w:rPr>
        <w:t xml:space="preserve">Le programme </w:t>
      </w:r>
      <w:r>
        <w:rPr>
          <w:sz w:val="22"/>
          <w:szCs w:val="22"/>
        </w:rPr>
        <w:t>‘’</w:t>
      </w:r>
      <w:r w:rsidRPr="00F9785B">
        <w:rPr>
          <w:sz w:val="22"/>
          <w:szCs w:val="22"/>
        </w:rPr>
        <w:t>Head Start</w:t>
      </w:r>
      <w:r>
        <w:rPr>
          <w:sz w:val="22"/>
          <w:szCs w:val="22"/>
        </w:rPr>
        <w:t>’’</w:t>
      </w:r>
      <w:r w:rsidRPr="00F9785B">
        <w:rPr>
          <w:sz w:val="22"/>
          <w:szCs w:val="22"/>
        </w:rPr>
        <w:t xml:space="preserve"> vise à améliorer les perspectives de vie des enfants issus de milieux défavorisés en leur fournissant des services éducatifs et sociaux.</w:t>
      </w:r>
      <w:r>
        <w:rPr>
          <w:sz w:val="22"/>
          <w:szCs w:val="22"/>
        </w:rPr>
        <w:t xml:space="preserve"> </w:t>
      </w:r>
      <w:r w:rsidR="00B17736" w:rsidRPr="00B17736">
        <w:rPr>
          <w:sz w:val="22"/>
          <w:szCs w:val="22"/>
        </w:rPr>
        <w:t>Le programme Head Start comprend des dépenses publiques dans plusieurs domaines. Environ 40 % du budget du programme est consacré à la scolarisation des jeunes enfants. Les autres services comprennent le programme nutritionnel, les services sociaux, les services de santé mentale et les services de santé. Cet ensemble de services du programme Head Start peut affecter la santé (notre objectif dans ce tutoriel) et la scolarisation (l'autre objectif de l'article de recherche) à travers une variété de canaux. En ce qui concerne la santé, la plupart de ces services ont augmenté les chances que les enfants voient un médecin et ont amélioré la détection précoce et le traitement de certaines maladies.</w:t>
      </w:r>
    </w:p>
    <w:p w14:paraId="02EAB871" w14:textId="405F9051" w:rsidR="00B17736" w:rsidRDefault="00B17736" w:rsidP="0063588A">
      <w:pPr>
        <w:pStyle w:val="Default"/>
        <w:jc w:val="both"/>
        <w:rPr>
          <w:sz w:val="22"/>
          <w:szCs w:val="22"/>
        </w:rPr>
      </w:pPr>
    </w:p>
    <w:p w14:paraId="2FB96336" w14:textId="579F9EB3" w:rsidR="0063588A" w:rsidRDefault="0063588A" w:rsidP="0063588A">
      <w:pPr>
        <w:pStyle w:val="Default"/>
        <w:jc w:val="both"/>
        <w:rPr>
          <w:sz w:val="22"/>
          <w:szCs w:val="22"/>
        </w:rPr>
      </w:pPr>
      <w:r w:rsidRPr="00F9785B">
        <w:rPr>
          <w:sz w:val="22"/>
          <w:szCs w:val="22"/>
        </w:rPr>
        <w:t xml:space="preserve">Depuis 1965, le programme américain "Head Start" offre des services préscolaires, sanitaires et autres services sociaux aux enfants pauvres âgés de trois à cinq ans et à leurs familles. Au moment de la rédaction de l'article de recherche, 900 000 enfants bénéficiaient du programme chaque année. </w:t>
      </w:r>
    </w:p>
    <w:p w14:paraId="3E2064F7" w14:textId="77777777" w:rsidR="0063588A" w:rsidRDefault="0063588A" w:rsidP="0063588A">
      <w:pPr>
        <w:pStyle w:val="Default"/>
        <w:jc w:val="both"/>
        <w:rPr>
          <w:sz w:val="22"/>
          <w:szCs w:val="22"/>
        </w:rPr>
      </w:pPr>
    </w:p>
    <w:p w14:paraId="752EA20C" w14:textId="761FD44C" w:rsidR="0063588A" w:rsidRDefault="0063588A" w:rsidP="0063588A">
      <w:pPr>
        <w:pStyle w:val="Default"/>
        <w:jc w:val="both"/>
        <w:rPr>
          <w:sz w:val="22"/>
          <w:szCs w:val="22"/>
        </w:rPr>
      </w:pPr>
      <w:r w:rsidRPr="00F9785B">
        <w:rPr>
          <w:sz w:val="22"/>
          <w:szCs w:val="22"/>
        </w:rPr>
        <w:t>Il est difficile d'évaluer si le programme améliore les chances des enfants dans la vie, car la participation est probablement corrélée aux résultats.</w:t>
      </w:r>
    </w:p>
    <w:p w14:paraId="4034F0DB" w14:textId="77777777" w:rsidR="0063588A" w:rsidRDefault="0063588A" w:rsidP="0063588A">
      <w:pPr>
        <w:pStyle w:val="Default"/>
        <w:jc w:val="both"/>
        <w:rPr>
          <w:sz w:val="22"/>
          <w:szCs w:val="22"/>
        </w:rPr>
      </w:pPr>
    </w:p>
    <w:p w14:paraId="5A4D0EE7" w14:textId="79C26854" w:rsidR="00F9785B" w:rsidRDefault="0063588A" w:rsidP="00F9785B">
      <w:pPr>
        <w:pStyle w:val="Default"/>
        <w:jc w:val="both"/>
        <w:rPr>
          <w:sz w:val="22"/>
          <w:szCs w:val="22"/>
        </w:rPr>
      </w:pPr>
      <w:r w:rsidRPr="00F9785B">
        <w:rPr>
          <w:sz w:val="22"/>
          <w:szCs w:val="22"/>
        </w:rPr>
        <w:t>Au moment de la mise en œuvre</w:t>
      </w:r>
      <w:r>
        <w:rPr>
          <w:sz w:val="22"/>
          <w:szCs w:val="22"/>
        </w:rPr>
        <w:t xml:space="preserve"> du programme</w:t>
      </w:r>
      <w:r w:rsidRPr="00F9785B">
        <w:rPr>
          <w:sz w:val="22"/>
          <w:szCs w:val="22"/>
        </w:rPr>
        <w:t xml:space="preserve"> </w:t>
      </w:r>
      <w:r>
        <w:rPr>
          <w:sz w:val="22"/>
          <w:szCs w:val="22"/>
        </w:rPr>
        <w:t xml:space="preserve">en 1965, </w:t>
      </w:r>
      <w:r w:rsidRPr="00F9785B">
        <w:rPr>
          <w:sz w:val="22"/>
          <w:szCs w:val="22"/>
        </w:rPr>
        <w:t xml:space="preserve">seuls les 300 comtés les plus pauvres des États-Unis recevaient </w:t>
      </w:r>
      <w:r w:rsidRPr="00231642">
        <w:rPr>
          <w:b/>
          <w:bCs/>
          <w:sz w:val="22"/>
          <w:szCs w:val="22"/>
        </w:rPr>
        <w:t xml:space="preserve">une </w:t>
      </w:r>
      <w:r w:rsidR="00231642" w:rsidRPr="00231642">
        <w:rPr>
          <w:b/>
          <w:bCs/>
          <w:sz w:val="22"/>
          <w:szCs w:val="22"/>
        </w:rPr>
        <w:t>assistance</w:t>
      </w:r>
      <w:r w:rsidRPr="00231642">
        <w:rPr>
          <w:b/>
          <w:bCs/>
          <w:sz w:val="22"/>
          <w:szCs w:val="22"/>
        </w:rPr>
        <w:t xml:space="preserve"> fédérale</w:t>
      </w:r>
      <w:r w:rsidRPr="00F9785B">
        <w:rPr>
          <w:sz w:val="22"/>
          <w:szCs w:val="22"/>
        </w:rPr>
        <w:t xml:space="preserve"> </w:t>
      </w:r>
      <w:r w:rsidR="00231642">
        <w:rPr>
          <w:sz w:val="22"/>
          <w:szCs w:val="22"/>
        </w:rPr>
        <w:t>dans les procédures de</w:t>
      </w:r>
      <w:r w:rsidRPr="00F9785B">
        <w:rPr>
          <w:sz w:val="22"/>
          <w:szCs w:val="22"/>
        </w:rPr>
        <w:t xml:space="preserve"> demande</w:t>
      </w:r>
      <w:r w:rsidR="00FF390F">
        <w:rPr>
          <w:sz w:val="22"/>
          <w:szCs w:val="22"/>
        </w:rPr>
        <w:t xml:space="preserve"> pour </w:t>
      </w:r>
      <w:r w:rsidRPr="00F9785B">
        <w:rPr>
          <w:sz w:val="22"/>
          <w:szCs w:val="22"/>
        </w:rPr>
        <w:t>bénéficier du programme.</w:t>
      </w:r>
      <w:r w:rsidR="00AE6BBF">
        <w:rPr>
          <w:sz w:val="22"/>
          <w:szCs w:val="22"/>
        </w:rPr>
        <w:t xml:space="preserve"> Cette assistance augmente les chances de bénéficier d</w:t>
      </w:r>
      <w:r w:rsidR="00DF477F">
        <w:rPr>
          <w:sz w:val="22"/>
          <w:szCs w:val="22"/>
        </w:rPr>
        <w:t>es financements d</w:t>
      </w:r>
      <w:r w:rsidR="00AE6BBF">
        <w:rPr>
          <w:sz w:val="22"/>
          <w:szCs w:val="22"/>
        </w:rPr>
        <w:t xml:space="preserve">u programme </w:t>
      </w:r>
      <w:r w:rsidR="00DF477F" w:rsidRPr="0063588A">
        <w:rPr>
          <w:sz w:val="22"/>
          <w:szCs w:val="22"/>
        </w:rPr>
        <w:t>‘’Head Start’’</w:t>
      </w:r>
      <w:r w:rsidR="00DF477F">
        <w:rPr>
          <w:sz w:val="22"/>
          <w:szCs w:val="22"/>
        </w:rPr>
        <w:t xml:space="preserve">. </w:t>
      </w:r>
      <w:r w:rsidRPr="00F9785B">
        <w:rPr>
          <w:sz w:val="22"/>
          <w:szCs w:val="22"/>
        </w:rPr>
        <w:t xml:space="preserve">Cette discontinuité dans la mise en œuvre a généré un groupe "de traitement" composé de comtés au-dessus du seuil de pauvreté et un groupe "de contrôle" composé de comtés en dessous. </w:t>
      </w:r>
    </w:p>
    <w:p w14:paraId="758B2C86" w14:textId="77777777" w:rsidR="006F45E1" w:rsidRDefault="006F45E1" w:rsidP="00F9785B">
      <w:pPr>
        <w:pStyle w:val="Default"/>
        <w:jc w:val="both"/>
        <w:rPr>
          <w:sz w:val="22"/>
          <w:szCs w:val="22"/>
        </w:rPr>
      </w:pPr>
    </w:p>
    <w:p w14:paraId="59B3A727" w14:textId="2F48EEDF" w:rsidR="0063588A" w:rsidRPr="00F9785B" w:rsidRDefault="0063588A" w:rsidP="0063588A">
      <w:pPr>
        <w:pStyle w:val="Default"/>
        <w:jc w:val="both"/>
        <w:rPr>
          <w:sz w:val="22"/>
          <w:szCs w:val="22"/>
        </w:rPr>
      </w:pPr>
      <w:r w:rsidRPr="0063588A">
        <w:rPr>
          <w:sz w:val="22"/>
          <w:szCs w:val="22"/>
        </w:rPr>
        <w:t xml:space="preserve">Le but est d’exploiter cette discontinuité </w:t>
      </w:r>
      <w:r w:rsidR="006F45E1">
        <w:rPr>
          <w:sz w:val="22"/>
          <w:szCs w:val="22"/>
        </w:rPr>
        <w:t xml:space="preserve">générée par </w:t>
      </w:r>
      <w:r w:rsidR="006F45E1" w:rsidRPr="006F45E1">
        <w:rPr>
          <w:sz w:val="22"/>
          <w:szCs w:val="22"/>
        </w:rPr>
        <w:t xml:space="preserve">l’assistance </w:t>
      </w:r>
      <w:r w:rsidR="006F45E1" w:rsidRPr="006F45E1">
        <w:rPr>
          <w:sz w:val="22"/>
          <w:szCs w:val="22"/>
        </w:rPr>
        <w:t>fédérale</w:t>
      </w:r>
      <w:r w:rsidR="006F45E1">
        <w:rPr>
          <w:sz w:val="22"/>
          <w:szCs w:val="22"/>
        </w:rPr>
        <w:t xml:space="preserve"> </w:t>
      </w:r>
      <w:r w:rsidR="006F45E1">
        <w:rPr>
          <w:sz w:val="22"/>
          <w:szCs w:val="22"/>
        </w:rPr>
        <w:t>dans les procédures de</w:t>
      </w:r>
      <w:r w:rsidR="006F45E1" w:rsidRPr="00F9785B">
        <w:rPr>
          <w:sz w:val="22"/>
          <w:szCs w:val="22"/>
        </w:rPr>
        <w:t xml:space="preserve"> </w:t>
      </w:r>
      <w:r w:rsidR="00455954" w:rsidRPr="00F9785B">
        <w:rPr>
          <w:sz w:val="22"/>
          <w:szCs w:val="22"/>
        </w:rPr>
        <w:t>demande</w:t>
      </w:r>
      <w:r w:rsidR="006F45E1">
        <w:rPr>
          <w:sz w:val="22"/>
          <w:szCs w:val="22"/>
        </w:rPr>
        <w:t xml:space="preserve"> </w:t>
      </w:r>
      <w:r w:rsidRPr="0063588A">
        <w:rPr>
          <w:sz w:val="22"/>
          <w:szCs w:val="22"/>
        </w:rPr>
        <w:t>pour estimer l’impact du programme ‘’Head Start’’ sur la mortalité</w:t>
      </w:r>
      <w:r>
        <w:rPr>
          <w:sz w:val="22"/>
          <w:szCs w:val="22"/>
        </w:rPr>
        <w:t>.</w:t>
      </w:r>
    </w:p>
    <w:p w14:paraId="76210219" w14:textId="77777777" w:rsidR="00F9785B" w:rsidRPr="0063588A" w:rsidRDefault="00F9785B" w:rsidP="00F9785B">
      <w:pPr>
        <w:pStyle w:val="Default"/>
        <w:jc w:val="both"/>
        <w:rPr>
          <w:sz w:val="22"/>
          <w:szCs w:val="22"/>
        </w:rPr>
      </w:pPr>
    </w:p>
    <w:p w14:paraId="6B4CE38C" w14:textId="77777777" w:rsidR="00F9785B" w:rsidRPr="00F9785B" w:rsidRDefault="00F9785B" w:rsidP="00F9785B">
      <w:pPr>
        <w:pStyle w:val="Default"/>
        <w:jc w:val="both"/>
        <w:rPr>
          <w:sz w:val="22"/>
          <w:szCs w:val="22"/>
        </w:rPr>
      </w:pPr>
    </w:p>
    <w:p w14:paraId="4E08C1AB" w14:textId="0E0CFFA4" w:rsidR="00F9785B" w:rsidRPr="00896D29" w:rsidRDefault="00F9785B" w:rsidP="00F9785B">
      <w:pPr>
        <w:pStyle w:val="Default"/>
        <w:jc w:val="both"/>
        <w:rPr>
          <w:b/>
          <w:bCs/>
          <w:sz w:val="22"/>
          <w:szCs w:val="22"/>
        </w:rPr>
      </w:pPr>
      <w:r w:rsidRPr="00896D29">
        <w:rPr>
          <w:b/>
          <w:bCs/>
          <w:sz w:val="22"/>
          <w:szCs w:val="22"/>
        </w:rPr>
        <w:t xml:space="preserve">Informations générales : </w:t>
      </w:r>
    </w:p>
    <w:p w14:paraId="67253F24" w14:textId="77777777" w:rsidR="00B17736" w:rsidRDefault="00B17736" w:rsidP="00B17736">
      <w:pPr>
        <w:pStyle w:val="Default"/>
        <w:jc w:val="both"/>
        <w:rPr>
          <w:sz w:val="22"/>
          <w:szCs w:val="22"/>
        </w:rPr>
      </w:pPr>
    </w:p>
    <w:p w14:paraId="2AAB19FC" w14:textId="49E2DD6B" w:rsidR="008A0DD5" w:rsidRDefault="00B17736" w:rsidP="008A0DD5">
      <w:pPr>
        <w:pStyle w:val="Default"/>
        <w:jc w:val="both"/>
        <w:rPr>
          <w:sz w:val="22"/>
          <w:szCs w:val="22"/>
        </w:rPr>
      </w:pPr>
      <w:r w:rsidRPr="00B17736">
        <w:rPr>
          <w:sz w:val="22"/>
          <w:szCs w:val="22"/>
        </w:rPr>
        <w:t>Nous disposons d'observations au niveau des comtés concernant plusieurs variables</w:t>
      </w:r>
      <w:r w:rsidR="00A65A47">
        <w:rPr>
          <w:sz w:val="22"/>
          <w:szCs w:val="22"/>
        </w:rPr>
        <w:t xml:space="preserve">. </w:t>
      </w:r>
      <w:r w:rsidR="00F9785B" w:rsidRPr="00680C64">
        <w:rPr>
          <w:sz w:val="22"/>
          <w:szCs w:val="22"/>
        </w:rPr>
        <w:t>Le tableau suivant donne le descriptif de</w:t>
      </w:r>
      <w:r w:rsidR="008A0DD5">
        <w:rPr>
          <w:sz w:val="22"/>
          <w:szCs w:val="22"/>
        </w:rPr>
        <w:t>s variables qui seront utilisées dans cette application.</w:t>
      </w:r>
      <w:r w:rsidR="008A0DD5">
        <w:rPr>
          <w:sz w:val="22"/>
          <w:szCs w:val="22"/>
        </w:rPr>
        <w:t xml:space="preserve"> </w:t>
      </w:r>
    </w:p>
    <w:p w14:paraId="5B4B3E91" w14:textId="0110B370" w:rsidR="008A0DD5" w:rsidRDefault="008A0DD5" w:rsidP="00F9785B">
      <w:pPr>
        <w:pStyle w:val="Default"/>
        <w:jc w:val="both"/>
        <w:rPr>
          <w:sz w:val="22"/>
          <w:szCs w:val="22"/>
        </w:rPr>
      </w:pPr>
    </w:p>
    <w:p w14:paraId="3AB77F3E" w14:textId="77777777" w:rsidR="00F9785B" w:rsidRDefault="00F9785B" w:rsidP="00F9785B">
      <w:pPr>
        <w:pStyle w:val="Default"/>
        <w:ind w:left="708"/>
        <w:jc w:val="both"/>
        <w:rPr>
          <w:i/>
          <w:iCs/>
          <w:sz w:val="22"/>
          <w:szCs w:val="22"/>
        </w:rPr>
      </w:pPr>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73"/>
        <w:gridCol w:w="7856"/>
      </w:tblGrid>
      <w:tr w:rsidR="00F9785B" w:rsidRPr="00680C64" w14:paraId="34AD68F1" w14:textId="77777777" w:rsidTr="00B17736">
        <w:trPr>
          <w:trHeight w:val="290"/>
          <w:jc w:val="center"/>
        </w:trPr>
        <w:tc>
          <w:tcPr>
            <w:tcW w:w="2173" w:type="dxa"/>
            <w:shd w:val="clear" w:color="auto" w:fill="auto"/>
            <w:noWrap/>
            <w:vAlign w:val="bottom"/>
          </w:tcPr>
          <w:p w14:paraId="2C994963" w14:textId="77777777" w:rsidR="00F9785B" w:rsidRPr="00680C64" w:rsidRDefault="00F9785B" w:rsidP="009733AF">
            <w:pPr>
              <w:spacing w:after="0" w:line="240" w:lineRule="auto"/>
              <w:rPr>
                <w:rFonts w:ascii="Calibri" w:eastAsia="Times New Roman" w:hAnsi="Calibri" w:cs="Calibri"/>
                <w:b/>
                <w:bCs/>
                <w:color w:val="000000"/>
                <w:kern w:val="0"/>
                <w:sz w:val="22"/>
                <w:szCs w:val="22"/>
                <w:lang w:eastAsia="fr-FR"/>
                <w14:ligatures w14:val="none"/>
              </w:rPr>
            </w:pPr>
            <w:r w:rsidRPr="00680C64">
              <w:rPr>
                <w:rFonts w:ascii="Calibri" w:eastAsia="Times New Roman" w:hAnsi="Calibri" w:cs="Calibri"/>
                <w:b/>
                <w:bCs/>
                <w:color w:val="000000"/>
                <w:kern w:val="0"/>
                <w:sz w:val="22"/>
                <w:szCs w:val="22"/>
                <w:lang w:eastAsia="fr-FR"/>
                <w14:ligatures w14:val="none"/>
              </w:rPr>
              <w:t>Variables</w:t>
            </w:r>
          </w:p>
        </w:tc>
        <w:tc>
          <w:tcPr>
            <w:tcW w:w="7856" w:type="dxa"/>
            <w:shd w:val="clear" w:color="auto" w:fill="auto"/>
            <w:noWrap/>
            <w:vAlign w:val="bottom"/>
          </w:tcPr>
          <w:p w14:paraId="0FA128F8" w14:textId="77777777" w:rsidR="00F9785B" w:rsidRPr="00680C64" w:rsidRDefault="00F9785B" w:rsidP="009733AF">
            <w:pPr>
              <w:spacing w:after="0" w:line="240" w:lineRule="auto"/>
              <w:rPr>
                <w:rFonts w:ascii="Calibri" w:eastAsia="Times New Roman" w:hAnsi="Calibri" w:cs="Calibri"/>
                <w:b/>
                <w:bCs/>
                <w:color w:val="000000"/>
                <w:kern w:val="0"/>
                <w:sz w:val="22"/>
                <w:szCs w:val="22"/>
                <w:lang w:eastAsia="fr-FR"/>
                <w14:ligatures w14:val="none"/>
              </w:rPr>
            </w:pPr>
            <w:r w:rsidRPr="00680C64">
              <w:rPr>
                <w:rFonts w:ascii="Calibri" w:eastAsia="Times New Roman" w:hAnsi="Calibri" w:cs="Calibri"/>
                <w:b/>
                <w:bCs/>
                <w:color w:val="000000"/>
                <w:kern w:val="0"/>
                <w:sz w:val="22"/>
                <w:szCs w:val="22"/>
                <w:lang w:eastAsia="fr-FR"/>
                <w14:ligatures w14:val="none"/>
              </w:rPr>
              <w:t>Description</w:t>
            </w:r>
          </w:p>
        </w:tc>
      </w:tr>
      <w:tr w:rsidR="00F9785B" w:rsidRPr="00B17736" w14:paraId="78AA60B9" w14:textId="77777777" w:rsidTr="00B17736">
        <w:trPr>
          <w:trHeight w:val="290"/>
          <w:jc w:val="center"/>
        </w:trPr>
        <w:tc>
          <w:tcPr>
            <w:tcW w:w="2173" w:type="dxa"/>
            <w:shd w:val="clear" w:color="auto" w:fill="auto"/>
            <w:noWrap/>
            <w:vAlign w:val="bottom"/>
          </w:tcPr>
          <w:p w14:paraId="7B9FBDE3" w14:textId="7AD6D1A0" w:rsidR="00F9785B" w:rsidRPr="00680C64" w:rsidRDefault="00B17736" w:rsidP="009733AF">
            <w:pPr>
              <w:spacing w:after="0" w:line="240" w:lineRule="auto"/>
              <w:rPr>
                <w:rFonts w:ascii="Calibri" w:eastAsia="Times New Roman" w:hAnsi="Calibri" w:cs="Calibri"/>
                <w:b/>
                <w:bCs/>
                <w:color w:val="000000"/>
                <w:kern w:val="0"/>
                <w:sz w:val="22"/>
                <w:szCs w:val="22"/>
                <w:lang w:eastAsia="fr-FR"/>
                <w14:ligatures w14:val="none"/>
              </w:rPr>
            </w:pPr>
            <w:r>
              <w:rPr>
                <w:rFonts w:ascii="LMMono12-Regular" w:hAnsi="LMMono12-Regular" w:cs="LMMono12-Regular"/>
                <w:kern w:val="0"/>
              </w:rPr>
              <w:lastRenderedPageBreak/>
              <w:t>age5_9_sum2</w:t>
            </w:r>
          </w:p>
        </w:tc>
        <w:tc>
          <w:tcPr>
            <w:tcW w:w="7856" w:type="dxa"/>
            <w:shd w:val="clear" w:color="auto" w:fill="auto"/>
            <w:noWrap/>
            <w:vAlign w:val="bottom"/>
          </w:tcPr>
          <w:p w14:paraId="3A44B396" w14:textId="574941D4" w:rsidR="00B17736" w:rsidRPr="007F1092" w:rsidRDefault="007F1092" w:rsidP="00B17736">
            <w:pPr>
              <w:spacing w:after="0" w:line="240" w:lineRule="auto"/>
              <w:rPr>
                <w:rFonts w:ascii="Calibri" w:eastAsia="Times New Roman" w:hAnsi="Calibri" w:cs="Calibri"/>
                <w:b/>
                <w:bCs/>
                <w:color w:val="000000"/>
                <w:kern w:val="0"/>
                <w:sz w:val="22"/>
                <w:szCs w:val="22"/>
                <w:lang w:eastAsia="fr-FR"/>
                <w14:ligatures w14:val="none"/>
              </w:rPr>
            </w:pPr>
            <w:r>
              <w:rPr>
                <w:sz w:val="22"/>
                <w:szCs w:val="22"/>
              </w:rPr>
              <w:t>M</w:t>
            </w:r>
            <w:r w:rsidRPr="007F1092">
              <w:rPr>
                <w:sz w:val="22"/>
                <w:szCs w:val="22"/>
              </w:rPr>
              <w:t>ortalité des enfants dans le groupe d'âge de cinq à neuf ans sur la période 1973-1983</w:t>
            </w:r>
            <w:r>
              <w:rPr>
                <w:sz w:val="22"/>
                <w:szCs w:val="22"/>
              </w:rPr>
              <w:t xml:space="preserve"> (</w:t>
            </w:r>
            <w:r w:rsidRPr="007F1092">
              <w:rPr>
                <w:sz w:val="22"/>
                <w:szCs w:val="22"/>
              </w:rPr>
              <w:t>les enfants de cinq à neuf ans à cette période auraient été en âge de participer au programme Head Start après le lancement du programme</w:t>
            </w:r>
            <w:r>
              <w:rPr>
                <w:sz w:val="22"/>
                <w:szCs w:val="22"/>
              </w:rPr>
              <w:t>)</w:t>
            </w:r>
          </w:p>
        </w:tc>
      </w:tr>
      <w:tr w:rsidR="00F9785B" w:rsidRPr="00680C64" w14:paraId="4ECC68D4" w14:textId="77777777" w:rsidTr="00B17736">
        <w:trPr>
          <w:trHeight w:val="290"/>
          <w:jc w:val="center"/>
        </w:trPr>
        <w:tc>
          <w:tcPr>
            <w:tcW w:w="2173" w:type="dxa"/>
            <w:shd w:val="clear" w:color="auto" w:fill="auto"/>
            <w:noWrap/>
            <w:vAlign w:val="bottom"/>
          </w:tcPr>
          <w:p w14:paraId="3517586B" w14:textId="070A3816" w:rsidR="00F9785B" w:rsidRPr="00680C64" w:rsidRDefault="00B17736" w:rsidP="009733AF">
            <w:pPr>
              <w:spacing w:after="0" w:line="240" w:lineRule="auto"/>
              <w:rPr>
                <w:rFonts w:ascii="Calibri" w:eastAsia="Times New Roman" w:hAnsi="Calibri" w:cs="Calibri"/>
                <w:b/>
                <w:bCs/>
                <w:color w:val="000000"/>
                <w:kern w:val="0"/>
                <w:sz w:val="22"/>
                <w:szCs w:val="22"/>
                <w:lang w:eastAsia="fr-FR"/>
                <w14:ligatures w14:val="none"/>
              </w:rPr>
            </w:pPr>
            <w:r>
              <w:rPr>
                <w:rFonts w:ascii="LMMono12-Regular" w:hAnsi="LMMono12-Regular" w:cs="LMMono12-Regular"/>
                <w:kern w:val="0"/>
              </w:rPr>
              <w:t>rate_5964</w:t>
            </w:r>
          </w:p>
        </w:tc>
        <w:tc>
          <w:tcPr>
            <w:tcW w:w="7856" w:type="dxa"/>
            <w:shd w:val="clear" w:color="auto" w:fill="auto"/>
            <w:noWrap/>
            <w:vAlign w:val="bottom"/>
          </w:tcPr>
          <w:p w14:paraId="5BA7C8BA" w14:textId="235BA2A0" w:rsidR="00F9785B" w:rsidRPr="007F1092" w:rsidRDefault="007F1092" w:rsidP="007F1092">
            <w:pPr>
              <w:pStyle w:val="Default"/>
              <w:jc w:val="both"/>
              <w:rPr>
                <w:sz w:val="22"/>
                <w:szCs w:val="22"/>
              </w:rPr>
            </w:pPr>
            <w:r>
              <w:rPr>
                <w:sz w:val="22"/>
                <w:szCs w:val="22"/>
              </w:rPr>
              <w:t>M</w:t>
            </w:r>
            <w:r w:rsidRPr="007F1092">
              <w:rPr>
                <w:sz w:val="22"/>
                <w:szCs w:val="22"/>
              </w:rPr>
              <w:t xml:space="preserve">ortalité des enfants dans le groupe d'âge de cinq à neuf ans sur la période 1959 et 1964, </w:t>
            </w:r>
            <w:r w:rsidRPr="00F26060">
              <w:rPr>
                <w:b/>
                <w:bCs/>
                <w:sz w:val="22"/>
                <w:szCs w:val="22"/>
              </w:rPr>
              <w:t>avant la mise en œuvre du programme</w:t>
            </w:r>
          </w:p>
        </w:tc>
      </w:tr>
      <w:tr w:rsidR="00B17736" w:rsidRPr="00680C64" w14:paraId="5ECBFCE0" w14:textId="77777777" w:rsidTr="00B17736">
        <w:trPr>
          <w:trHeight w:val="290"/>
          <w:jc w:val="center"/>
        </w:trPr>
        <w:tc>
          <w:tcPr>
            <w:tcW w:w="2173" w:type="dxa"/>
            <w:shd w:val="clear" w:color="auto" w:fill="auto"/>
            <w:noWrap/>
            <w:vAlign w:val="bottom"/>
          </w:tcPr>
          <w:p w14:paraId="457AA446" w14:textId="3822B2F4" w:rsidR="00B17736" w:rsidRPr="00680C64" w:rsidRDefault="00E05ED8" w:rsidP="00B17736">
            <w:pPr>
              <w:spacing w:after="0" w:line="240" w:lineRule="auto"/>
              <w:rPr>
                <w:rFonts w:ascii="Calibri" w:eastAsia="Times New Roman" w:hAnsi="Calibri" w:cs="Calibri"/>
                <w:color w:val="000000"/>
                <w:kern w:val="0"/>
                <w:sz w:val="22"/>
                <w:szCs w:val="22"/>
                <w:lang w:eastAsia="fr-FR"/>
                <w14:ligatures w14:val="none"/>
              </w:rPr>
            </w:pPr>
            <w:r>
              <w:rPr>
                <w:rFonts w:ascii="Calibri" w:eastAsia="Times New Roman" w:hAnsi="Calibri" w:cs="Calibri"/>
                <w:color w:val="000000"/>
                <w:kern w:val="0"/>
                <w:sz w:val="22"/>
                <w:szCs w:val="22"/>
                <w:lang w:eastAsia="fr-FR"/>
                <w14:ligatures w14:val="none"/>
              </w:rPr>
              <w:t>Assistance</w:t>
            </w:r>
          </w:p>
        </w:tc>
        <w:tc>
          <w:tcPr>
            <w:tcW w:w="7856" w:type="dxa"/>
            <w:shd w:val="clear" w:color="auto" w:fill="auto"/>
            <w:noWrap/>
            <w:vAlign w:val="bottom"/>
          </w:tcPr>
          <w:p w14:paraId="0CFCF191" w14:textId="173271E4" w:rsidR="00B17736" w:rsidRPr="00680C64" w:rsidRDefault="00890051" w:rsidP="00B17736">
            <w:pPr>
              <w:spacing w:after="0" w:line="240" w:lineRule="auto"/>
              <w:rPr>
                <w:rFonts w:ascii="Calibri" w:eastAsia="Times New Roman" w:hAnsi="Calibri" w:cs="Calibri"/>
                <w:color w:val="000000"/>
                <w:kern w:val="0"/>
                <w:sz w:val="22"/>
                <w:szCs w:val="22"/>
                <w:lang w:eastAsia="fr-FR"/>
                <w14:ligatures w14:val="none"/>
              </w:rPr>
            </w:pPr>
            <w:r>
              <w:rPr>
                <w:rFonts w:ascii="Calibri" w:eastAsia="Times New Roman" w:hAnsi="Calibri" w:cs="Calibri"/>
                <w:color w:val="000000"/>
                <w:kern w:val="0"/>
                <w:sz w:val="22"/>
                <w:szCs w:val="22"/>
                <w:lang w:eastAsia="fr-FR"/>
                <w14:ligatures w14:val="none"/>
              </w:rPr>
              <w:t>=1 si le comptés fait partie des 300 plus pauvres</w:t>
            </w:r>
          </w:p>
        </w:tc>
      </w:tr>
      <w:tr w:rsidR="00D715B4" w:rsidRPr="00680C64" w14:paraId="34B59B77" w14:textId="77777777" w:rsidTr="00B17736">
        <w:trPr>
          <w:trHeight w:val="290"/>
          <w:jc w:val="center"/>
        </w:trPr>
        <w:tc>
          <w:tcPr>
            <w:tcW w:w="2173" w:type="dxa"/>
            <w:shd w:val="clear" w:color="auto" w:fill="auto"/>
            <w:noWrap/>
            <w:vAlign w:val="bottom"/>
          </w:tcPr>
          <w:p w14:paraId="281ADCAE" w14:textId="156948D6" w:rsidR="00D715B4" w:rsidRDefault="00D715B4" w:rsidP="00D715B4">
            <w:pPr>
              <w:spacing w:after="0" w:line="240" w:lineRule="auto"/>
              <w:rPr>
                <w:rFonts w:ascii="Calibri" w:eastAsia="Times New Roman" w:hAnsi="Calibri" w:cs="Calibri"/>
                <w:color w:val="000000"/>
                <w:kern w:val="0"/>
                <w:sz w:val="22"/>
                <w:szCs w:val="22"/>
                <w:lang w:eastAsia="fr-FR"/>
                <w14:ligatures w14:val="none"/>
              </w:rPr>
            </w:pPr>
            <w:r>
              <w:rPr>
                <w:rFonts w:ascii="LMMono12-Regular" w:hAnsi="LMMono12-Regular" w:cs="LMMono12-Regular"/>
                <w:kern w:val="0"/>
              </w:rPr>
              <w:t>povrate60</w:t>
            </w:r>
          </w:p>
        </w:tc>
        <w:tc>
          <w:tcPr>
            <w:tcW w:w="7856" w:type="dxa"/>
            <w:shd w:val="clear" w:color="auto" w:fill="auto"/>
            <w:noWrap/>
            <w:vAlign w:val="bottom"/>
          </w:tcPr>
          <w:p w14:paraId="2990D7DA" w14:textId="031BEC8C" w:rsidR="00D715B4" w:rsidRDefault="00D715B4" w:rsidP="00D715B4">
            <w:pPr>
              <w:spacing w:after="0" w:line="240" w:lineRule="auto"/>
              <w:rPr>
                <w:rFonts w:ascii="Calibri" w:eastAsia="Times New Roman" w:hAnsi="Calibri" w:cs="Calibri"/>
                <w:color w:val="000000"/>
                <w:kern w:val="0"/>
                <w:sz w:val="22"/>
                <w:szCs w:val="22"/>
                <w:lang w:eastAsia="fr-FR"/>
                <w14:ligatures w14:val="none"/>
              </w:rPr>
            </w:pPr>
            <w:r>
              <w:rPr>
                <w:rFonts w:ascii="Calibri" w:eastAsia="Times New Roman" w:hAnsi="Calibri" w:cs="Calibri"/>
                <w:color w:val="000000"/>
                <w:kern w:val="0"/>
                <w:sz w:val="22"/>
                <w:szCs w:val="22"/>
                <w:lang w:eastAsia="fr-FR"/>
                <w14:ligatures w14:val="none"/>
              </w:rPr>
              <w:t>Taux de pauvreté en 1960</w:t>
            </w:r>
          </w:p>
        </w:tc>
      </w:tr>
      <w:tr w:rsidR="00D715B4" w:rsidRPr="00680C64" w14:paraId="2D5FD007" w14:textId="77777777" w:rsidTr="00B17736">
        <w:trPr>
          <w:trHeight w:val="290"/>
          <w:jc w:val="center"/>
        </w:trPr>
        <w:tc>
          <w:tcPr>
            <w:tcW w:w="2173" w:type="dxa"/>
            <w:shd w:val="clear" w:color="auto" w:fill="auto"/>
            <w:noWrap/>
            <w:vAlign w:val="bottom"/>
          </w:tcPr>
          <w:p w14:paraId="52B0F5DD" w14:textId="55424B61" w:rsidR="00D715B4" w:rsidRPr="00680C64" w:rsidRDefault="00D715B4" w:rsidP="00D715B4">
            <w:pPr>
              <w:spacing w:after="0" w:line="240" w:lineRule="auto"/>
              <w:rPr>
                <w:rFonts w:ascii="Calibri" w:eastAsia="Times New Roman" w:hAnsi="Calibri" w:cs="Calibri"/>
                <w:color w:val="000000"/>
                <w:kern w:val="0"/>
                <w:sz w:val="22"/>
                <w:szCs w:val="22"/>
                <w:lang w:eastAsia="fr-FR"/>
                <w14:ligatures w14:val="none"/>
              </w:rPr>
            </w:pPr>
            <w:r>
              <w:rPr>
                <w:rFonts w:ascii="LMMono12-Regular" w:hAnsi="LMMono12-Regular" w:cs="LMMono12-Regular"/>
                <w:kern w:val="0"/>
              </w:rPr>
              <w:t>povrate</w:t>
            </w:r>
          </w:p>
        </w:tc>
        <w:tc>
          <w:tcPr>
            <w:tcW w:w="7856" w:type="dxa"/>
            <w:shd w:val="clear" w:color="auto" w:fill="auto"/>
            <w:noWrap/>
            <w:vAlign w:val="bottom"/>
          </w:tcPr>
          <w:p w14:paraId="69D50CFA" w14:textId="3CAF6521" w:rsidR="00D715B4" w:rsidRPr="00680C64" w:rsidRDefault="00D715B4" w:rsidP="00D715B4">
            <w:pPr>
              <w:spacing w:after="0" w:line="240" w:lineRule="auto"/>
              <w:rPr>
                <w:rFonts w:ascii="Calibri" w:eastAsia="Times New Roman" w:hAnsi="Calibri" w:cs="Calibri"/>
                <w:color w:val="000000"/>
                <w:kern w:val="0"/>
                <w:sz w:val="22"/>
                <w:szCs w:val="22"/>
                <w:lang w:eastAsia="fr-FR"/>
                <w14:ligatures w14:val="none"/>
              </w:rPr>
            </w:pPr>
            <w:r>
              <w:rPr>
                <w:rFonts w:ascii="Calibri" w:eastAsia="Times New Roman" w:hAnsi="Calibri" w:cs="Calibri"/>
                <w:color w:val="000000"/>
                <w:kern w:val="0"/>
                <w:sz w:val="22"/>
                <w:szCs w:val="22"/>
                <w:lang w:eastAsia="fr-FR"/>
                <w14:ligatures w14:val="none"/>
              </w:rPr>
              <w:t xml:space="preserve">Taux de pauvreté normalisé de sorte que les 300 compté  </w:t>
            </w:r>
          </w:p>
        </w:tc>
      </w:tr>
      <w:tr w:rsidR="00D715B4" w:rsidRPr="00680C64" w14:paraId="38CD23A4" w14:textId="77777777" w:rsidTr="00B17736">
        <w:trPr>
          <w:trHeight w:val="290"/>
          <w:jc w:val="center"/>
        </w:trPr>
        <w:tc>
          <w:tcPr>
            <w:tcW w:w="2173" w:type="dxa"/>
            <w:shd w:val="clear" w:color="auto" w:fill="auto"/>
            <w:noWrap/>
            <w:vAlign w:val="bottom"/>
          </w:tcPr>
          <w:p w14:paraId="7DBA5282" w14:textId="4183A42D" w:rsidR="00D715B4" w:rsidRPr="00680C64" w:rsidRDefault="00D715B4" w:rsidP="00D715B4">
            <w:pPr>
              <w:spacing w:after="0" w:line="240" w:lineRule="auto"/>
              <w:rPr>
                <w:rFonts w:ascii="Calibri" w:eastAsia="Times New Roman" w:hAnsi="Calibri" w:cs="Calibri"/>
                <w:color w:val="000000"/>
                <w:kern w:val="0"/>
                <w:sz w:val="22"/>
                <w:szCs w:val="22"/>
                <w:lang w:eastAsia="fr-FR"/>
                <w14:ligatures w14:val="none"/>
              </w:rPr>
            </w:pPr>
            <w:r>
              <w:rPr>
                <w:rFonts w:ascii="Calibri" w:eastAsia="Times New Roman" w:hAnsi="Calibri" w:cs="Calibri"/>
                <w:color w:val="000000"/>
                <w:kern w:val="0"/>
                <w:sz w:val="22"/>
                <w:szCs w:val="22"/>
                <w:lang w:eastAsia="fr-FR"/>
                <w14:ligatures w14:val="none"/>
              </w:rPr>
              <w:t>P</w:t>
            </w:r>
            <w:r w:rsidRPr="00ED7228">
              <w:rPr>
                <w:rFonts w:ascii="Calibri" w:eastAsia="Times New Roman" w:hAnsi="Calibri" w:cs="Calibri"/>
                <w:color w:val="000000"/>
                <w:kern w:val="0"/>
                <w:sz w:val="22"/>
                <w:szCs w:val="22"/>
                <w:lang w:eastAsia="fr-FR"/>
                <w14:ligatures w14:val="none"/>
              </w:rPr>
              <w:t>ovAss</w:t>
            </w:r>
          </w:p>
        </w:tc>
        <w:tc>
          <w:tcPr>
            <w:tcW w:w="7856" w:type="dxa"/>
            <w:shd w:val="clear" w:color="auto" w:fill="auto"/>
            <w:noWrap/>
            <w:vAlign w:val="bottom"/>
          </w:tcPr>
          <w:p w14:paraId="6FFC3012" w14:textId="610DDE5E" w:rsidR="00D715B4" w:rsidRPr="00680C64" w:rsidRDefault="00D715B4" w:rsidP="00D715B4">
            <w:pPr>
              <w:spacing w:after="0" w:line="240" w:lineRule="auto"/>
              <w:rPr>
                <w:rFonts w:ascii="Calibri" w:eastAsia="Times New Roman" w:hAnsi="Calibri" w:cs="Calibri"/>
                <w:color w:val="000000"/>
                <w:kern w:val="0"/>
                <w:sz w:val="22"/>
                <w:szCs w:val="22"/>
                <w:lang w:eastAsia="fr-FR"/>
                <w14:ligatures w14:val="none"/>
              </w:rPr>
            </w:pPr>
            <w:r>
              <w:rPr>
                <w:rFonts w:ascii="Calibri" w:eastAsia="Times New Roman" w:hAnsi="Calibri" w:cs="Calibri"/>
                <w:color w:val="000000"/>
                <w:kern w:val="0"/>
                <w:sz w:val="22"/>
                <w:szCs w:val="22"/>
                <w:lang w:eastAsia="fr-FR"/>
                <w14:ligatures w14:val="none"/>
              </w:rPr>
              <w:t>Interaction entre ‘’</w:t>
            </w:r>
            <w:r>
              <w:rPr>
                <w:rFonts w:ascii="LMMono12-Regular" w:hAnsi="LMMono12-Regular" w:cs="LMMono12-Regular"/>
                <w:kern w:val="0"/>
              </w:rPr>
              <w:t>povrate</w:t>
            </w:r>
            <w:r>
              <w:rPr>
                <w:rFonts w:ascii="LMMono12-Regular" w:hAnsi="LMMono12-Regular" w:cs="LMMono12-Regular"/>
                <w:kern w:val="0"/>
              </w:rPr>
              <w:t>’’ et ‘’</w:t>
            </w:r>
            <w:r>
              <w:rPr>
                <w:rFonts w:ascii="Calibri" w:eastAsia="Times New Roman" w:hAnsi="Calibri" w:cs="Calibri"/>
                <w:color w:val="000000"/>
                <w:kern w:val="0"/>
                <w:sz w:val="22"/>
                <w:szCs w:val="22"/>
                <w:lang w:eastAsia="fr-FR"/>
                <w14:ligatures w14:val="none"/>
              </w:rPr>
              <w:t>Assistance</w:t>
            </w:r>
            <w:r>
              <w:rPr>
                <w:rFonts w:ascii="Calibri" w:eastAsia="Times New Roman" w:hAnsi="Calibri" w:cs="Calibri"/>
                <w:color w:val="000000"/>
                <w:kern w:val="0"/>
                <w:sz w:val="22"/>
                <w:szCs w:val="22"/>
                <w:lang w:eastAsia="fr-FR"/>
                <w14:ligatures w14:val="none"/>
              </w:rPr>
              <w:t>’’</w:t>
            </w:r>
          </w:p>
        </w:tc>
      </w:tr>
    </w:tbl>
    <w:p w14:paraId="637851F9" w14:textId="77777777" w:rsidR="00F9785B" w:rsidRPr="00896D29" w:rsidRDefault="00F9785B" w:rsidP="00F9785B">
      <w:pPr>
        <w:pStyle w:val="Default"/>
        <w:ind w:left="708"/>
        <w:jc w:val="both"/>
        <w:rPr>
          <w:sz w:val="22"/>
          <w:szCs w:val="22"/>
        </w:rPr>
      </w:pPr>
    </w:p>
    <w:p w14:paraId="63C9A20D" w14:textId="77777777" w:rsidR="00F9785B" w:rsidRPr="00896D29" w:rsidRDefault="00F9785B" w:rsidP="00F9785B">
      <w:pPr>
        <w:pStyle w:val="Default"/>
        <w:jc w:val="both"/>
        <w:rPr>
          <w:sz w:val="22"/>
          <w:szCs w:val="22"/>
        </w:rPr>
      </w:pPr>
    </w:p>
    <w:p w14:paraId="30194047" w14:textId="52A48351" w:rsidR="004E575F" w:rsidRPr="00896D29" w:rsidRDefault="00F9785B" w:rsidP="00A06E88">
      <w:pPr>
        <w:pStyle w:val="Default"/>
        <w:numPr>
          <w:ilvl w:val="0"/>
          <w:numId w:val="8"/>
        </w:numPr>
        <w:jc w:val="both"/>
        <w:rPr>
          <w:b/>
          <w:bCs/>
          <w:sz w:val="22"/>
          <w:szCs w:val="22"/>
        </w:rPr>
      </w:pPr>
      <w:r w:rsidRPr="00896D29">
        <w:rPr>
          <w:b/>
          <w:bCs/>
          <w:sz w:val="22"/>
          <w:szCs w:val="22"/>
        </w:rPr>
        <w:t xml:space="preserve">Première partie : Statistiques </w:t>
      </w:r>
      <w:r w:rsidR="004E575F">
        <w:rPr>
          <w:b/>
          <w:bCs/>
          <w:sz w:val="22"/>
          <w:szCs w:val="22"/>
        </w:rPr>
        <w:t xml:space="preserve">descriptives et </w:t>
      </w:r>
      <w:r w:rsidR="001C3E37">
        <w:rPr>
          <w:b/>
          <w:bCs/>
          <w:sz w:val="22"/>
          <w:szCs w:val="22"/>
        </w:rPr>
        <w:t>a</w:t>
      </w:r>
      <w:r w:rsidR="004E575F" w:rsidRPr="00896D29">
        <w:rPr>
          <w:b/>
          <w:bCs/>
          <w:sz w:val="22"/>
          <w:szCs w:val="22"/>
        </w:rPr>
        <w:t>nalyse</w:t>
      </w:r>
      <w:r w:rsidR="00FD6687">
        <w:rPr>
          <w:b/>
          <w:bCs/>
          <w:sz w:val="22"/>
          <w:szCs w:val="22"/>
        </w:rPr>
        <w:t>s</w:t>
      </w:r>
      <w:r w:rsidR="004E575F" w:rsidRPr="00896D29">
        <w:rPr>
          <w:b/>
          <w:bCs/>
          <w:sz w:val="22"/>
          <w:szCs w:val="22"/>
        </w:rPr>
        <w:t xml:space="preserve"> graphique</w:t>
      </w:r>
      <w:r w:rsidR="00FD6687">
        <w:rPr>
          <w:b/>
          <w:bCs/>
          <w:sz w:val="22"/>
          <w:szCs w:val="22"/>
        </w:rPr>
        <w:t>s</w:t>
      </w:r>
      <w:r w:rsidR="004E575F" w:rsidRPr="00896D29">
        <w:rPr>
          <w:b/>
          <w:bCs/>
          <w:sz w:val="22"/>
          <w:szCs w:val="22"/>
        </w:rPr>
        <w:t xml:space="preserve"> </w:t>
      </w:r>
    </w:p>
    <w:p w14:paraId="5668A761" w14:textId="77777777" w:rsidR="00F9785B" w:rsidRPr="00896D29" w:rsidRDefault="00F9785B" w:rsidP="00F9785B">
      <w:pPr>
        <w:pStyle w:val="Default"/>
        <w:spacing w:after="58"/>
        <w:jc w:val="both"/>
        <w:rPr>
          <w:sz w:val="22"/>
          <w:szCs w:val="22"/>
        </w:rPr>
      </w:pPr>
    </w:p>
    <w:p w14:paraId="120406F6" w14:textId="478C8D9D" w:rsidR="002A01F1" w:rsidRDefault="002A01F1" w:rsidP="00F9785B">
      <w:pPr>
        <w:pStyle w:val="Default"/>
        <w:numPr>
          <w:ilvl w:val="0"/>
          <w:numId w:val="1"/>
        </w:numPr>
        <w:spacing w:after="58"/>
        <w:jc w:val="both"/>
        <w:rPr>
          <w:sz w:val="22"/>
          <w:szCs w:val="22"/>
        </w:rPr>
      </w:pPr>
      <w:r w:rsidRPr="002A01F1">
        <w:rPr>
          <w:sz w:val="22"/>
          <w:szCs w:val="22"/>
        </w:rPr>
        <w:t xml:space="preserve">Produisez un histogramme pour la variable taux de pauvreté </w:t>
      </w:r>
      <w:r w:rsidR="00DA0BCD">
        <w:rPr>
          <w:sz w:val="22"/>
          <w:szCs w:val="22"/>
        </w:rPr>
        <w:t>(‘’</w:t>
      </w:r>
      <w:r w:rsidR="00DA0BCD">
        <w:rPr>
          <w:rFonts w:ascii="LMMono12-Regular" w:hAnsi="LMMono12-Regular" w:cs="LMMono12-Regular"/>
        </w:rPr>
        <w:t>povrate</w:t>
      </w:r>
      <w:r w:rsidR="00DA0BCD">
        <w:rPr>
          <w:sz w:val="22"/>
          <w:szCs w:val="22"/>
        </w:rPr>
        <w:t xml:space="preserve">‘’) </w:t>
      </w:r>
      <w:r w:rsidRPr="002A01F1">
        <w:rPr>
          <w:sz w:val="22"/>
          <w:szCs w:val="22"/>
        </w:rPr>
        <w:t>avant la mise en place du programme "Head Start" (en 1960). Que pouvez-vous conclure concernant cette distribution et notre stratégie d'estimation ?</w:t>
      </w:r>
    </w:p>
    <w:p w14:paraId="32ABAEC7" w14:textId="77777777" w:rsidR="00A816B4" w:rsidRDefault="00DD1DEA" w:rsidP="00F9785B">
      <w:pPr>
        <w:pStyle w:val="Default"/>
        <w:numPr>
          <w:ilvl w:val="0"/>
          <w:numId w:val="1"/>
        </w:numPr>
        <w:spacing w:after="58"/>
        <w:jc w:val="both"/>
        <w:rPr>
          <w:sz w:val="22"/>
          <w:szCs w:val="22"/>
        </w:rPr>
      </w:pPr>
      <w:r w:rsidRPr="00DF3AEB">
        <w:rPr>
          <w:sz w:val="22"/>
          <w:szCs w:val="22"/>
        </w:rPr>
        <w:t>C</w:t>
      </w:r>
      <w:r w:rsidRPr="00DF3AEB">
        <w:rPr>
          <w:sz w:val="22"/>
          <w:szCs w:val="22"/>
        </w:rPr>
        <w:t>ompare</w:t>
      </w:r>
      <w:r w:rsidRPr="00DF3AEB">
        <w:rPr>
          <w:sz w:val="22"/>
          <w:szCs w:val="22"/>
        </w:rPr>
        <w:t>z</w:t>
      </w:r>
      <w:r w:rsidRPr="00DF3AEB">
        <w:rPr>
          <w:sz w:val="22"/>
          <w:szCs w:val="22"/>
        </w:rPr>
        <w:t xml:space="preserve"> les comtés proches du seuil. </w:t>
      </w:r>
      <w:r w:rsidRPr="00DF3AEB">
        <w:rPr>
          <w:sz w:val="22"/>
          <w:szCs w:val="22"/>
        </w:rPr>
        <w:t xml:space="preserve">Pour cela, choisissez </w:t>
      </w:r>
      <w:r w:rsidRPr="00DF3AEB">
        <w:rPr>
          <w:sz w:val="22"/>
          <w:szCs w:val="22"/>
        </w:rPr>
        <w:t xml:space="preserve">arbitrairement de n'utiliser que les comtés </w:t>
      </w:r>
      <w:r w:rsidRPr="00DF3AEB">
        <w:rPr>
          <w:sz w:val="22"/>
          <w:szCs w:val="22"/>
        </w:rPr>
        <w:t xml:space="preserve">dont </w:t>
      </w:r>
      <w:r w:rsidRPr="00DF3AEB">
        <w:rPr>
          <w:sz w:val="22"/>
          <w:szCs w:val="22"/>
        </w:rPr>
        <w:t xml:space="preserve">le taux de pauvreté </w:t>
      </w:r>
      <w:r w:rsidR="007A483A" w:rsidRPr="00DF3AEB">
        <w:rPr>
          <w:sz w:val="22"/>
          <w:szCs w:val="22"/>
        </w:rPr>
        <w:t>est situé à au plus</w:t>
      </w:r>
      <w:r w:rsidRPr="00DF3AEB">
        <w:rPr>
          <w:sz w:val="22"/>
          <w:szCs w:val="22"/>
        </w:rPr>
        <w:t xml:space="preserve"> 8% en dessous et au-dessus du seuil, soit une largeur de bande dans le taux de pauvreté de 16% </w:t>
      </w:r>
      <w:r w:rsidR="007A483A" w:rsidRPr="00DF3AEB">
        <w:rPr>
          <w:sz w:val="22"/>
          <w:szCs w:val="22"/>
        </w:rPr>
        <w:t>autours du</w:t>
      </w:r>
      <w:r w:rsidRPr="00DF3AEB">
        <w:rPr>
          <w:sz w:val="22"/>
          <w:szCs w:val="22"/>
        </w:rPr>
        <w:t xml:space="preserve"> seuil. Géné</w:t>
      </w:r>
      <w:r w:rsidR="00DF3AEB" w:rsidRPr="00DF3AEB">
        <w:rPr>
          <w:sz w:val="22"/>
          <w:szCs w:val="22"/>
        </w:rPr>
        <w:t>rez la</w:t>
      </w:r>
      <w:r w:rsidRPr="00DF3AEB">
        <w:rPr>
          <w:sz w:val="22"/>
          <w:szCs w:val="22"/>
        </w:rPr>
        <w:t xml:space="preserve"> variable</w:t>
      </w:r>
      <w:r w:rsidR="00DF3AEB" w:rsidRPr="00DF3AEB">
        <w:rPr>
          <w:sz w:val="22"/>
          <w:szCs w:val="22"/>
        </w:rPr>
        <w:t xml:space="preserve"> </w:t>
      </w:r>
      <w:r w:rsidRPr="00DF3AEB">
        <w:rPr>
          <w:sz w:val="22"/>
          <w:szCs w:val="22"/>
        </w:rPr>
        <w:t>appelée</w:t>
      </w:r>
      <w:r w:rsidR="00DF3AEB" w:rsidRPr="00DF3AEB">
        <w:rPr>
          <w:sz w:val="22"/>
          <w:szCs w:val="22"/>
        </w:rPr>
        <w:t xml:space="preserve"> « bande » </w:t>
      </w:r>
      <w:r w:rsidRPr="00DF3AEB">
        <w:rPr>
          <w:sz w:val="22"/>
          <w:szCs w:val="22"/>
        </w:rPr>
        <w:t xml:space="preserve">qui identifient </w:t>
      </w:r>
      <w:r w:rsidR="00DF3AEB" w:rsidRPr="00DF3AEB">
        <w:rPr>
          <w:sz w:val="22"/>
          <w:szCs w:val="22"/>
        </w:rPr>
        <w:t>ce</w:t>
      </w:r>
      <w:r w:rsidRPr="00DF3AEB">
        <w:rPr>
          <w:sz w:val="22"/>
          <w:szCs w:val="22"/>
        </w:rPr>
        <w:t>s comtés</w:t>
      </w:r>
      <w:r w:rsidR="00DF3AEB" w:rsidRPr="00DF3AEB">
        <w:rPr>
          <w:sz w:val="22"/>
          <w:szCs w:val="22"/>
        </w:rPr>
        <w:t xml:space="preserve"> se trouvant autours du seuil.</w:t>
      </w:r>
    </w:p>
    <w:p w14:paraId="362235EF" w14:textId="226DCC45" w:rsidR="002A01F1" w:rsidRPr="00DF3AEB" w:rsidRDefault="00DF3AEB" w:rsidP="00F9785B">
      <w:pPr>
        <w:pStyle w:val="Default"/>
        <w:numPr>
          <w:ilvl w:val="0"/>
          <w:numId w:val="1"/>
        </w:numPr>
        <w:spacing w:after="58"/>
        <w:jc w:val="both"/>
        <w:rPr>
          <w:sz w:val="22"/>
          <w:szCs w:val="22"/>
        </w:rPr>
      </w:pPr>
      <w:r>
        <w:rPr>
          <w:sz w:val="22"/>
          <w:szCs w:val="22"/>
        </w:rPr>
        <w:t>F</w:t>
      </w:r>
      <w:r w:rsidRPr="00DF3AEB">
        <w:rPr>
          <w:sz w:val="22"/>
          <w:szCs w:val="22"/>
        </w:rPr>
        <w:t xml:space="preserve">aites </w:t>
      </w:r>
      <w:r w:rsidR="00A816B4">
        <w:rPr>
          <w:sz w:val="22"/>
          <w:szCs w:val="22"/>
        </w:rPr>
        <w:t>un tableau croisé entre « bande » et</w:t>
      </w:r>
      <w:r w:rsidR="00A50881">
        <w:rPr>
          <w:sz w:val="22"/>
          <w:szCs w:val="22"/>
        </w:rPr>
        <w:t xml:space="preserve"> « </w:t>
      </w:r>
      <w:r w:rsidR="00687D61">
        <w:rPr>
          <w:sz w:val="22"/>
          <w:szCs w:val="22"/>
        </w:rPr>
        <w:t>Assistance »</w:t>
      </w:r>
      <w:r w:rsidR="00A816B4">
        <w:rPr>
          <w:sz w:val="22"/>
          <w:szCs w:val="22"/>
        </w:rPr>
        <w:t>. C</w:t>
      </w:r>
      <w:r w:rsidRPr="00DF3AEB">
        <w:rPr>
          <w:sz w:val="22"/>
          <w:szCs w:val="22"/>
        </w:rPr>
        <w:t>ommentez</w:t>
      </w:r>
    </w:p>
    <w:p w14:paraId="643622E1" w14:textId="0856DE28" w:rsidR="00560CA3" w:rsidRDefault="00475B00" w:rsidP="00560CA3">
      <w:pPr>
        <w:pStyle w:val="Default"/>
        <w:numPr>
          <w:ilvl w:val="0"/>
          <w:numId w:val="1"/>
        </w:numPr>
        <w:spacing w:after="58"/>
        <w:jc w:val="both"/>
        <w:rPr>
          <w:sz w:val="22"/>
          <w:szCs w:val="22"/>
        </w:rPr>
      </w:pPr>
      <w:r w:rsidRPr="00475B00">
        <w:rPr>
          <w:sz w:val="22"/>
          <w:szCs w:val="22"/>
        </w:rPr>
        <w:t>Observez-vous des différences significatives</w:t>
      </w:r>
      <w:r>
        <w:rPr>
          <w:sz w:val="22"/>
          <w:szCs w:val="22"/>
        </w:rPr>
        <w:t xml:space="preserve"> </w:t>
      </w:r>
      <w:r w:rsidR="00560CA3">
        <w:rPr>
          <w:sz w:val="22"/>
          <w:szCs w:val="22"/>
        </w:rPr>
        <w:t xml:space="preserve">de </w:t>
      </w:r>
      <w:r>
        <w:rPr>
          <w:sz w:val="22"/>
          <w:szCs w:val="22"/>
        </w:rPr>
        <w:t>moyenne</w:t>
      </w:r>
      <w:r w:rsidRPr="00475B00">
        <w:rPr>
          <w:sz w:val="22"/>
          <w:szCs w:val="22"/>
        </w:rPr>
        <w:t xml:space="preserve"> </w:t>
      </w:r>
      <w:r w:rsidR="00560CA3" w:rsidRPr="00D91587">
        <w:rPr>
          <w:sz w:val="22"/>
          <w:szCs w:val="22"/>
        </w:rPr>
        <w:t>po</w:t>
      </w:r>
      <w:r w:rsidR="00560CA3">
        <w:rPr>
          <w:sz w:val="22"/>
          <w:szCs w:val="22"/>
        </w:rPr>
        <w:t xml:space="preserve">ur la variable </w:t>
      </w:r>
      <w:r w:rsidR="00560CA3" w:rsidRPr="00D91587">
        <w:rPr>
          <w:sz w:val="22"/>
          <w:szCs w:val="22"/>
        </w:rPr>
        <w:t>rate_5964</w:t>
      </w:r>
      <w:r w:rsidR="00560CA3">
        <w:rPr>
          <w:sz w:val="22"/>
          <w:szCs w:val="22"/>
        </w:rPr>
        <w:t xml:space="preserve"> qui correspond à la variable de résultat qui nous intéresse</w:t>
      </w:r>
      <w:r w:rsidR="00560CA3" w:rsidRPr="00D91587">
        <w:t xml:space="preserve"> </w:t>
      </w:r>
      <w:r w:rsidR="00560CA3">
        <w:t>(la mortalité</w:t>
      </w:r>
      <w:r w:rsidR="00560CA3">
        <w:rPr>
          <w:sz w:val="22"/>
          <w:szCs w:val="22"/>
        </w:rPr>
        <w:t>) avant l’implémentation du ‘’Head Start’’</w:t>
      </w:r>
      <w:r w:rsidR="00751AD7">
        <w:rPr>
          <w:sz w:val="22"/>
          <w:szCs w:val="22"/>
        </w:rPr>
        <w:t xml:space="preserve"> autours du seuil ?</w:t>
      </w:r>
      <w:r w:rsidR="00560CA3">
        <w:rPr>
          <w:sz w:val="22"/>
          <w:szCs w:val="22"/>
        </w:rPr>
        <w:t xml:space="preserve"> Commentez en quoi le résultat de la comparaison est intéressant.</w:t>
      </w:r>
    </w:p>
    <w:p w14:paraId="0C5002B9" w14:textId="5743EF09" w:rsidR="00B31E50" w:rsidRPr="00560CA3" w:rsidRDefault="00B31E50" w:rsidP="00560CA3">
      <w:pPr>
        <w:pStyle w:val="Default"/>
        <w:numPr>
          <w:ilvl w:val="0"/>
          <w:numId w:val="1"/>
        </w:numPr>
        <w:spacing w:after="58"/>
        <w:jc w:val="both"/>
        <w:rPr>
          <w:sz w:val="22"/>
          <w:szCs w:val="22"/>
        </w:rPr>
      </w:pPr>
      <w:r w:rsidRPr="00560CA3">
        <w:rPr>
          <w:sz w:val="22"/>
          <w:szCs w:val="22"/>
        </w:rPr>
        <w:t xml:space="preserve">Faite une régression linéaire dont la variable expliquée est la variable de mortalité </w:t>
      </w:r>
      <w:r w:rsidRPr="00560CA3">
        <w:rPr>
          <w:sz w:val="22"/>
          <w:szCs w:val="22"/>
        </w:rPr>
        <w:t>‘’</w:t>
      </w:r>
      <w:r w:rsidRPr="00560CA3">
        <w:rPr>
          <w:rFonts w:ascii="LMMono12-Regular" w:hAnsi="LMMono12-Regular" w:cs="LMMono12-Regular"/>
        </w:rPr>
        <w:t>rate_5964</w:t>
      </w:r>
      <w:r w:rsidRPr="00560CA3">
        <w:rPr>
          <w:sz w:val="22"/>
          <w:szCs w:val="22"/>
        </w:rPr>
        <w:t>’’</w:t>
      </w:r>
      <w:r w:rsidRPr="00560CA3">
        <w:rPr>
          <w:sz w:val="22"/>
          <w:szCs w:val="22"/>
        </w:rPr>
        <w:t xml:space="preserve"> </w:t>
      </w:r>
      <w:r w:rsidRPr="00560CA3">
        <w:rPr>
          <w:sz w:val="22"/>
          <w:szCs w:val="22"/>
        </w:rPr>
        <w:t>et les variables explicatives sont ‘’Assistance’’, ‘’povrate’’ et ‘’PovAss’’. Calculez les valeurs prédites que vous stockez dans la variable ‘’Linear</w:t>
      </w:r>
      <w:r w:rsidR="005C0D52" w:rsidRPr="00560CA3">
        <w:rPr>
          <w:sz w:val="22"/>
          <w:szCs w:val="22"/>
        </w:rPr>
        <w:t>Before</w:t>
      </w:r>
      <w:r w:rsidRPr="00560CA3">
        <w:rPr>
          <w:sz w:val="22"/>
          <w:szCs w:val="22"/>
        </w:rPr>
        <w:t>’’. Représentez graphiquement ‘’</w:t>
      </w:r>
      <w:r w:rsidR="00722A6C" w:rsidRPr="00560CA3">
        <w:rPr>
          <w:sz w:val="22"/>
          <w:szCs w:val="22"/>
        </w:rPr>
        <w:t xml:space="preserve"> </w:t>
      </w:r>
      <w:r w:rsidR="00722A6C" w:rsidRPr="00560CA3">
        <w:rPr>
          <w:sz w:val="22"/>
          <w:szCs w:val="22"/>
        </w:rPr>
        <w:t>’LinearBefore</w:t>
      </w:r>
      <w:r w:rsidRPr="00560CA3">
        <w:rPr>
          <w:sz w:val="22"/>
          <w:szCs w:val="22"/>
        </w:rPr>
        <w:t xml:space="preserve">’’ en fonction ‘’povrate’’. </w:t>
      </w:r>
    </w:p>
    <w:p w14:paraId="06EF679C" w14:textId="77777777" w:rsidR="00F9785B" w:rsidRPr="00896D29" w:rsidRDefault="00F9785B" w:rsidP="00F9785B">
      <w:pPr>
        <w:pStyle w:val="Default"/>
        <w:jc w:val="both"/>
        <w:rPr>
          <w:sz w:val="22"/>
          <w:szCs w:val="22"/>
        </w:rPr>
      </w:pPr>
    </w:p>
    <w:p w14:paraId="6AC45C4A" w14:textId="7A1EE936" w:rsidR="00F9785B" w:rsidRPr="00896D29" w:rsidRDefault="007950E5" w:rsidP="00A06E88">
      <w:pPr>
        <w:pStyle w:val="Default"/>
        <w:numPr>
          <w:ilvl w:val="0"/>
          <w:numId w:val="8"/>
        </w:numPr>
        <w:jc w:val="both"/>
        <w:rPr>
          <w:b/>
          <w:bCs/>
          <w:sz w:val="22"/>
          <w:szCs w:val="22"/>
        </w:rPr>
      </w:pPr>
      <w:r>
        <w:rPr>
          <w:b/>
          <w:bCs/>
          <w:sz w:val="22"/>
          <w:szCs w:val="22"/>
        </w:rPr>
        <w:t>Deuxième</w:t>
      </w:r>
      <w:r w:rsidR="00F9785B" w:rsidRPr="00896D29">
        <w:rPr>
          <w:b/>
          <w:bCs/>
          <w:sz w:val="22"/>
          <w:szCs w:val="22"/>
        </w:rPr>
        <w:t xml:space="preserve"> partie : </w:t>
      </w:r>
      <w:r w:rsidR="006625F2">
        <w:rPr>
          <w:b/>
          <w:bCs/>
          <w:sz w:val="22"/>
          <w:szCs w:val="22"/>
        </w:rPr>
        <w:t>mesure de l’impact</w:t>
      </w:r>
    </w:p>
    <w:p w14:paraId="40888E71" w14:textId="77777777" w:rsidR="00F9785B" w:rsidRDefault="00F9785B" w:rsidP="00F9785B">
      <w:pPr>
        <w:pStyle w:val="Default"/>
        <w:jc w:val="both"/>
        <w:rPr>
          <w:sz w:val="22"/>
          <w:szCs w:val="22"/>
        </w:rPr>
      </w:pPr>
    </w:p>
    <w:p w14:paraId="3254CF39" w14:textId="030AAD78" w:rsidR="0036208B" w:rsidRPr="00D23EC0" w:rsidRDefault="00130421" w:rsidP="00D23EC0">
      <w:pPr>
        <w:pStyle w:val="Default"/>
        <w:numPr>
          <w:ilvl w:val="0"/>
          <w:numId w:val="7"/>
        </w:numPr>
        <w:spacing w:after="58"/>
        <w:jc w:val="both"/>
        <w:rPr>
          <w:sz w:val="22"/>
          <w:szCs w:val="22"/>
        </w:rPr>
      </w:pPr>
      <w:r>
        <w:rPr>
          <w:sz w:val="22"/>
          <w:szCs w:val="22"/>
        </w:rPr>
        <w:t>Faite une régression linéaire dont la variable expliquée est la variable de mortalité ‘</w:t>
      </w:r>
      <w:r w:rsidR="00136862" w:rsidRPr="004C7010">
        <w:rPr>
          <w:sz w:val="22"/>
          <w:szCs w:val="22"/>
        </w:rPr>
        <w:t xml:space="preserve">’age5_9_sum2’’ </w:t>
      </w:r>
      <w:r>
        <w:rPr>
          <w:sz w:val="22"/>
          <w:szCs w:val="22"/>
        </w:rPr>
        <w:t xml:space="preserve">et les variables explicatives sont ‘’Assistance’’, ‘’povrate’’ et ‘’PovAss’’. Calculez les valeurs prédites que vous stockez dans la variable ‘’Linear’’. Représentez graphiquement ‘’Linear’’ en fonction ‘’povrate’’. </w:t>
      </w:r>
      <w:r w:rsidRPr="005D15C3">
        <w:rPr>
          <w:sz w:val="22"/>
          <w:szCs w:val="22"/>
        </w:rPr>
        <w:t xml:space="preserve"> </w:t>
      </w:r>
      <w:r w:rsidR="00504BCC">
        <w:rPr>
          <w:sz w:val="22"/>
          <w:szCs w:val="22"/>
        </w:rPr>
        <w:t xml:space="preserve"> Quel est l’effet du programme ?</w:t>
      </w:r>
    </w:p>
    <w:p w14:paraId="023E0266" w14:textId="625134FA" w:rsidR="00504BCC" w:rsidRDefault="002B5422" w:rsidP="00B1387C">
      <w:pPr>
        <w:pStyle w:val="Default"/>
        <w:numPr>
          <w:ilvl w:val="0"/>
          <w:numId w:val="7"/>
        </w:numPr>
        <w:spacing w:after="58"/>
        <w:jc w:val="both"/>
        <w:rPr>
          <w:sz w:val="22"/>
          <w:szCs w:val="22"/>
        </w:rPr>
      </w:pPr>
      <w:r w:rsidRPr="00B1387C">
        <w:rPr>
          <w:sz w:val="22"/>
          <w:szCs w:val="22"/>
        </w:rPr>
        <w:t>Reprenez la question</w:t>
      </w:r>
      <w:r w:rsidR="00D23EC0">
        <w:rPr>
          <w:sz w:val="22"/>
          <w:szCs w:val="22"/>
        </w:rPr>
        <w:t xml:space="preserve"> 1</w:t>
      </w:r>
      <w:r w:rsidRPr="00B1387C">
        <w:rPr>
          <w:sz w:val="22"/>
          <w:szCs w:val="22"/>
        </w:rPr>
        <w:t xml:space="preserve"> en utilisant </w:t>
      </w:r>
      <w:r w:rsidR="00C40110">
        <w:rPr>
          <w:sz w:val="22"/>
          <w:szCs w:val="22"/>
        </w:rPr>
        <w:t xml:space="preserve">uniquement </w:t>
      </w:r>
      <w:r w:rsidR="00D23EC0">
        <w:rPr>
          <w:sz w:val="22"/>
          <w:szCs w:val="22"/>
        </w:rPr>
        <w:t xml:space="preserve">les comptés </w:t>
      </w:r>
      <w:r w:rsidR="00D23EC0" w:rsidRPr="00DF3AEB">
        <w:rPr>
          <w:sz w:val="22"/>
          <w:szCs w:val="22"/>
        </w:rPr>
        <w:t>situé</w:t>
      </w:r>
      <w:r w:rsidR="00D23EC0">
        <w:rPr>
          <w:sz w:val="22"/>
          <w:szCs w:val="22"/>
        </w:rPr>
        <w:t>es</w:t>
      </w:r>
      <w:r w:rsidR="00D23EC0" w:rsidRPr="00DF3AEB">
        <w:rPr>
          <w:sz w:val="22"/>
          <w:szCs w:val="22"/>
        </w:rPr>
        <w:t xml:space="preserve"> à au plus 8% en dessous et au-dessus du seui</w:t>
      </w:r>
      <w:r w:rsidR="00D23EC0">
        <w:rPr>
          <w:sz w:val="22"/>
          <w:szCs w:val="22"/>
        </w:rPr>
        <w:t>l</w:t>
      </w:r>
      <w:r w:rsidR="00585648">
        <w:rPr>
          <w:sz w:val="22"/>
          <w:szCs w:val="22"/>
        </w:rPr>
        <w:t>, soit une bande de 16% autours du seuil.</w:t>
      </w:r>
      <w:r w:rsidR="00D95DD2">
        <w:rPr>
          <w:sz w:val="22"/>
          <w:szCs w:val="22"/>
        </w:rPr>
        <w:t xml:space="preserve"> Commentez.</w:t>
      </w:r>
    </w:p>
    <w:p w14:paraId="21C1DD69" w14:textId="25A48119" w:rsidR="008D0745" w:rsidRDefault="008D0745" w:rsidP="008D0745">
      <w:pPr>
        <w:pStyle w:val="Default"/>
        <w:numPr>
          <w:ilvl w:val="0"/>
          <w:numId w:val="7"/>
        </w:numPr>
        <w:spacing w:after="58"/>
        <w:jc w:val="both"/>
        <w:rPr>
          <w:sz w:val="22"/>
          <w:szCs w:val="22"/>
        </w:rPr>
      </w:pPr>
      <w:r w:rsidRPr="00B1387C">
        <w:rPr>
          <w:sz w:val="22"/>
          <w:szCs w:val="22"/>
        </w:rPr>
        <w:t>Reprenez la question</w:t>
      </w:r>
      <w:r>
        <w:rPr>
          <w:sz w:val="22"/>
          <w:szCs w:val="22"/>
        </w:rPr>
        <w:t xml:space="preserve"> 1</w:t>
      </w:r>
      <w:r w:rsidRPr="00B1387C">
        <w:rPr>
          <w:sz w:val="22"/>
          <w:szCs w:val="22"/>
        </w:rPr>
        <w:t xml:space="preserve"> en utilisant </w:t>
      </w:r>
      <w:r>
        <w:rPr>
          <w:sz w:val="22"/>
          <w:szCs w:val="22"/>
        </w:rPr>
        <w:t xml:space="preserve">uniquement les comptés </w:t>
      </w:r>
      <w:r w:rsidRPr="00DF3AEB">
        <w:rPr>
          <w:sz w:val="22"/>
          <w:szCs w:val="22"/>
        </w:rPr>
        <w:t>situé</w:t>
      </w:r>
      <w:r>
        <w:rPr>
          <w:sz w:val="22"/>
          <w:szCs w:val="22"/>
        </w:rPr>
        <w:t>es</w:t>
      </w:r>
      <w:r w:rsidRPr="00DF3AEB">
        <w:rPr>
          <w:sz w:val="22"/>
          <w:szCs w:val="22"/>
        </w:rPr>
        <w:t xml:space="preserve"> à au plus </w:t>
      </w:r>
      <w:r>
        <w:rPr>
          <w:sz w:val="22"/>
          <w:szCs w:val="22"/>
        </w:rPr>
        <w:t>16</w:t>
      </w:r>
      <w:r w:rsidRPr="00DF3AEB">
        <w:rPr>
          <w:sz w:val="22"/>
          <w:szCs w:val="22"/>
        </w:rPr>
        <w:t>% en dessous et au-dessus du seui</w:t>
      </w:r>
      <w:r>
        <w:rPr>
          <w:sz w:val="22"/>
          <w:szCs w:val="22"/>
        </w:rPr>
        <w:t xml:space="preserve">l, soit une bande de </w:t>
      </w:r>
      <w:r w:rsidR="00C7044D">
        <w:rPr>
          <w:sz w:val="22"/>
          <w:szCs w:val="22"/>
        </w:rPr>
        <w:t>32</w:t>
      </w:r>
      <w:r>
        <w:rPr>
          <w:sz w:val="22"/>
          <w:szCs w:val="22"/>
        </w:rPr>
        <w:t>% autours du seuil.</w:t>
      </w:r>
      <w:r w:rsidR="005F5830">
        <w:rPr>
          <w:sz w:val="22"/>
          <w:szCs w:val="22"/>
        </w:rPr>
        <w:t xml:space="preserve"> </w:t>
      </w:r>
      <w:r w:rsidR="005F5830">
        <w:rPr>
          <w:sz w:val="22"/>
          <w:szCs w:val="22"/>
        </w:rPr>
        <w:t>Commentez</w:t>
      </w:r>
      <w:r w:rsidR="005F5830">
        <w:rPr>
          <w:sz w:val="22"/>
          <w:szCs w:val="22"/>
        </w:rPr>
        <w:t>.</w:t>
      </w:r>
    </w:p>
    <w:p w14:paraId="05E0D0A2" w14:textId="5529540A" w:rsidR="00F9785B" w:rsidRPr="003F238B" w:rsidRDefault="006E69B2" w:rsidP="003F238B">
      <w:pPr>
        <w:pStyle w:val="Default"/>
        <w:numPr>
          <w:ilvl w:val="0"/>
          <w:numId w:val="7"/>
        </w:numPr>
        <w:spacing w:after="58"/>
        <w:jc w:val="both"/>
        <w:rPr>
          <w:sz w:val="22"/>
          <w:szCs w:val="22"/>
        </w:rPr>
      </w:pPr>
      <w:r w:rsidRPr="00B1387C">
        <w:rPr>
          <w:sz w:val="22"/>
          <w:szCs w:val="22"/>
        </w:rPr>
        <w:t>Reprenez la question</w:t>
      </w:r>
      <w:r>
        <w:rPr>
          <w:sz w:val="22"/>
          <w:szCs w:val="22"/>
        </w:rPr>
        <w:t xml:space="preserve"> 1</w:t>
      </w:r>
      <w:r w:rsidRPr="00B1387C">
        <w:rPr>
          <w:sz w:val="22"/>
          <w:szCs w:val="22"/>
        </w:rPr>
        <w:t xml:space="preserve"> en </w:t>
      </w:r>
      <w:r>
        <w:rPr>
          <w:sz w:val="22"/>
          <w:szCs w:val="22"/>
        </w:rPr>
        <w:t xml:space="preserve">ajoutant le carré de </w:t>
      </w:r>
      <w:r>
        <w:rPr>
          <w:sz w:val="22"/>
          <w:szCs w:val="22"/>
        </w:rPr>
        <w:t>‘’povrate’’</w:t>
      </w:r>
      <w:r>
        <w:rPr>
          <w:sz w:val="22"/>
          <w:szCs w:val="22"/>
        </w:rPr>
        <w:t xml:space="preserve"> dans les variables explicatives. </w:t>
      </w:r>
      <w:r w:rsidR="005345E1">
        <w:rPr>
          <w:sz w:val="22"/>
          <w:szCs w:val="22"/>
        </w:rPr>
        <w:t>Commentez</w:t>
      </w:r>
      <w:r w:rsidR="005345E1">
        <w:rPr>
          <w:sz w:val="22"/>
          <w:szCs w:val="22"/>
        </w:rPr>
        <w:t>.</w:t>
      </w:r>
    </w:p>
    <w:sectPr w:rsidR="00F9785B" w:rsidRPr="003F238B" w:rsidSect="009716AC">
      <w:pgSz w:w="12240" w:h="16340"/>
      <w:pgMar w:top="1891" w:right="1106" w:bottom="1394"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MMono12-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5DF"/>
    <w:multiLevelType w:val="hybridMultilevel"/>
    <w:tmpl w:val="68363D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8E6EB0"/>
    <w:multiLevelType w:val="hybridMultilevel"/>
    <w:tmpl w:val="0F464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55366F"/>
    <w:multiLevelType w:val="hybridMultilevel"/>
    <w:tmpl w:val="0F464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5B4287"/>
    <w:multiLevelType w:val="hybridMultilevel"/>
    <w:tmpl w:val="0F464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EB476A"/>
    <w:multiLevelType w:val="hybridMultilevel"/>
    <w:tmpl w:val="79DEAD86"/>
    <w:lvl w:ilvl="0" w:tplc="927C35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FF3A91"/>
    <w:multiLevelType w:val="hybridMultilevel"/>
    <w:tmpl w:val="04742A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C307CB"/>
    <w:multiLevelType w:val="hybridMultilevel"/>
    <w:tmpl w:val="A7529752"/>
    <w:lvl w:ilvl="0" w:tplc="1E24A4A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917DB2"/>
    <w:multiLevelType w:val="hybridMultilevel"/>
    <w:tmpl w:val="968874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69196044">
    <w:abstractNumId w:val="3"/>
  </w:num>
  <w:num w:numId="2" w16cid:durableId="1312908097">
    <w:abstractNumId w:val="5"/>
  </w:num>
  <w:num w:numId="3" w16cid:durableId="383335499">
    <w:abstractNumId w:val="7"/>
  </w:num>
  <w:num w:numId="4" w16cid:durableId="474564399">
    <w:abstractNumId w:val="6"/>
  </w:num>
  <w:num w:numId="5" w16cid:durableId="1084840066">
    <w:abstractNumId w:val="0"/>
  </w:num>
  <w:num w:numId="6" w16cid:durableId="345254632">
    <w:abstractNumId w:val="1"/>
  </w:num>
  <w:num w:numId="7" w16cid:durableId="1943150484">
    <w:abstractNumId w:val="2"/>
  </w:num>
  <w:num w:numId="8" w16cid:durableId="915478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5B"/>
    <w:rsid w:val="00006C9D"/>
    <w:rsid w:val="00130421"/>
    <w:rsid w:val="00136862"/>
    <w:rsid w:val="00157F03"/>
    <w:rsid w:val="00171BE5"/>
    <w:rsid w:val="001C3E37"/>
    <w:rsid w:val="001E2D6F"/>
    <w:rsid w:val="00231642"/>
    <w:rsid w:val="00244316"/>
    <w:rsid w:val="00281518"/>
    <w:rsid w:val="00295DAF"/>
    <w:rsid w:val="002A01F1"/>
    <w:rsid w:val="002A5D54"/>
    <w:rsid w:val="002B5422"/>
    <w:rsid w:val="0031124F"/>
    <w:rsid w:val="003347E1"/>
    <w:rsid w:val="0036208B"/>
    <w:rsid w:val="003641BA"/>
    <w:rsid w:val="003E7997"/>
    <w:rsid w:val="003F238B"/>
    <w:rsid w:val="004121A3"/>
    <w:rsid w:val="004238FF"/>
    <w:rsid w:val="00455954"/>
    <w:rsid w:val="00472C6D"/>
    <w:rsid w:val="00475B00"/>
    <w:rsid w:val="004971E1"/>
    <w:rsid w:val="004A790C"/>
    <w:rsid w:val="004C6B8C"/>
    <w:rsid w:val="004C7010"/>
    <w:rsid w:val="004E575F"/>
    <w:rsid w:val="00504BCC"/>
    <w:rsid w:val="005345E1"/>
    <w:rsid w:val="00560CA3"/>
    <w:rsid w:val="00567F95"/>
    <w:rsid w:val="00585648"/>
    <w:rsid w:val="005A5B37"/>
    <w:rsid w:val="005C0D52"/>
    <w:rsid w:val="005D15C3"/>
    <w:rsid w:val="005F5830"/>
    <w:rsid w:val="0063588A"/>
    <w:rsid w:val="006625F2"/>
    <w:rsid w:val="00687D61"/>
    <w:rsid w:val="006E69B2"/>
    <w:rsid w:val="006F45E1"/>
    <w:rsid w:val="00701DA1"/>
    <w:rsid w:val="00722A6C"/>
    <w:rsid w:val="007454D9"/>
    <w:rsid w:val="00751AD7"/>
    <w:rsid w:val="007619DF"/>
    <w:rsid w:val="007950E5"/>
    <w:rsid w:val="007A483A"/>
    <w:rsid w:val="007D3C86"/>
    <w:rsid w:val="007D68E4"/>
    <w:rsid w:val="007F1092"/>
    <w:rsid w:val="0083431A"/>
    <w:rsid w:val="008507A3"/>
    <w:rsid w:val="00873235"/>
    <w:rsid w:val="00890051"/>
    <w:rsid w:val="008A0DD5"/>
    <w:rsid w:val="008C5A6C"/>
    <w:rsid w:val="008D0745"/>
    <w:rsid w:val="00915EDF"/>
    <w:rsid w:val="00931D8A"/>
    <w:rsid w:val="009716AC"/>
    <w:rsid w:val="009E1B3A"/>
    <w:rsid w:val="00A04F78"/>
    <w:rsid w:val="00A06E88"/>
    <w:rsid w:val="00A1578B"/>
    <w:rsid w:val="00A50881"/>
    <w:rsid w:val="00A65A47"/>
    <w:rsid w:val="00A67FA5"/>
    <w:rsid w:val="00A816B4"/>
    <w:rsid w:val="00A8381D"/>
    <w:rsid w:val="00A928E0"/>
    <w:rsid w:val="00AB256A"/>
    <w:rsid w:val="00AE6BBF"/>
    <w:rsid w:val="00B0519C"/>
    <w:rsid w:val="00B1387C"/>
    <w:rsid w:val="00B17736"/>
    <w:rsid w:val="00B31E50"/>
    <w:rsid w:val="00B71C04"/>
    <w:rsid w:val="00BE25BA"/>
    <w:rsid w:val="00C40110"/>
    <w:rsid w:val="00C7044D"/>
    <w:rsid w:val="00CB787A"/>
    <w:rsid w:val="00CF1230"/>
    <w:rsid w:val="00D10053"/>
    <w:rsid w:val="00D170C0"/>
    <w:rsid w:val="00D23EC0"/>
    <w:rsid w:val="00D715B4"/>
    <w:rsid w:val="00D75493"/>
    <w:rsid w:val="00D86324"/>
    <w:rsid w:val="00D91587"/>
    <w:rsid w:val="00D95DD2"/>
    <w:rsid w:val="00DA0BCD"/>
    <w:rsid w:val="00DD1DEA"/>
    <w:rsid w:val="00DF3AEB"/>
    <w:rsid w:val="00DF477F"/>
    <w:rsid w:val="00E05ED8"/>
    <w:rsid w:val="00E15D67"/>
    <w:rsid w:val="00E645DC"/>
    <w:rsid w:val="00EC5361"/>
    <w:rsid w:val="00ED7228"/>
    <w:rsid w:val="00F26060"/>
    <w:rsid w:val="00F9785B"/>
    <w:rsid w:val="00FB72B5"/>
    <w:rsid w:val="00FC092F"/>
    <w:rsid w:val="00FD6687"/>
    <w:rsid w:val="00FF3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7F502"/>
  <w15:chartTrackingRefBased/>
  <w15:docId w15:val="{DC4534A6-8B90-4F11-8A07-4AC9FE88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85B"/>
  </w:style>
  <w:style w:type="paragraph" w:styleId="Titre1">
    <w:name w:val="heading 1"/>
    <w:basedOn w:val="Normal"/>
    <w:next w:val="Normal"/>
    <w:link w:val="Titre1Car"/>
    <w:uiPriority w:val="9"/>
    <w:qFormat/>
    <w:rsid w:val="00F97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97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9785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9785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9785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9785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9785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9785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9785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785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9785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9785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9785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9785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9785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9785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9785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9785B"/>
    <w:rPr>
      <w:rFonts w:eastAsiaTheme="majorEastAsia" w:cstheme="majorBidi"/>
      <w:color w:val="272727" w:themeColor="text1" w:themeTint="D8"/>
    </w:rPr>
  </w:style>
  <w:style w:type="paragraph" w:styleId="Titre">
    <w:name w:val="Title"/>
    <w:basedOn w:val="Normal"/>
    <w:next w:val="Normal"/>
    <w:link w:val="TitreCar"/>
    <w:uiPriority w:val="10"/>
    <w:qFormat/>
    <w:rsid w:val="00F97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78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785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785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9785B"/>
    <w:pPr>
      <w:spacing w:before="160"/>
      <w:jc w:val="center"/>
    </w:pPr>
    <w:rPr>
      <w:i/>
      <w:iCs/>
      <w:color w:val="404040" w:themeColor="text1" w:themeTint="BF"/>
    </w:rPr>
  </w:style>
  <w:style w:type="character" w:customStyle="1" w:styleId="CitationCar">
    <w:name w:val="Citation Car"/>
    <w:basedOn w:val="Policepardfaut"/>
    <w:link w:val="Citation"/>
    <w:uiPriority w:val="29"/>
    <w:rsid w:val="00F9785B"/>
    <w:rPr>
      <w:i/>
      <w:iCs/>
      <w:color w:val="404040" w:themeColor="text1" w:themeTint="BF"/>
    </w:rPr>
  </w:style>
  <w:style w:type="paragraph" w:styleId="Paragraphedeliste">
    <w:name w:val="List Paragraph"/>
    <w:basedOn w:val="Normal"/>
    <w:uiPriority w:val="34"/>
    <w:qFormat/>
    <w:rsid w:val="00F9785B"/>
    <w:pPr>
      <w:ind w:left="720"/>
      <w:contextualSpacing/>
    </w:pPr>
  </w:style>
  <w:style w:type="character" w:styleId="Accentuationintense">
    <w:name w:val="Intense Emphasis"/>
    <w:basedOn w:val="Policepardfaut"/>
    <w:uiPriority w:val="21"/>
    <w:qFormat/>
    <w:rsid w:val="00F9785B"/>
    <w:rPr>
      <w:i/>
      <w:iCs/>
      <w:color w:val="0F4761" w:themeColor="accent1" w:themeShade="BF"/>
    </w:rPr>
  </w:style>
  <w:style w:type="paragraph" w:styleId="Citationintense">
    <w:name w:val="Intense Quote"/>
    <w:basedOn w:val="Normal"/>
    <w:next w:val="Normal"/>
    <w:link w:val="CitationintenseCar"/>
    <w:uiPriority w:val="30"/>
    <w:qFormat/>
    <w:rsid w:val="00F97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9785B"/>
    <w:rPr>
      <w:i/>
      <w:iCs/>
      <w:color w:val="0F4761" w:themeColor="accent1" w:themeShade="BF"/>
    </w:rPr>
  </w:style>
  <w:style w:type="character" w:styleId="Rfrenceintense">
    <w:name w:val="Intense Reference"/>
    <w:basedOn w:val="Policepardfaut"/>
    <w:uiPriority w:val="32"/>
    <w:qFormat/>
    <w:rsid w:val="00F9785B"/>
    <w:rPr>
      <w:b/>
      <w:bCs/>
      <w:smallCaps/>
      <w:color w:val="0F4761" w:themeColor="accent1" w:themeShade="BF"/>
      <w:spacing w:val="5"/>
    </w:rPr>
  </w:style>
  <w:style w:type="paragraph" w:customStyle="1" w:styleId="Default">
    <w:name w:val="Default"/>
    <w:rsid w:val="00F9785B"/>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1366</TotalTime>
  <Pages>2</Pages>
  <Words>887</Words>
  <Characters>4876</Characters>
  <Application>Microsoft Office Word</Application>
  <DocSecurity>0</DocSecurity>
  <Lines>99</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Thibaut Kpegli</dc:creator>
  <cp:keywords/>
  <dc:description/>
  <cp:lastModifiedBy>Yao Thibaut Kpegli</cp:lastModifiedBy>
  <cp:revision>93</cp:revision>
  <dcterms:created xsi:type="dcterms:W3CDTF">2024-04-02T00:16:00Z</dcterms:created>
  <dcterms:modified xsi:type="dcterms:W3CDTF">2024-04-03T00:04:00Z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df1527fb-4699-4b7f-84e2-1ece1dbf1b65</vt:lpwstr>
  </property>
</Properties>
</file>