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879B" w14:textId="145AA057" w:rsidR="005A12D2" w:rsidRPr="005A12D2" w:rsidRDefault="005A12D2" w:rsidP="005A12D2">
      <w:pPr>
        <w:pStyle w:val="NormalWeb"/>
        <w:spacing w:line="300" w:lineRule="atLeast"/>
        <w:rPr>
          <w:rFonts w:ascii="Segoe UI" w:hAnsi="Segoe UI" w:cs="Segoe UI"/>
          <w:b/>
          <w:bCs/>
          <w:sz w:val="21"/>
          <w:szCs w:val="21"/>
        </w:rPr>
      </w:pPr>
      <w:r w:rsidRPr="005A12D2">
        <w:rPr>
          <w:rStyle w:val="Strong"/>
          <w:rFonts w:ascii="Segoe UI" w:hAnsi="Segoe UI" w:cs="Segoe UI"/>
          <w:b w:val="0"/>
          <w:bCs w:val="0"/>
          <w:sz w:val="21"/>
          <w:szCs w:val="21"/>
        </w:rPr>
        <w:t xml:space="preserve">There is no unique conversion from 10-year funding-level breach probabilities to one-year asset </w:t>
      </w:r>
      <w:proofErr w:type="spellStart"/>
      <w:r w:rsidRPr="005A12D2">
        <w:rPr>
          <w:rStyle w:val="Strong"/>
          <w:rFonts w:ascii="Segoe UI" w:hAnsi="Segoe UI" w:cs="Segoe UI"/>
          <w:b w:val="0"/>
          <w:bCs w:val="0"/>
          <w:sz w:val="21"/>
          <w:szCs w:val="21"/>
        </w:rPr>
        <w:t>VaR</w:t>
      </w:r>
      <w:proofErr w:type="spellEnd"/>
      <w:r w:rsidRPr="005A12D2">
        <w:rPr>
          <w:rStyle w:val="Strong"/>
          <w:rFonts w:ascii="Segoe UI" w:hAnsi="Segoe UI" w:cs="Segoe UI"/>
          <w:b w:val="0"/>
          <w:bCs w:val="0"/>
          <w:sz w:val="21"/>
          <w:szCs w:val="21"/>
        </w:rPr>
        <w:t xml:space="preserve"> without additional assumptions about liabilities, cashflows, time scaling and the asset-to-funding sensitivity</w:t>
      </w:r>
      <w:r w:rsidRPr="005A12D2">
        <w:rPr>
          <w:rFonts w:ascii="Segoe UI" w:hAnsi="Segoe UI" w:cs="Segoe UI"/>
          <w:b/>
          <w:bCs/>
          <w:sz w:val="21"/>
          <w:szCs w:val="21"/>
        </w:rPr>
        <w:t xml:space="preserve">. </w:t>
      </w:r>
      <w:r w:rsidRPr="005A12D2">
        <w:rPr>
          <w:rFonts w:ascii="Segoe UI" w:hAnsi="Segoe UI" w:cs="Segoe UI"/>
          <w:sz w:val="21"/>
          <w:szCs w:val="21"/>
        </w:rPr>
        <w:t>However, a practical conversion can be constructed in three stages:</w:t>
      </w:r>
    </w:p>
    <w:p w14:paraId="3BF506DF" w14:textId="77777777" w:rsidR="005A12D2" w:rsidRDefault="005A12D2" w:rsidP="005A12D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infer a distribution for the 10-year funding level;</w:t>
      </w:r>
    </w:p>
    <w:p w14:paraId="42157061" w14:textId="77777777" w:rsidR="005A12D2" w:rsidRDefault="005A12D2" w:rsidP="005A12D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translate that distribution into a one-year funding-ratio risk measure;</w:t>
      </w:r>
    </w:p>
    <w:p w14:paraId="4B850B22" w14:textId="77777777" w:rsidR="005A12D2" w:rsidRDefault="005A12D2" w:rsidP="005A12D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remove liability and other non-asset risks to infer an equivalent asset volatility and </w:t>
      </w:r>
      <w:proofErr w:type="spellStart"/>
      <w:r>
        <w:rPr>
          <w:rFonts w:ascii="Segoe UI" w:hAnsi="Segoe UI" w:cs="Segoe UI"/>
          <w:sz w:val="21"/>
          <w:szCs w:val="21"/>
        </w:rPr>
        <w:t>VaR.</w:t>
      </w:r>
      <w:proofErr w:type="spellEnd"/>
    </w:p>
    <w:p w14:paraId="4A0905A5" w14:textId="77777777" w:rsidR="005A12D2" w:rsidRDefault="00BF7D1D" w:rsidP="005A12D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AF756DA">
          <v:rect id="_x0000_i1025" style="width:0;height:1.5pt" o:hralign="center" o:hrstd="t" o:hr="t" fillcolor="#a0a0a0" stroked="f"/>
        </w:pict>
      </w:r>
    </w:p>
    <w:p w14:paraId="572A732A" w14:textId="77777777" w:rsidR="005A12D2" w:rsidRDefault="005A12D2" w:rsidP="005A12D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1. Definitions</w:t>
      </w:r>
    </w:p>
    <w:p w14:paraId="12910580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Let:</w:t>
      </w:r>
    </w:p>
    <w:p w14:paraId="608CC0E9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market value of assets at time 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value of liabilities on the funding basis at time 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</m:oMath>
      </m:oMathPara>
    </w:p>
    <w:p w14:paraId="12D19A71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=1.00</m:t>
        </m:r>
      </m:oMath>
      <w:r>
        <w:rPr>
          <w:rFonts w:ascii="Segoe UI" w:hAnsi="Segoe UI" w:cs="Segoe UI"/>
          <w:sz w:val="21"/>
          <w:szCs w:val="21"/>
        </w:rPr>
        <w:t>represents a 100% funding level.</w:t>
      </w:r>
    </w:p>
    <w:p w14:paraId="0E1E94D4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Suppose the </w:t>
      </w:r>
      <w:proofErr w:type="spellStart"/>
      <w:r>
        <w:rPr>
          <w:rFonts w:ascii="Segoe UI" w:hAnsi="Segoe UI" w:cs="Segoe UI"/>
          <w:sz w:val="21"/>
          <w:szCs w:val="21"/>
        </w:rPr>
        <w:t>Ortec</w:t>
      </w:r>
      <w:proofErr w:type="spellEnd"/>
      <w:r>
        <w:rPr>
          <w:rFonts w:ascii="Segoe UI" w:hAnsi="Segoe UI" w:cs="Segoe UI"/>
          <w:sz w:val="21"/>
          <w:szCs w:val="21"/>
        </w:rPr>
        <w:t xml:space="preserve"> output provides:</w:t>
      </w:r>
    </w:p>
    <w:p w14:paraId="46405033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C517D6F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 thresholds such as:</w:t>
      </w:r>
    </w:p>
    <w:p w14:paraId="4D45DB0C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∈{0.90,1.00,1.10}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BF13F64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target asset-risk metric is one-year, 95% parametric </w:t>
      </w:r>
      <w:proofErr w:type="spellStart"/>
      <w:r>
        <w:rPr>
          <w:rFonts w:ascii="Segoe UI" w:hAnsi="Segoe UI" w:cs="Segoe UI"/>
          <w:sz w:val="21"/>
          <w:szCs w:val="21"/>
        </w:rPr>
        <w:t>VaR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14:paraId="4119A59C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VaR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,1y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0.95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A,1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A,1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FF33A0D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where:</w:t>
      </w:r>
    </w:p>
    <w:p w14:paraId="0106B92D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0.95</m:t>
              </m:r>
            </m:sub>
          </m:sSub>
          <m:r>
            <w:rPr>
              <w:rFonts w:ascii="Cambria Math" w:hAnsi="Cambria Math"/>
            </w:rPr>
            <m:t>=1.64485,</m:t>
          </m:r>
        </m:oMath>
      </m:oMathPara>
    </w:p>
    <w:p w14:paraId="79FAAC84" w14:textId="77777777" w:rsidR="005A12D2" w:rsidRDefault="00BF7D1D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A,1</m:t>
            </m:r>
          </m:sub>
        </m:sSub>
      </m:oMath>
      <w:r w:rsidR="005A12D2">
        <w:rPr>
          <w:rFonts w:ascii="Segoe UI" w:hAnsi="Segoe UI" w:cs="Segoe UI"/>
          <w:sz w:val="21"/>
          <w:szCs w:val="21"/>
        </w:rPr>
        <w:t xml:space="preserve">is the expected one-year asset return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A,1</m:t>
            </m:r>
          </m:sub>
        </m:sSub>
      </m:oMath>
      <w:r w:rsidR="005A12D2">
        <w:rPr>
          <w:rFonts w:ascii="Segoe UI" w:hAnsi="Segoe UI" w:cs="Segoe UI"/>
          <w:sz w:val="21"/>
          <w:szCs w:val="21"/>
        </w:rPr>
        <w:t>is the one-year asset-return volatility.</w:t>
      </w:r>
    </w:p>
    <w:p w14:paraId="20B93480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 a risk-limit application, it is usually preferable to exclude expected return and use:</w:t>
      </w:r>
    </w:p>
    <w:p w14:paraId="7C1FCAC5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VaR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,1y</m:t>
              </m:r>
            </m:sub>
            <m:sup>
              <m:r>
                <w:rPr>
                  <w:rFonts w:ascii="Cambria Math" w:hAnsi="Cambria Math"/>
                </w:rPr>
                <m:t>0μ</m:t>
              </m:r>
            </m:sup>
          </m:sSubSup>
          <m:r>
            <w:rPr>
              <w:rFonts w:ascii="Cambria Math" w:hAnsi="Cambria Math"/>
            </w:rPr>
            <m:t>=1.64485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A,1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B2D137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avoids allowing a higher expected return assumption to reduce the reported risk budget.</w:t>
      </w:r>
    </w:p>
    <w:p w14:paraId="69110950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DCBDE4F">
          <v:rect id="_x0000_i1026" style="width:0;height:1.5pt" o:hralign="center" o:hrstd="t" o:hr="t" fillcolor="#a0a0a0" stroked="f"/>
        </w:pict>
      </w:r>
    </w:p>
    <w:p w14:paraId="4D9F3633" w14:textId="77777777" w:rsidR="005A12D2" w:rsidRDefault="005A12D2" w:rsidP="005A12D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2. Stage 1: fit a distribution to the funding-level probabilities</w:t>
      </w:r>
    </w:p>
    <w:p w14:paraId="6FEF3132" w14:textId="77777777" w:rsidR="005A12D2" w:rsidRDefault="005A12D2" w:rsidP="005A12D2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Recommended approach: lognormal funding ratio</w:t>
      </w:r>
    </w:p>
    <w:p w14:paraId="463F2FDE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Funding levels cannot be negative, so a normal distribution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rPr>
          <w:rFonts w:ascii="Segoe UI" w:hAnsi="Segoe UI" w:cs="Segoe UI"/>
          <w:sz w:val="21"/>
          <w:szCs w:val="21"/>
        </w:rPr>
        <w:t>is not ideal. A more tractable assumption is:</w:t>
      </w:r>
    </w:p>
    <w:p w14:paraId="011C3649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)∼N(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5B51CE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For each threshold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Segoe UI" w:hAnsi="Segoe UI" w:cs="Segoe UI"/>
          <w:sz w:val="21"/>
          <w:szCs w:val="21"/>
        </w:rPr>
        <w:t>:</w:t>
      </w:r>
    </w:p>
    <w:p w14:paraId="745E2A05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B7EF385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Define:</w:t>
      </w:r>
    </w:p>
    <w:p w14:paraId="3051148D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8E39E5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Then:</w:t>
      </w:r>
    </w:p>
    <w:p w14:paraId="384FC369" w14:textId="77777777" w:rsidR="005A12D2" w:rsidRDefault="005A12D2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0855FA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gives a simple regression:</w:t>
      </w:r>
    </w:p>
    <w:p w14:paraId="45D758EC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=α+β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717B2E4C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where:</w:t>
      </w:r>
    </w:p>
    <w:p w14:paraId="1DAC0E46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AC6639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With three or more funding thresholds, 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rPr>
          <w:rFonts w:ascii="Segoe UI" w:hAnsi="Segoe UI" w:cs="Segoe UI"/>
          <w:sz w:val="21"/>
          <w:szCs w:val="21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rPr>
          <w:rFonts w:ascii="Segoe UI" w:hAnsi="Segoe UI" w:cs="Segoe UI"/>
          <w:sz w:val="21"/>
          <w:szCs w:val="21"/>
        </w:rPr>
        <w:t>by least squares or weighted least squares.</w:t>
      </w:r>
    </w:p>
    <w:p w14:paraId="2CDA8DE5" w14:textId="77777777" w:rsidR="005A12D2" w:rsidRDefault="005A12D2" w:rsidP="005A12D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Weighting</w:t>
      </w:r>
    </w:p>
    <w:p w14:paraId="57826753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</w:t>
      </w:r>
      <w:proofErr w:type="spellStart"/>
      <w:r>
        <w:rPr>
          <w:rFonts w:ascii="Segoe UI" w:hAnsi="Segoe UI" w:cs="Segoe UI"/>
          <w:sz w:val="21"/>
          <w:szCs w:val="21"/>
        </w:rPr>
        <w:t>Ortec</w:t>
      </w:r>
      <w:proofErr w:type="spellEnd"/>
      <w:r>
        <w:rPr>
          <w:rFonts w:ascii="Segoe UI" w:hAnsi="Segoe UI" w:cs="Segoe UI"/>
          <w:sz w:val="21"/>
          <w:szCs w:val="21"/>
        </w:rPr>
        <w:t xml:space="preserve"> simulation probabilities have sampling error. If </w:t>
      </w:r>
      <m:oMath>
        <m:r>
          <w:rPr>
            <w:rFonts w:ascii="Cambria Math" w:hAnsi="Cambria Math"/>
          </w:rPr>
          <m:t>N</m:t>
        </m:r>
      </m:oMath>
      <w:r>
        <w:rPr>
          <w:rFonts w:ascii="Segoe UI" w:hAnsi="Segoe UI" w:cs="Segoe UI"/>
          <w:sz w:val="21"/>
          <w:szCs w:val="21"/>
        </w:rPr>
        <w:t xml:space="preserve">scenarios were simulated, the approximate sampling variance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Segoe UI" w:hAnsi="Segoe UI" w:cs="Segoe UI"/>
          <w:sz w:val="21"/>
          <w:szCs w:val="21"/>
        </w:rPr>
        <w:t>is:</w:t>
      </w:r>
    </w:p>
    <w:p w14:paraId="40C2D2E3" w14:textId="77777777" w:rsidR="005A12D2" w:rsidRDefault="005A12D2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D213259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can therefore weight observations by the inverse variance of the implied probit point. A practical simpler alternative is to give lower weight to very small or very large probabilities, where estimated quantiles tend to be unstable.</w:t>
      </w:r>
    </w:p>
    <w:p w14:paraId="4D9538AD" w14:textId="77777777" w:rsidR="005A12D2" w:rsidRDefault="005A12D2" w:rsidP="005A12D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Internal consistency check</w:t>
      </w:r>
    </w:p>
    <w:p w14:paraId="70AC3576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After fitting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rPr>
          <w:rFonts w:ascii="Segoe UI" w:hAnsi="Segoe UI" w:cs="Segoe UI"/>
          <w:sz w:val="21"/>
          <w:szCs w:val="21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rPr>
          <w:rFonts w:ascii="Segoe UI" w:hAnsi="Segoe UI" w:cs="Segoe UI"/>
          <w:sz w:val="21"/>
          <w:szCs w:val="21"/>
        </w:rPr>
        <w:t>, reproduce each reported probability:</w:t>
      </w:r>
    </w:p>
    <w:p w14:paraId="198BF04C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8E53F9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Compare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Segoe UI" w:hAnsi="Segoe UI" w:cs="Segoe UI"/>
          <w:sz w:val="21"/>
          <w:szCs w:val="21"/>
        </w:rPr>
        <w:t>with the original Ortec probabilities. Large differences indicate that the 10-year funding distribution is materially skewed, fat-tailed or multimodal, in which case a two-parameter lognormal approximation is inadequate.</w:t>
      </w:r>
    </w:p>
    <w:p w14:paraId="7738526B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useful diagnostic is:</w:t>
      </w:r>
    </w:p>
    <w:p w14:paraId="46BEC057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EE5B1FC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fit should be regarded as a </w:t>
      </w:r>
      <w:r>
        <w:rPr>
          <w:rStyle w:val="Strong"/>
          <w:rFonts w:ascii="Segoe UI" w:hAnsi="Segoe UI" w:cs="Segoe UI"/>
          <w:sz w:val="21"/>
          <w:szCs w:val="21"/>
        </w:rPr>
        <w:t>risk-budget approximation</w:t>
      </w:r>
      <w:r>
        <w:rPr>
          <w:rFonts w:ascii="Segoe UI" w:hAnsi="Segoe UI" w:cs="Segoe UI"/>
          <w:sz w:val="21"/>
          <w:szCs w:val="21"/>
        </w:rPr>
        <w:t xml:space="preserve">, rather than a reproduction of the full </w:t>
      </w:r>
      <w:proofErr w:type="spellStart"/>
      <w:r>
        <w:rPr>
          <w:rFonts w:ascii="Segoe UI" w:hAnsi="Segoe UI" w:cs="Segoe UI"/>
          <w:sz w:val="21"/>
          <w:szCs w:val="21"/>
        </w:rPr>
        <w:t>Ortec</w:t>
      </w:r>
      <w:proofErr w:type="spellEnd"/>
      <w:r>
        <w:rPr>
          <w:rFonts w:ascii="Segoe UI" w:hAnsi="Segoe UI" w:cs="Segoe UI"/>
          <w:sz w:val="21"/>
          <w:szCs w:val="21"/>
        </w:rPr>
        <w:t xml:space="preserve"> model.</w:t>
      </w:r>
    </w:p>
    <w:p w14:paraId="6CE9C4FF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11C52F2">
          <v:rect id="_x0000_i1027" style="width:0;height:1.5pt" o:hralign="center" o:hrstd="t" o:hr="t" fillcolor="#a0a0a0" stroked="f"/>
        </w:pict>
      </w:r>
    </w:p>
    <w:p w14:paraId="5F374A2B" w14:textId="77777777" w:rsidR="005A12D2" w:rsidRDefault="005A12D2" w:rsidP="005A12D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3. Stage 2: convert 10-year funding risk to one-year funding risk</w:t>
      </w:r>
    </w:p>
    <w:p w14:paraId="6725443C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Assume the log funding ratio follows:</w:t>
      </w:r>
    </w:p>
    <w:p w14:paraId="1BB7B23A" w14:textId="77777777" w:rsidR="005A12D2" w:rsidRDefault="005A12D2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t+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t</m:t>
              </m:r>
            </m:e>
          </m:rad>
          <m:r>
            <w:rPr>
              <w:rFonts w:ascii="Cambria Math" w:hAnsi="Cambria Math"/>
            </w:rPr>
            <m:t>Z,</m:t>
          </m:r>
        </m:oMath>
      </m:oMathPara>
    </w:p>
    <w:p w14:paraId="713D1B48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where:</w:t>
      </w:r>
    </w:p>
    <w:p w14:paraId="504C8C8C" w14:textId="77777777" w:rsidR="005A12D2" w:rsidRDefault="005A12D2" w:rsidP="005A12D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annual changes are independent and identically distributed;</w:t>
      </w:r>
    </w:p>
    <w:p w14:paraId="23B8A636" w14:textId="77777777" w:rsidR="005A12D2" w:rsidRDefault="005A12D2" w:rsidP="005A12D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annual volatility is constant;</w:t>
      </w:r>
    </w:p>
    <w:p w14:paraId="7DCD26CD" w14:textId="77777777" w:rsidR="005A12D2" w:rsidRDefault="005A12D2" w:rsidP="005A12D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there is no mean reversion;</w:t>
      </w:r>
    </w:p>
    <w:p w14:paraId="425687B9" w14:textId="77777777" w:rsidR="005A12D2" w:rsidRDefault="005A12D2" w:rsidP="005A12D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shocks aggregate according to square-root-of-time scaling.</w:t>
      </w:r>
    </w:p>
    <w:p w14:paraId="0CA1AACA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Then:</w:t>
      </w:r>
    </w:p>
    <w:p w14:paraId="3121AE0C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)+10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741ED1B5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and:</w:t>
      </w:r>
    </w:p>
    <w:p w14:paraId="5D5FF44E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</m:t>
              </m:r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52C2F60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Therefore:</w:t>
      </w:r>
    </w:p>
    <w:p w14:paraId="4B2243F3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F,1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7C95A574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and:</w:t>
      </w:r>
    </w:p>
    <w:p w14:paraId="13F94DBA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F,1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279257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equivalent one-year funding-ratio </w:t>
      </w:r>
      <w:proofErr w:type="spellStart"/>
      <w:r>
        <w:rPr>
          <w:rFonts w:ascii="Segoe UI" w:hAnsi="Segoe UI" w:cs="Segoe UI"/>
          <w:sz w:val="21"/>
          <w:szCs w:val="21"/>
        </w:rPr>
        <w:t>VaR</w:t>
      </w:r>
      <w:proofErr w:type="spellEnd"/>
      <w:r>
        <w:rPr>
          <w:rFonts w:ascii="Segoe UI" w:hAnsi="Segoe UI" w:cs="Segoe UI"/>
          <w:sz w:val="21"/>
          <w:szCs w:val="21"/>
        </w:rPr>
        <w:t>, expressed as a log funding-ratio loss, is:</w:t>
      </w:r>
    </w:p>
    <w:p w14:paraId="2F25EF2B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VaR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,1y</m:t>
              </m:r>
            </m:sub>
            <m:sup>
              <m:r>
                <w:rPr>
                  <w:rFonts w:ascii="Cambria Math" w:hAnsi="Cambria Math"/>
                </w:rPr>
                <m:t>F</m:t>
              </m:r>
            </m:sup>
          </m:sSubSup>
          <m:r>
            <w:rPr>
              <w:rFonts w:ascii="Cambria Math" w:hAnsi="Cambria Math"/>
            </w:rPr>
            <m:t>=1.64485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F,1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F,1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551D1C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 risk-budgeting purposes:</w:t>
      </w:r>
    </w:p>
    <w:p w14:paraId="254AA8DE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VaR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,1y</m:t>
              </m:r>
            </m:sub>
            <m:sup>
              <m:r>
                <w:rPr>
                  <w:rFonts w:ascii="Cambria Math" w:hAnsi="Cambria Math"/>
                </w:rPr>
                <m:t>F,0μ</m:t>
              </m:r>
            </m:sup>
          </m:sSubSup>
          <m:r>
            <w:rPr>
              <w:rFonts w:ascii="Cambria Math" w:hAnsi="Cambria Math"/>
            </w:rPr>
            <m:t>=1.64485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3D237E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initially a </w:t>
      </w:r>
      <w:r>
        <w:rPr>
          <w:rStyle w:val="Strong"/>
          <w:rFonts w:ascii="Segoe UI" w:hAnsi="Segoe UI" w:cs="Segoe UI"/>
          <w:sz w:val="21"/>
          <w:szCs w:val="21"/>
        </w:rPr>
        <w:t xml:space="preserve">funding-ratio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VaR</w:t>
      </w:r>
      <w:proofErr w:type="spellEnd"/>
      <w:r>
        <w:rPr>
          <w:rFonts w:ascii="Segoe UI" w:hAnsi="Segoe UI" w:cs="Segoe UI"/>
          <w:sz w:val="21"/>
          <w:szCs w:val="21"/>
        </w:rPr>
        <w:t xml:space="preserve">, not an asset </w:t>
      </w:r>
      <w:proofErr w:type="spellStart"/>
      <w:r>
        <w:rPr>
          <w:rFonts w:ascii="Segoe UI" w:hAnsi="Segoe UI" w:cs="Segoe UI"/>
          <w:sz w:val="21"/>
          <w:szCs w:val="21"/>
        </w:rPr>
        <w:t>VaR.</w:t>
      </w:r>
      <w:proofErr w:type="spellEnd"/>
    </w:p>
    <w:p w14:paraId="10876042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6A6C403">
          <v:rect id="_x0000_i1028" style="width:0;height:1.5pt" o:hralign="center" o:hrstd="t" o:hr="t" fillcolor="#a0a0a0" stroked="f"/>
        </w:pict>
      </w:r>
    </w:p>
    <w:p w14:paraId="34848265" w14:textId="77777777" w:rsidR="005A12D2" w:rsidRDefault="005A12D2" w:rsidP="005A12D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4. Stage 3: map funding-ratio volatility to asset volatility</w:t>
      </w:r>
    </w:p>
    <w:p w14:paraId="5A8B1BEE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funding ratio depends on both assets and liabilities:</w:t>
      </w:r>
    </w:p>
    <w:p w14:paraId="25BB5EFE" w14:textId="77777777" w:rsidR="005A12D2" w:rsidRDefault="005A12D2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)-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037EE79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 one-year changes:</w:t>
      </w:r>
    </w:p>
    <w:p w14:paraId="1CC45447" w14:textId="77777777" w:rsidR="005A12D2" w:rsidRDefault="005A12D2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Δln</m:t>
          </m:r>
          <m:r>
            <w:rPr>
              <w:rFonts w:ascii="Cambria Math" w:hAnsi="Cambria Math"/>
            </w:rPr>
            <m:t>⁡(F)≈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+C,</m:t>
          </m:r>
        </m:oMath>
      </m:oMathPara>
    </w:p>
    <w:p w14:paraId="32E1E3BD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where:</w:t>
      </w:r>
    </w:p>
    <w:p w14:paraId="1EEA8920" w14:textId="77777777" w:rsidR="005A12D2" w:rsidRDefault="00BF7D1D" w:rsidP="005A12D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5A12D2">
        <w:rPr>
          <w:rFonts w:ascii="Segoe UI" w:hAnsi="Segoe UI" w:cs="Segoe UI"/>
          <w:sz w:val="21"/>
          <w:szCs w:val="21"/>
        </w:rPr>
        <w:t>is the asset return;</w:t>
      </w:r>
    </w:p>
    <w:p w14:paraId="269B64B2" w14:textId="77777777" w:rsidR="005A12D2" w:rsidRDefault="00BF7D1D" w:rsidP="005A12D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5A12D2">
        <w:rPr>
          <w:rFonts w:ascii="Segoe UI" w:hAnsi="Segoe UI" w:cs="Segoe UI"/>
          <w:sz w:val="21"/>
          <w:szCs w:val="21"/>
        </w:rPr>
        <w:t>is the return on the liability value, caused primarily by changes in discount rates, inflation expectations and liability cashflow progression;</w:t>
      </w:r>
    </w:p>
    <w:p w14:paraId="3272D2DD" w14:textId="77777777" w:rsidR="005A12D2" w:rsidRDefault="005A12D2" w:rsidP="005A12D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m:oMath>
        <m:r>
          <w:rPr>
            <w:rFonts w:ascii="Cambria Math" w:hAnsi="Cambria Math"/>
          </w:rPr>
          <m:t>C</m:t>
        </m:r>
      </m:oMath>
      <w:r>
        <w:rPr>
          <w:rFonts w:ascii="Segoe UI" w:hAnsi="Segoe UI" w:cs="Segoe UI"/>
          <w:sz w:val="21"/>
          <w:szCs w:val="21"/>
        </w:rPr>
        <w:t>captures contributions, benefit payments, demographic changes, management actions and other non-market effects.</w:t>
      </w:r>
    </w:p>
    <w:p w14:paraId="7A1025B9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variance is therefore:</w:t>
      </w:r>
    </w:p>
    <w:p w14:paraId="5884284F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F,1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A,1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AL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A,1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</m:t>
          </m:r>
          <m:r>
            <m:rPr>
              <m:sty m:val="p"/>
            </m:rPr>
            <w:rPr>
              <w:rFonts w:ascii="Cambria Math" w:hAnsi="Cambria Math"/>
            </w:rPr>
            <m:t>Cov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,C)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0B5383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Under the simplifying assumption that cashflow and non-market effects are independent of market returns:</w:t>
      </w:r>
    </w:p>
    <w:p w14:paraId="0A8FA940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F,1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A,1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AL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A,1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45CBBDD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the central bridge between funding-level risk and asset </w:t>
      </w:r>
      <w:proofErr w:type="spellStart"/>
      <w:r>
        <w:rPr>
          <w:rFonts w:ascii="Segoe UI" w:hAnsi="Segoe UI" w:cs="Segoe UI"/>
          <w:sz w:val="21"/>
          <w:szCs w:val="21"/>
        </w:rPr>
        <w:t>VaR.</w:t>
      </w:r>
      <w:proofErr w:type="spellEnd"/>
    </w:p>
    <w:p w14:paraId="349FEF4B" w14:textId="77777777" w:rsidR="005A12D2" w:rsidRDefault="005A12D2" w:rsidP="005A12D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Solving for asset volatility</w:t>
      </w:r>
    </w:p>
    <w:p w14:paraId="76ABDA33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Define:</w:t>
      </w:r>
    </w:p>
    <w:p w14:paraId="39DEBB15" w14:textId="77777777" w:rsidR="005A12D2" w:rsidRDefault="005A12D2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r>
            <w:rPr>
              <w:rFonts w:ascii="Cambria Math" w:hAnsi="Cambria Math"/>
            </w:rPr>
            <m:t>V=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F,1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0BBE57A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asset volatility satisfies:</w:t>
      </w:r>
    </w:p>
    <w:p w14:paraId="335F52C9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A,1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AL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A,1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-V=0.</m:t>
          </m:r>
        </m:oMath>
      </m:oMathPara>
    </w:p>
    <w:p w14:paraId="6AF7BE36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economically relevant positive solution is:</w:t>
      </w:r>
    </w:p>
    <w:p w14:paraId="3D490B9D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A,1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AL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L,1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V-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L,1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(1-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AL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</m:rad>
            </m:e>
          </m:borderBox>
        </m:oMath>
      </m:oMathPara>
    </w:p>
    <w:p w14:paraId="364F5263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provided that the expression under the square root is non-negative.</w:t>
      </w:r>
    </w:p>
    <w:p w14:paraId="1C187D54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equivalent asset </w:t>
      </w:r>
      <w:proofErr w:type="spellStart"/>
      <w:r>
        <w:rPr>
          <w:rFonts w:ascii="Segoe UI" w:hAnsi="Segoe UI" w:cs="Segoe UI"/>
          <w:sz w:val="21"/>
          <w:szCs w:val="21"/>
        </w:rPr>
        <w:t>VaR</w:t>
      </w:r>
      <w:proofErr w:type="spellEnd"/>
      <w:r>
        <w:rPr>
          <w:rFonts w:ascii="Segoe UI" w:hAnsi="Segoe UI" w:cs="Segoe UI"/>
          <w:sz w:val="21"/>
          <w:szCs w:val="21"/>
        </w:rPr>
        <w:t xml:space="preserve"> is then:</w:t>
      </w:r>
    </w:p>
    <w:p w14:paraId="728CBF6D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VaR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95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  <m:r>
                    <w:rPr>
                      <w:rFonts w:ascii="Cambria Math" w:hAnsi="Cambria Math"/>
                    </w:rPr>
                    <m:t>,1y</m:t>
                  </m:r>
                </m:sub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begChr m:val="["/>
                  <m:sepChr m:val="−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1.64485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A,1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A,1</m:t>
                      </m:r>
                    </m:sub>
                  </m:sSub>
                </m:e>
              </m:d>
            </m:e>
          </m:borderBox>
        </m:oMath>
      </m:oMathPara>
    </w:p>
    <w:p w14:paraId="1C98B67B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or, on a zero-mean risk-budget basis:</w:t>
      </w:r>
    </w:p>
    <w:p w14:paraId="299D4628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VaR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95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  <m:r>
                    <w:rPr>
                      <w:rFonts w:ascii="Cambria Math" w:hAnsi="Cambria Math"/>
                    </w:rPr>
                    <m:t>,1y</m:t>
                  </m:r>
                </m:sub>
                <m:sup>
                  <m:r>
                    <w:rPr>
                      <w:rFonts w:ascii="Cambria Math" w:hAnsi="Cambria Math"/>
                    </w:rPr>
                    <m:t>A,0μ</m:t>
                  </m:r>
                </m:sup>
              </m:sSubSup>
              <m:r>
                <w:rPr>
                  <w:rFonts w:ascii="Cambria Math" w:hAnsi="Cambria Math"/>
                </w:rPr>
                <m:t>=1.64485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A,1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11992C39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6BA867A">
          <v:rect id="_x0000_i1029" style="width:0;height:1.5pt" o:hralign="center" o:hrstd="t" o:hr="t" fillcolor="#a0a0a0" stroked="f"/>
        </w:pict>
      </w:r>
    </w:p>
    <w:p w14:paraId="3C424952" w14:textId="77777777" w:rsidR="005A12D2" w:rsidRDefault="005A12D2" w:rsidP="005A12D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5. Practical alternative: asset-to-funding beta</w:t>
      </w:r>
    </w:p>
    <w:p w14:paraId="5603949F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variance decomposition above requires estimates of liability volatility, cashflow risk and asset-liability correlation. A more robust implementation is to estimate an empirical sensitivity directly from the </w:t>
      </w:r>
      <w:proofErr w:type="spellStart"/>
      <w:r>
        <w:rPr>
          <w:rFonts w:ascii="Segoe UI" w:hAnsi="Segoe UI" w:cs="Segoe UI"/>
          <w:sz w:val="21"/>
          <w:szCs w:val="21"/>
        </w:rPr>
        <w:t>Ortec</w:t>
      </w:r>
      <w:proofErr w:type="spellEnd"/>
      <w:r>
        <w:rPr>
          <w:rFonts w:ascii="Segoe UI" w:hAnsi="Segoe UI" w:cs="Segoe UI"/>
          <w:sz w:val="21"/>
          <w:szCs w:val="21"/>
        </w:rPr>
        <w:t xml:space="preserve"> scenarios.</w:t>
      </w:r>
    </w:p>
    <w:p w14:paraId="62697CB0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Let:</w:t>
      </w:r>
    </w:p>
    <w:p w14:paraId="03E15F7B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A,10</m:t>
              </m:r>
            </m:sub>
          </m:sSub>
          <m:r>
            <w:rPr>
              <w:rFonts w:ascii="Cambria Math" w:hAnsi="Cambria Math"/>
            </w:rPr>
            <m:t>-E[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A,10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7818A89A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and:</w:t>
      </w:r>
    </w:p>
    <w:p w14:paraId="6509219E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)-E[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A5B860A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Estimate:</w:t>
      </w:r>
    </w:p>
    <w:p w14:paraId="1431E6BB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AF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6D5725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Then:</w:t>
      </w:r>
    </w:p>
    <w:p w14:paraId="52B4FDA8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AF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Cov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Var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74005C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funding-ratio variance becomes:</w:t>
      </w:r>
    </w:p>
    <w:p w14:paraId="713E733B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AF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A,10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ε,10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3D785EA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Consequently:</w:t>
      </w:r>
    </w:p>
    <w:p w14:paraId="7E390FA3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A,10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ε,10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AF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</m:oMath>
      </m:oMathPara>
    </w:p>
    <w:p w14:paraId="6E19D1CE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and:</w:t>
      </w:r>
    </w:p>
    <w:p w14:paraId="6F92B3C2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A,1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ε,10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AF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071747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gives:</w:t>
      </w:r>
    </w:p>
    <w:p w14:paraId="2D14FE19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VaR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95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  <m:r>
                    <w:rPr>
                      <w:rFonts w:ascii="Cambria Math" w:hAnsi="Cambria Math"/>
                    </w:rPr>
                    <m:t>,1y</m:t>
                  </m:r>
                </m:sub>
                <m:sup>
                  <m:r>
                    <w:rPr>
                      <w:rFonts w:ascii="Cambria Math" w:hAnsi="Cambria Math"/>
                    </w:rPr>
                    <m:t>A,0μ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1.64485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rad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ε,10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1964CFDD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preferable if </w:t>
      </w:r>
      <w:proofErr w:type="spellStart"/>
      <w:r>
        <w:rPr>
          <w:rFonts w:ascii="Segoe UI" w:hAnsi="Segoe UI" w:cs="Segoe UI"/>
          <w:sz w:val="21"/>
          <w:szCs w:val="21"/>
        </w:rPr>
        <w:t>Ortec</w:t>
      </w:r>
      <w:proofErr w:type="spellEnd"/>
      <w:r>
        <w:rPr>
          <w:rFonts w:ascii="Segoe UI" w:hAnsi="Segoe UI" w:cs="Segoe UI"/>
          <w:sz w:val="21"/>
          <w:szCs w:val="21"/>
        </w:rPr>
        <w:t xml:space="preserve"> can provide scenario-level outputs for:</w:t>
      </w:r>
    </w:p>
    <w:p w14:paraId="4B870F66" w14:textId="77777777" w:rsidR="005A12D2" w:rsidRDefault="005A12D2" w:rsidP="005A12D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total asset return;</w:t>
      </w:r>
    </w:p>
    <w:p w14:paraId="1766AC26" w14:textId="77777777" w:rsidR="005A12D2" w:rsidRDefault="005A12D2" w:rsidP="005A12D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funding level;</w:t>
      </w:r>
    </w:p>
    <w:p w14:paraId="58E6FD74" w14:textId="77777777" w:rsidR="005A12D2" w:rsidRDefault="005A12D2" w:rsidP="005A12D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liability value;</w:t>
      </w:r>
    </w:p>
    <w:p w14:paraId="30962834" w14:textId="77777777" w:rsidR="005A12D2" w:rsidRDefault="005A12D2" w:rsidP="005A12D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contributions and benefit payments;</w:t>
      </w:r>
    </w:p>
    <w:p w14:paraId="0B911D4C" w14:textId="77777777" w:rsidR="005A12D2" w:rsidRDefault="005A12D2" w:rsidP="005A12D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hedging assets or liability-hedging returns.</w:t>
      </w:r>
    </w:p>
    <w:p w14:paraId="591DAE3F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 separates the part of funding volatility attributable to asset-market risk from residual funding risk.</w:t>
      </w:r>
    </w:p>
    <w:p w14:paraId="62B28538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CC5BE07">
          <v:rect id="_x0000_i1030" style="width:0;height:1.5pt" o:hralign="center" o:hrstd="t" o:hr="t" fillcolor="#a0a0a0" stroked="f"/>
        </w:pict>
      </w:r>
    </w:p>
    <w:p w14:paraId="75ADA97B" w14:textId="77777777" w:rsidR="005A12D2" w:rsidRDefault="005A12D2" w:rsidP="005A12D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6. Simplified conversion when only breach probabilities are available</w:t>
      </w:r>
    </w:p>
    <w:p w14:paraId="224BC25B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no scenario-level decomposition exists, you can adopt a transparent “equivalent risk” approximation:</w:t>
      </w:r>
    </w:p>
    <w:p w14:paraId="4F6BDB79" w14:textId="77777777" w:rsidR="005A12D2" w:rsidRDefault="005A12D2" w:rsidP="005A12D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rPr>
          <w:rFonts w:ascii="Segoe UI" w:hAnsi="Segoe UI" w:cs="Segoe UI"/>
          <w:sz w:val="21"/>
          <w:szCs w:val="21"/>
        </w:rPr>
        <w:t>from the funding-level breach probabilities.</w:t>
      </w:r>
    </w:p>
    <w:p w14:paraId="77CF968F" w14:textId="77777777" w:rsidR="005A12D2" w:rsidRDefault="005A12D2" w:rsidP="005A12D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Scale to one year:</w:t>
      </w:r>
    </w:p>
    <w:p w14:paraId="71CFD179" w14:textId="77777777" w:rsidR="005A12D2" w:rsidRDefault="00BF7D1D" w:rsidP="005A12D2">
      <w:pPr>
        <w:spacing w:after="0"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F,1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CA413F4" w14:textId="77777777" w:rsidR="005A12D2" w:rsidRDefault="005A12D2" w:rsidP="005A12D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Assume asset shocks are the dominant source of funding volatility:</w:t>
      </w:r>
    </w:p>
    <w:p w14:paraId="4D9E615D" w14:textId="77777777" w:rsidR="005A12D2" w:rsidRDefault="00BF7D1D" w:rsidP="005A12D2">
      <w:pPr>
        <w:spacing w:after="0"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A,1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AF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00A11F0" w14:textId="77777777" w:rsidR="005A12D2" w:rsidRDefault="005A12D2" w:rsidP="005A12D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AF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ascii="Segoe UI" w:hAnsi="Segoe UI" w:cs="Segoe UI"/>
          <w:sz w:val="21"/>
          <w:szCs w:val="21"/>
        </w:rPr>
        <w:t>as the initial approximation.</w:t>
      </w:r>
    </w:p>
    <w:p w14:paraId="2D5F0645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produces:</w:t>
      </w:r>
    </w:p>
    <w:p w14:paraId="318055FD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VaR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95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  <m:r>
                    <w:rPr>
                      <w:rFonts w:ascii="Cambria Math" w:hAnsi="Cambria Math"/>
                    </w:rPr>
                    <m:t>,1y</m:t>
                  </m:r>
                </m:sub>
                <m:sup>
                  <m:r>
                    <w:rPr>
                      <w:rFonts w:ascii="Cambria Math" w:hAnsi="Cambria Math"/>
                    </w:rPr>
                    <m:t>A,0μ</m:t>
                  </m:r>
                </m:sup>
              </m:sSubSup>
              <m:r>
                <w:rPr>
                  <w:rFonts w:ascii="Cambria Math" w:hAnsi="Cambria Math"/>
                </w:rPr>
                <m:t>≈1.64485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236FAB58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approximation effectively assumes:</w:t>
      </w:r>
    </w:p>
    <w:p w14:paraId="0E0D200B" w14:textId="77777777" w:rsidR="005A12D2" w:rsidRDefault="005A12D2" w:rsidP="005A12D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liabilities are locally fixed;</w:t>
      </w:r>
    </w:p>
    <w:p w14:paraId="28930E01" w14:textId="77777777" w:rsidR="005A12D2" w:rsidRDefault="005A12D2" w:rsidP="005A12D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cashflow uncertainty is immaterial;</w:t>
      </w:r>
    </w:p>
    <w:p w14:paraId="2C8D0532" w14:textId="77777777" w:rsidR="005A12D2" w:rsidRDefault="005A12D2" w:rsidP="005A12D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sponsor contributions or management actions mitigate deficits;</w:t>
      </w:r>
    </w:p>
    <w:p w14:paraId="390D17EC" w14:textId="77777777" w:rsidR="005A12D2" w:rsidRDefault="005A12D2" w:rsidP="005A12D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1% asset return shock produces approximately a 1% change in the funding ratio;</w:t>
      </w:r>
    </w:p>
    <w:p w14:paraId="465B7A85" w14:textId="77777777" w:rsidR="005A12D2" w:rsidRDefault="005A12D2" w:rsidP="005A12D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annual risks are independent and identically distributed;</w:t>
      </w:r>
    </w:p>
    <w:p w14:paraId="3E782C97" w14:textId="77777777" w:rsidR="005A12D2" w:rsidRDefault="005A12D2" w:rsidP="005A12D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fitted lognormal distribution adequately represents the relevant downside.</w:t>
      </w:r>
    </w:p>
    <w:p w14:paraId="23536264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It is simple and auditable, but it will usually </w:t>
      </w:r>
      <w:r>
        <w:rPr>
          <w:rStyle w:val="Strong"/>
          <w:rFonts w:ascii="Segoe UI" w:hAnsi="Segoe UI" w:cs="Segoe UI"/>
          <w:sz w:val="21"/>
          <w:szCs w:val="21"/>
        </w:rPr>
        <w:t xml:space="preserve">overstate asset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VaR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if liability risk is positively related to asset returns or if non-asset funding risks are 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material</w:t>
      </w:r>
      <w:r>
        <w:rPr>
          <w:rFonts w:ascii="Segoe UI" w:hAnsi="Segoe UI" w:cs="Segoe UI"/>
          <w:sz w:val="21"/>
          <w:szCs w:val="21"/>
        </w:rPr>
        <w:t>, and</w:t>
      </w:r>
      <w:proofErr w:type="gramEnd"/>
      <w:r>
        <w:rPr>
          <w:rFonts w:ascii="Segoe UI" w:hAnsi="Segoe UI" w:cs="Segoe UI"/>
          <w:sz w:val="21"/>
          <w:szCs w:val="21"/>
        </w:rPr>
        <w:t xml:space="preserve"> may </w:t>
      </w:r>
      <w:r>
        <w:rPr>
          <w:rStyle w:val="Strong"/>
          <w:rFonts w:ascii="Segoe UI" w:hAnsi="Segoe UI" w:cs="Segoe UI"/>
          <w:sz w:val="21"/>
          <w:szCs w:val="21"/>
        </w:rPr>
        <w:t>understate risk where asset and liability shocks adversely reinforce one another</w:t>
      </w:r>
      <w:r>
        <w:rPr>
          <w:rFonts w:ascii="Segoe UI" w:hAnsi="Segoe UI" w:cs="Segoe UI"/>
          <w:sz w:val="21"/>
          <w:szCs w:val="21"/>
        </w:rPr>
        <w:t>.</w:t>
      </w:r>
    </w:p>
    <w:p w14:paraId="50F25F62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917E5DD">
          <v:rect id="_x0000_i1031" style="width:0;height:1.5pt" o:hralign="center" o:hrstd="t" o:hr="t" fillcolor="#a0a0a0" stroked="f"/>
        </w:pict>
      </w:r>
    </w:p>
    <w:p w14:paraId="7D421042" w14:textId="77777777" w:rsidR="005A12D2" w:rsidRDefault="005A12D2" w:rsidP="005A12D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7. Important identifiability limitation</w:t>
      </w:r>
    </w:p>
    <w:p w14:paraId="6A76B620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Funding breach probabilities alone identify only the marginal distribution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rPr>
          <w:rFonts w:ascii="Segoe UI" w:hAnsi="Segoe UI" w:cs="Segoe UI"/>
          <w:sz w:val="21"/>
          <w:szCs w:val="21"/>
        </w:rPr>
        <w:t>. They do not reveal how much of that distribution comes from:</w:t>
      </w:r>
    </w:p>
    <w:p w14:paraId="6735D718" w14:textId="77777777" w:rsidR="005A12D2" w:rsidRDefault="005A12D2" w:rsidP="005A12D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asset returns;</w:t>
      </w:r>
    </w:p>
    <w:p w14:paraId="17899C06" w14:textId="77777777" w:rsidR="005A12D2" w:rsidRDefault="005A12D2" w:rsidP="005A12D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liability valuation;</w:t>
      </w:r>
    </w:p>
    <w:p w14:paraId="15333FAA" w14:textId="77777777" w:rsidR="005A12D2" w:rsidRDefault="005A12D2" w:rsidP="005A12D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inflation;</w:t>
      </w:r>
    </w:p>
    <w:p w14:paraId="6A1E1A0C" w14:textId="77777777" w:rsidR="005A12D2" w:rsidRDefault="005A12D2" w:rsidP="005A12D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interest rates;</w:t>
      </w:r>
    </w:p>
    <w:p w14:paraId="1FDA2E88" w14:textId="77777777" w:rsidR="005A12D2" w:rsidRDefault="005A12D2" w:rsidP="005A12D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benefit cashflows;</w:t>
      </w:r>
    </w:p>
    <w:p w14:paraId="1037C7AA" w14:textId="77777777" w:rsidR="005A12D2" w:rsidRDefault="005A12D2" w:rsidP="005A12D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contributions;</w:t>
      </w:r>
    </w:p>
    <w:p w14:paraId="46F37756" w14:textId="77777777" w:rsidR="005A12D2" w:rsidRDefault="005A12D2" w:rsidP="005A12D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demographic assumptions;</w:t>
      </w:r>
    </w:p>
    <w:p w14:paraId="0535E906" w14:textId="77777777" w:rsidR="005A12D2" w:rsidRDefault="005A12D2" w:rsidP="005A12D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management actions;</w:t>
      </w:r>
    </w:p>
    <w:p w14:paraId="0039494D" w14:textId="77777777" w:rsidR="005A12D2" w:rsidRDefault="005A12D2" w:rsidP="005A12D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path-dependent rebalancing;</w:t>
      </w:r>
    </w:p>
    <w:p w14:paraId="30BDB257" w14:textId="77777777" w:rsidR="005A12D2" w:rsidRDefault="005A12D2" w:rsidP="005A12D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illiquid asset valuation smoothing.</w:t>
      </w:r>
    </w:p>
    <w:p w14:paraId="786F8341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 example, the same probability:</w:t>
      </w:r>
    </w:p>
    <w:p w14:paraId="690B400F" w14:textId="77777777" w:rsidR="005A12D2" w:rsidRDefault="005A12D2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&lt;0.90)=10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6FA56B91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could arise from:</w:t>
      </w:r>
    </w:p>
    <w:p w14:paraId="381C9E00" w14:textId="77777777" w:rsidR="005A12D2" w:rsidRDefault="005A12D2" w:rsidP="005A12D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high asset volatility with stable liabilities;</w:t>
      </w:r>
    </w:p>
    <w:p w14:paraId="3CE63773" w14:textId="77777777" w:rsidR="005A12D2" w:rsidRDefault="005A12D2" w:rsidP="005A12D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low asset volatility with high liability volatility;</w:t>
      </w:r>
    </w:p>
    <w:p w14:paraId="66E9FB42" w14:textId="77777777" w:rsidR="005A12D2" w:rsidRDefault="005A12D2" w:rsidP="005A12D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moderate asset and liability volatility but adverse correlation;</w:t>
      </w:r>
    </w:p>
    <w:p w14:paraId="395913EE" w14:textId="77777777" w:rsidR="005A12D2" w:rsidRDefault="005A12D2" w:rsidP="005A12D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deterministic benefit outflows;</w:t>
      </w:r>
    </w:p>
    <w:p w14:paraId="295E5C17" w14:textId="77777777" w:rsidR="005A12D2" w:rsidRDefault="005A12D2" w:rsidP="005A12D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deficit contributions that are triggered in some scenarios;</w:t>
      </w:r>
    </w:p>
    <w:p w14:paraId="23FFB4E6" w14:textId="77777777" w:rsidR="005A12D2" w:rsidRDefault="005A12D2" w:rsidP="005A12D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skewed or fat-tailed return process.</w:t>
      </w:r>
    </w:p>
    <w:p w14:paraId="23CBAD87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Accordingly, the conversion should be labelled an:</w:t>
      </w:r>
    </w:p>
    <w:p w14:paraId="57CCE2F1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 xml:space="preserve">Equivalent one-year asset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VaR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consistent with the long-term funding-risk appetite under the specified mapping assumptions.</w:t>
      </w:r>
    </w:p>
    <w:p w14:paraId="6A2B1BA7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It should not be presented as a mathematically unique </w:t>
      </w:r>
      <w:proofErr w:type="spellStart"/>
      <w:r>
        <w:rPr>
          <w:rFonts w:ascii="Segoe UI" w:hAnsi="Segoe UI" w:cs="Segoe UI"/>
          <w:sz w:val="21"/>
          <w:szCs w:val="21"/>
        </w:rPr>
        <w:t>VaR</w:t>
      </w:r>
      <w:proofErr w:type="spellEnd"/>
      <w:r>
        <w:rPr>
          <w:rFonts w:ascii="Segoe UI" w:hAnsi="Segoe UI" w:cs="Segoe UI"/>
          <w:sz w:val="21"/>
          <w:szCs w:val="21"/>
        </w:rPr>
        <w:t xml:space="preserve"> implied directly by the funding thresholds.</w:t>
      </w:r>
    </w:p>
    <w:p w14:paraId="12D0C949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4DA2886">
          <v:rect id="_x0000_i1032" style="width:0;height:1.5pt" o:hralign="center" o:hrstd="t" o:hr="t" fillcolor="#a0a0a0" stroked="f"/>
        </w:pict>
      </w:r>
    </w:p>
    <w:p w14:paraId="6EC6B368" w14:textId="77777777" w:rsidR="005A12D2" w:rsidRDefault="005A12D2" w:rsidP="005A12D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8. Recommended production framework</w:t>
      </w:r>
    </w:p>
    <w:p w14:paraId="57DD9E55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 suggest maintaining three levels of conversion.</w:t>
      </w:r>
    </w:p>
    <w:p w14:paraId="6C0FFEF7" w14:textId="77777777" w:rsidR="005A12D2" w:rsidRDefault="005A12D2" w:rsidP="005A12D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Level 1: simple risk-appetite translation</w:t>
      </w:r>
    </w:p>
    <w:p w14:paraId="3CB52CA3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Use:</w:t>
      </w:r>
    </w:p>
    <w:p w14:paraId="0D7E3A11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VaR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  <m:r>
            <w:rPr>
              <w:rFonts w:ascii="Cambria Math" w:hAnsi="Cambria Math"/>
            </w:rPr>
            <m:t>=1.64485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865147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Purpose: high-level risk appetite and initial calibration.</w:t>
      </w:r>
    </w:p>
    <w:p w14:paraId="41E8E5FD" w14:textId="77777777" w:rsidR="005A12D2" w:rsidRDefault="005A12D2" w:rsidP="005A12D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Level 2: liability-adjusted translation</w:t>
      </w:r>
    </w:p>
    <w:p w14:paraId="1ECBE28B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Use:</w:t>
      </w:r>
    </w:p>
    <w:p w14:paraId="0EBEBADA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A,1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AL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L,1</m:t>
              </m:r>
            </m:sub>
          </m:sSub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F,1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L,1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(1-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AL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12F431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Purpose: formal portfolio risk limit.</w:t>
      </w:r>
    </w:p>
    <w:p w14:paraId="602EE214" w14:textId="77777777" w:rsidR="005A12D2" w:rsidRDefault="005A12D2" w:rsidP="005A12D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Level 3: scenario-regression translation</w:t>
      </w:r>
    </w:p>
    <w:p w14:paraId="01A3F0C9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Estimate asset-to-funding beta and residual risk directly from the </w:t>
      </w:r>
      <w:proofErr w:type="spellStart"/>
      <w:r>
        <w:rPr>
          <w:rFonts w:ascii="Segoe UI" w:hAnsi="Segoe UI" w:cs="Segoe UI"/>
          <w:sz w:val="21"/>
          <w:szCs w:val="21"/>
        </w:rPr>
        <w:t>Ortec</w:t>
      </w:r>
      <w:proofErr w:type="spellEnd"/>
      <w:r>
        <w:rPr>
          <w:rFonts w:ascii="Segoe UI" w:hAnsi="Segoe UI" w:cs="Segoe UI"/>
          <w:sz w:val="21"/>
          <w:szCs w:val="21"/>
        </w:rPr>
        <w:t xml:space="preserve"> scenario set.</w:t>
      </w:r>
    </w:p>
    <w:p w14:paraId="0959087E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Purpose: model validation, annual recalibration and attribution of the funding-risk budget.</w:t>
      </w:r>
    </w:p>
    <w:p w14:paraId="37A78977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0518355">
          <v:rect id="_x0000_i1033" style="width:0;height:1.5pt" o:hralign="center" o:hrstd="t" o:hr="t" fillcolor="#a0a0a0" stroked="f"/>
        </w:pict>
      </w:r>
    </w:p>
    <w:p w14:paraId="31516858" w14:textId="77777777" w:rsidR="005A12D2" w:rsidRDefault="005A12D2" w:rsidP="005A12D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9. Recommended assumptions for a usable first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2758"/>
        <w:gridCol w:w="4059"/>
      </w:tblGrid>
      <w:tr w:rsidR="005A12D2" w14:paraId="1919CE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1CCC7E" w14:textId="77777777" w:rsidR="005A12D2" w:rsidRDefault="005A1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Assumption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DDAD0E" w14:textId="77777777" w:rsidR="005A12D2" w:rsidRDefault="005A12D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Initial specification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44BD2A" w14:textId="77777777" w:rsidR="005A12D2" w:rsidRDefault="005A12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Governance treatment</w:t>
            </w:r>
          </w:p>
        </w:tc>
      </w:tr>
      <w:tr w:rsidR="005A12D2" w14:paraId="35334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A2680" w14:textId="77777777" w:rsidR="005A12D2" w:rsidRDefault="005A12D2">
            <w:r>
              <w:t>Funding distribution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3A749" w14:textId="77777777" w:rsidR="005A12D2" w:rsidRDefault="005A12D2">
            <w:pPr>
              <w:jc w:val="right"/>
            </w:pPr>
            <w:r>
              <w:t>Lognormal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56A7F" w14:textId="77777777" w:rsidR="005A12D2" w:rsidRDefault="005A12D2">
            <w:r>
              <w:t>Test fit against all available thresholds</w:t>
            </w:r>
          </w:p>
        </w:tc>
      </w:tr>
      <w:tr w:rsidR="005A12D2" w14:paraId="5B9545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4A3F7" w14:textId="77777777" w:rsidR="005A12D2" w:rsidRDefault="005A12D2">
            <w:r>
              <w:t>Time scaling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2F900" w14:textId="77777777" w:rsidR="005A12D2" w:rsidRDefault="005A12D2">
            <w:pPr>
              <w:jc w:val="right"/>
            </w:pPr>
            <w:r>
              <w:t>Square-root of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7264F" w14:textId="77777777" w:rsidR="005A12D2" w:rsidRDefault="005A12D2">
            <w:r>
              <w:t>Stress using scaling exponents above and below 0.5</w:t>
            </w:r>
          </w:p>
        </w:tc>
      </w:tr>
      <w:tr w:rsidR="005A12D2" w14:paraId="2FBD6E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167D7" w14:textId="77777777" w:rsidR="005A12D2" w:rsidRDefault="005A12D2">
            <w:r>
              <w:t xml:space="preserve">Expected return in </w:t>
            </w:r>
            <w:proofErr w:type="spellStart"/>
            <w:r>
              <w:t>VaR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9571B" w14:textId="77777777" w:rsidR="005A12D2" w:rsidRDefault="005A12D2">
            <w:pPr>
              <w:jc w:val="right"/>
            </w:pPr>
            <w:r>
              <w:t>Zero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F82E5" w14:textId="77777777" w:rsidR="005A12D2" w:rsidRDefault="005A12D2">
            <w:r>
              <w:t>Avoids risk budget dependence on CMA optimism</w:t>
            </w:r>
          </w:p>
        </w:tc>
      </w:tr>
      <w:tr w:rsidR="005A12D2" w14:paraId="549FCD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585EF" w14:textId="77777777" w:rsidR="005A12D2" w:rsidRDefault="005A12D2">
            <w:r>
              <w:t>Liability 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FD4ED" w14:textId="77777777" w:rsidR="005A12D2" w:rsidRDefault="005A12D2">
            <w:pPr>
              <w:jc w:val="right"/>
            </w:pPr>
            <w:r>
              <w:t>Separately estimated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85D4A" w14:textId="77777777" w:rsidR="005A12D2" w:rsidRDefault="005A12D2">
            <w:r>
              <w:t>Use duration, inflation sensitivity or scenario output</w:t>
            </w:r>
          </w:p>
        </w:tc>
      </w:tr>
      <w:tr w:rsidR="005A12D2" w14:paraId="5D16AB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9FD18" w14:textId="77777777" w:rsidR="005A12D2" w:rsidRDefault="005A12D2">
            <w:r>
              <w:t>Cashflow 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5F38B7" w14:textId="77777777" w:rsidR="005A12D2" w:rsidRDefault="005A12D2">
            <w:pPr>
              <w:jc w:val="right"/>
            </w:pPr>
            <w:r>
              <w:t>Independent of market 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FAAC1" w14:textId="77777777" w:rsidR="005A12D2" w:rsidRDefault="005A12D2">
            <w:r>
              <w:t>Quantify separately where material</w:t>
            </w:r>
          </w:p>
        </w:tc>
      </w:tr>
      <w:tr w:rsidR="005A12D2" w14:paraId="7D2121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10F1B" w14:textId="77777777" w:rsidR="005A12D2" w:rsidRDefault="005A12D2">
            <w:r>
              <w:t>Asset-to-funding beta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D64DC" w14:textId="77777777" w:rsidR="005A12D2" w:rsidRDefault="005A12D2">
            <w:pPr>
              <w:jc w:val="right"/>
            </w:pPr>
            <w:r>
              <w:t>1.0 initially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334E5" w14:textId="77777777" w:rsidR="005A12D2" w:rsidRDefault="005A12D2">
            <w:r>
              <w:t xml:space="preserve">Replace with </w:t>
            </w:r>
            <w:proofErr w:type="spellStart"/>
            <w:r>
              <w:t>Ortec</w:t>
            </w:r>
            <w:proofErr w:type="spellEnd"/>
            <w:r>
              <w:t xml:space="preserve"> scenario regression</w:t>
            </w:r>
          </w:p>
        </w:tc>
      </w:tr>
      <w:tr w:rsidR="005A12D2" w14:paraId="0A825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D97D6" w14:textId="77777777" w:rsidR="005A12D2" w:rsidRDefault="005A12D2">
            <w:r>
              <w:t>Tail shape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6E334" w14:textId="77777777" w:rsidR="005A12D2" w:rsidRDefault="005A12D2">
            <w:pPr>
              <w:jc w:val="right"/>
            </w:pPr>
            <w:r>
              <w:t>Normal after log transformation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72278" w14:textId="77777777" w:rsidR="005A12D2" w:rsidRDefault="005A12D2">
            <w:r>
              <w:t>Compare against empirical 5th percentile</w:t>
            </w:r>
          </w:p>
        </w:tc>
      </w:tr>
      <w:tr w:rsidR="005A12D2" w14:paraId="2E1B7A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89BDC" w14:textId="77777777" w:rsidR="005A12D2" w:rsidRDefault="005A12D2">
            <w:r>
              <w:lastRenderedPageBreak/>
              <w:t>Management 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B01081" w14:textId="77777777" w:rsidR="005A12D2" w:rsidRDefault="005A12D2">
            <w:pPr>
              <w:jc w:val="right"/>
            </w:pPr>
            <w:r>
              <w:t>Excluded initially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75E694" w14:textId="77777777" w:rsidR="005A12D2" w:rsidRDefault="005A12D2">
            <w:r>
              <w:t xml:space="preserve">Add as a separate overlay, not embedded in </w:t>
            </w:r>
            <w:proofErr w:type="spellStart"/>
            <w:r>
              <w:t>VaR</w:t>
            </w:r>
            <w:proofErr w:type="spellEnd"/>
          </w:p>
        </w:tc>
      </w:tr>
      <w:tr w:rsidR="005A12D2" w14:paraId="1B6289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F3B68" w14:textId="77777777" w:rsidR="005A12D2" w:rsidRDefault="005A12D2">
            <w:r>
              <w:t>Private asset smoothing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D6F3D3" w14:textId="77777777" w:rsidR="005A12D2" w:rsidRDefault="005A12D2">
            <w:pPr>
              <w:jc w:val="right"/>
            </w:pPr>
            <w:r>
              <w:t>Corrected where possible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4C6FC" w14:textId="77777777" w:rsidR="005A12D2" w:rsidRDefault="005A12D2">
            <w:r>
              <w:t>Use unsmoothed economic volatility</w:t>
            </w:r>
          </w:p>
        </w:tc>
      </w:tr>
      <w:tr w:rsidR="005A12D2" w14:paraId="6207E7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249DF" w14:textId="77777777" w:rsidR="005A12D2" w:rsidRDefault="005A12D2">
            <w:r>
              <w:t>Rebalancing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8BD57" w14:textId="77777777" w:rsidR="005A12D2" w:rsidRDefault="005A12D2">
            <w:pPr>
              <w:jc w:val="right"/>
            </w:pPr>
            <w:r>
              <w:t>Static portfolio initially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47778" w14:textId="77777777" w:rsidR="005A12D2" w:rsidRDefault="005A12D2">
            <w:r>
              <w:t xml:space="preserve">Validate against </w:t>
            </w:r>
            <w:proofErr w:type="spellStart"/>
            <w:r>
              <w:t>Ortec</w:t>
            </w:r>
            <w:proofErr w:type="spellEnd"/>
            <w:r>
              <w:t xml:space="preserve"> dynamic strategy</w:t>
            </w:r>
          </w:p>
        </w:tc>
      </w:tr>
    </w:tbl>
    <w:p w14:paraId="64412AFE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useful model-risk range would calculate the conversion under:</w:t>
      </w:r>
    </w:p>
    <w:p w14:paraId="331B510E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AF</m:t>
              </m:r>
            </m:sub>
          </m:sSub>
          <m:r>
            <w:rPr>
              <w:rFonts w:ascii="Cambria Math" w:hAnsi="Cambria Math"/>
            </w:rPr>
            <m:t>∈{0.8,1.0,1.2},</m:t>
          </m:r>
        </m:oMath>
      </m:oMathPara>
    </w:p>
    <w:p w14:paraId="3A014673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alternative liability volatilities, and time-scaling rules such as:</w:t>
      </w:r>
    </w:p>
    <w:p w14:paraId="5DF884BD" w14:textId="77777777" w:rsidR="005A12D2" w:rsidRDefault="00BF7D1D" w:rsidP="005A12D2">
      <w:pPr>
        <w:spacing w:line="300" w:lineRule="atLeast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22093422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with </w:t>
      </w:r>
      <m:oMath>
        <m:r>
          <w:rPr>
            <w:rFonts w:ascii="Cambria Math" w:hAnsi="Cambria Math"/>
          </w:rPr>
          <m:t>H</m:t>
        </m:r>
      </m:oMath>
      <w:r>
        <w:rPr>
          <w:rFonts w:ascii="Segoe UI" w:hAnsi="Segoe UI" w:cs="Segoe UI"/>
          <w:sz w:val="21"/>
          <w:szCs w:val="21"/>
        </w:rPr>
        <w:t xml:space="preserve">varied around the square-root-of-time value of </w:t>
      </w:r>
      <m:oMath>
        <m:r>
          <w:rPr>
            <w:rFonts w:ascii="Cambria Math" w:hAnsi="Cambria Math"/>
          </w:rPr>
          <m:t>0.5</m:t>
        </m:r>
      </m:oMath>
      <w:r>
        <w:rPr>
          <w:rFonts w:ascii="Segoe UI" w:hAnsi="Segoe UI" w:cs="Segoe UI"/>
          <w:sz w:val="21"/>
          <w:szCs w:val="21"/>
        </w:rPr>
        <w:t>. This would produce a central VaR limit plus a model-risk range, rather than implying false precision.</w:t>
      </w:r>
    </w:p>
    <w:p w14:paraId="5621BE4A" w14:textId="77777777" w:rsidR="005A12D2" w:rsidRDefault="005A12D2" w:rsidP="005A12D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most defensible implementation for an investment committee would therefore report: </w:t>
      </w:r>
      <w:r>
        <w:rPr>
          <w:rStyle w:val="Strong"/>
          <w:rFonts w:ascii="Segoe UI" w:hAnsi="Segoe UI" w:cs="Segoe UI"/>
          <w:sz w:val="21"/>
          <w:szCs w:val="21"/>
        </w:rPr>
        <w:t xml:space="preserve">the fitted funding-risk distribution, equivalent one-year funding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VaR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, liability and cashflow adjustment, resulting asset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VaR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limit, and sensitivity range around the key conversion assumptions.</w:t>
      </w:r>
    </w:p>
    <w:p w14:paraId="2AD05D82" w14:textId="77777777" w:rsidR="00A64AFE" w:rsidRDefault="00A64AFE"/>
    <w:p w14:paraId="315F2CB9" w14:textId="77777777" w:rsidR="005A12D2" w:rsidRDefault="005A12D2"/>
    <w:p w14:paraId="57C2A8D3" w14:textId="6A39863C" w:rsidR="005A12D2" w:rsidRDefault="005A12D2">
      <w:r>
        <w:t>Original co-pilot prompt:</w:t>
      </w:r>
    </w:p>
    <w:p w14:paraId="0A0DC4C5" w14:textId="77777777" w:rsidR="005A12D2" w:rsidRDefault="005A12D2"/>
    <w:p w14:paraId="5BBFB590" w14:textId="77777777" w:rsidR="005A12D2" w:rsidRDefault="005A12D2" w:rsidP="005A12D2">
      <w:pPr>
        <w:shd w:val="clear" w:color="auto" w:fill="F5F5F5"/>
        <w:rPr>
          <w:rFonts w:ascii="Segoe UI" w:hAnsi="Segoe UI" w:cs="Segoe UI"/>
          <w:color w:val="242424"/>
        </w:rPr>
      </w:pPr>
      <w:r>
        <w:rPr>
          <w:rFonts w:ascii="Segoe UI" w:hAnsi="Segoe UI" w:cs="Segoe UI"/>
          <w:color w:val="242424"/>
        </w:rPr>
        <w:t xml:space="preserve">I would like to devise a conversion methodology between risk appetite statement funding level scenarios for a pension fund, and </w:t>
      </w:r>
      <w:proofErr w:type="spellStart"/>
      <w:r>
        <w:rPr>
          <w:rFonts w:ascii="Segoe UI" w:hAnsi="Segoe UI" w:cs="Segoe UI"/>
          <w:color w:val="242424"/>
        </w:rPr>
        <w:t>VaR</w:t>
      </w:r>
      <w:proofErr w:type="spellEnd"/>
      <w:r>
        <w:rPr>
          <w:rFonts w:ascii="Segoe UI" w:hAnsi="Segoe UI" w:cs="Segoe UI"/>
          <w:color w:val="242424"/>
        </w:rPr>
        <w:t xml:space="preserve"> of a portfolio of assets held by the fund. The relevant funding level metrics are '% scenarios where funding level &lt; x%', over a 10y forward looking horizon where this metric is available for a few values of x (e.g. 90%, 100%, 110%) based on </w:t>
      </w:r>
      <w:proofErr w:type="spellStart"/>
      <w:r>
        <w:rPr>
          <w:rFonts w:ascii="Segoe UI" w:hAnsi="Segoe UI" w:cs="Segoe UI"/>
          <w:color w:val="242424"/>
        </w:rPr>
        <w:t>Ortec</w:t>
      </w:r>
      <w:proofErr w:type="spellEnd"/>
      <w:r>
        <w:rPr>
          <w:rFonts w:ascii="Segoe UI" w:hAnsi="Segoe UI" w:cs="Segoe UI"/>
          <w:color w:val="242424"/>
        </w:rPr>
        <w:t xml:space="preserve"> simulations. The required </w:t>
      </w:r>
      <w:proofErr w:type="spellStart"/>
      <w:r>
        <w:rPr>
          <w:rFonts w:ascii="Segoe UI" w:hAnsi="Segoe UI" w:cs="Segoe UI"/>
          <w:color w:val="242424"/>
        </w:rPr>
        <w:t>VaR</w:t>
      </w:r>
      <w:proofErr w:type="spellEnd"/>
      <w:r>
        <w:rPr>
          <w:rFonts w:ascii="Segoe UI" w:hAnsi="Segoe UI" w:cs="Segoe UI"/>
          <w:color w:val="242424"/>
        </w:rPr>
        <w:t xml:space="preserve"> metric is parametric 95% </w:t>
      </w:r>
      <w:proofErr w:type="spellStart"/>
      <w:r>
        <w:rPr>
          <w:rFonts w:ascii="Segoe UI" w:hAnsi="Segoe UI" w:cs="Segoe UI"/>
          <w:color w:val="242424"/>
        </w:rPr>
        <w:t>VaR</w:t>
      </w:r>
      <w:proofErr w:type="spellEnd"/>
      <w:r>
        <w:rPr>
          <w:rFonts w:ascii="Segoe UI" w:hAnsi="Segoe UI" w:cs="Segoe UI"/>
          <w:color w:val="242424"/>
        </w:rPr>
        <w:t xml:space="preserve"> over a shorter 1y horizon. Can you provide a mathematical framework for the conversion, clearly stating any simplifying assumptions needed to make the problem tractable yet practically useful. </w:t>
      </w:r>
    </w:p>
    <w:p w14:paraId="06EE213A" w14:textId="77777777" w:rsidR="005A12D2" w:rsidRDefault="005A12D2"/>
    <w:sectPr w:rsidR="005A1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9BA"/>
    <w:multiLevelType w:val="multilevel"/>
    <w:tmpl w:val="70F4C9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F0B36"/>
    <w:multiLevelType w:val="multilevel"/>
    <w:tmpl w:val="9A34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5535D"/>
    <w:multiLevelType w:val="multilevel"/>
    <w:tmpl w:val="BE72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15FC3"/>
    <w:multiLevelType w:val="multilevel"/>
    <w:tmpl w:val="33C4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471ED"/>
    <w:multiLevelType w:val="multilevel"/>
    <w:tmpl w:val="B2EC94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27181"/>
    <w:multiLevelType w:val="multilevel"/>
    <w:tmpl w:val="61A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34325"/>
    <w:multiLevelType w:val="multilevel"/>
    <w:tmpl w:val="6A50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3243D"/>
    <w:multiLevelType w:val="multilevel"/>
    <w:tmpl w:val="E268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A7199"/>
    <w:multiLevelType w:val="multilevel"/>
    <w:tmpl w:val="9ACA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97A6B"/>
    <w:multiLevelType w:val="multilevel"/>
    <w:tmpl w:val="4984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6568213">
    <w:abstractNumId w:val="9"/>
  </w:num>
  <w:num w:numId="2" w16cid:durableId="604969566">
    <w:abstractNumId w:val="7"/>
  </w:num>
  <w:num w:numId="3" w16cid:durableId="515654265">
    <w:abstractNumId w:val="5"/>
  </w:num>
  <w:num w:numId="4" w16cid:durableId="877281281">
    <w:abstractNumId w:val="6"/>
  </w:num>
  <w:num w:numId="5" w16cid:durableId="194118767">
    <w:abstractNumId w:val="2"/>
  </w:num>
  <w:num w:numId="6" w16cid:durableId="1664700081">
    <w:abstractNumId w:val="4"/>
  </w:num>
  <w:num w:numId="7" w16cid:durableId="2058509091">
    <w:abstractNumId w:val="0"/>
  </w:num>
  <w:num w:numId="8" w16cid:durableId="422117378">
    <w:abstractNumId w:val="1"/>
  </w:num>
  <w:num w:numId="9" w16cid:durableId="1298335457">
    <w:abstractNumId w:val="8"/>
  </w:num>
  <w:num w:numId="10" w16cid:durableId="783691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D2"/>
    <w:rsid w:val="002A1DEB"/>
    <w:rsid w:val="005A12D2"/>
    <w:rsid w:val="00930F1E"/>
    <w:rsid w:val="00A64AFE"/>
    <w:rsid w:val="00AE4866"/>
    <w:rsid w:val="00EF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744CB"/>
  <w15:chartTrackingRefBased/>
  <w15:docId w15:val="{C553B2E4-8046-407D-AE28-C28447D9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2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A1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A12D2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A12D2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5A1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A12D2"/>
    <w:rPr>
      <w:b/>
      <w:bCs/>
    </w:rPr>
  </w:style>
  <w:style w:type="character" w:customStyle="1" w:styleId="katex">
    <w:name w:val="katex"/>
    <w:basedOn w:val="DefaultParagraphFont"/>
    <w:rsid w:val="005A1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1297</Words>
  <Characters>8844</Characters>
  <Application>Microsoft Office Word</Application>
  <DocSecurity>4</DocSecurity>
  <Lines>280</Lines>
  <Paragraphs>215</Paragraphs>
  <ScaleCrop>false</ScaleCrop>
  <Company/>
  <LinksUpToDate>false</LinksUpToDate>
  <CharactersWithSpaces>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Bird</dc:creator>
  <cp:keywords/>
  <dc:description/>
  <cp:lastModifiedBy>Yao Sun</cp:lastModifiedBy>
  <cp:revision>2</cp:revision>
  <dcterms:created xsi:type="dcterms:W3CDTF">2026-09-03T09:56:00Z</dcterms:created>
  <dcterms:modified xsi:type="dcterms:W3CDTF">2026-09-03T09:56:00Z</dcterms:modified>
</cp:coreProperties>
</file>