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国家食品药品监督管理总局关于发布医疗器械生产质量管理规范的公告（2014年第64号）</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国家食品药品监督管理总局</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公　　告</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2014年　第64号</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关于发布医疗器械生产质量管理规范的公告</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为加强医疗器械生产监督管理，规范医疗器械生产质量管理，根据《医疗器械监督管理条例》（国务院令第650号）、《医疗器械生产监督管理办法》（国家食品药品监督管理总局令第7号），国家食品药品监督管理总局组织修订了《医疗器械生产质量管理规范》，现予以发布。</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特此公告。</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附件：医疗器械生产质量管理规范</w:t>
      </w:r>
    </w:p>
    <w:p w:rsidR="00790ED0" w:rsidRPr="00242F1D" w:rsidRDefault="00790ED0" w:rsidP="00242F1D">
      <w:pPr>
        <w:spacing w:line="360" w:lineRule="auto"/>
        <w:rPr>
          <w:rFonts w:ascii="宋体" w:eastAsia="宋体" w:hAnsi="宋体"/>
          <w:sz w:val="24"/>
          <w:szCs w:val="24"/>
        </w:rPr>
      </w:pPr>
    </w:p>
    <w:p w:rsidR="00790ED0" w:rsidRPr="00242F1D" w:rsidRDefault="00790ED0" w:rsidP="00242F1D">
      <w:pPr>
        <w:spacing w:line="360" w:lineRule="auto"/>
        <w:jc w:val="right"/>
        <w:rPr>
          <w:rFonts w:ascii="宋体" w:eastAsia="宋体" w:hAnsi="宋体"/>
          <w:sz w:val="24"/>
          <w:szCs w:val="24"/>
        </w:rPr>
      </w:pPr>
      <w:r w:rsidRPr="00242F1D">
        <w:rPr>
          <w:rFonts w:ascii="宋体" w:eastAsia="宋体" w:hAnsi="宋体" w:hint="eastAsia"/>
          <w:sz w:val="24"/>
          <w:szCs w:val="24"/>
        </w:rPr>
        <w:t>食品药品监管总局</w:t>
      </w:r>
    </w:p>
    <w:p w:rsidR="00790ED0" w:rsidRPr="00242F1D" w:rsidRDefault="00790ED0" w:rsidP="00242F1D">
      <w:pPr>
        <w:spacing w:line="360" w:lineRule="auto"/>
        <w:jc w:val="right"/>
        <w:rPr>
          <w:rFonts w:ascii="宋体" w:eastAsia="宋体" w:hAnsi="宋体"/>
          <w:sz w:val="24"/>
          <w:szCs w:val="24"/>
        </w:rPr>
      </w:pPr>
      <w:r w:rsidRPr="00242F1D">
        <w:rPr>
          <w:rFonts w:ascii="宋体" w:eastAsia="宋体" w:hAnsi="宋体" w:hint="eastAsia"/>
          <w:sz w:val="24"/>
          <w:szCs w:val="24"/>
        </w:rPr>
        <w:t>2014年12月29日</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医疗器械生产质量管理规范</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第一章　总　则</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第一条　为保障医疗器械安全、有效，规范医疗器械生产质量管理，根据《医疗器械监督管理条例》（国务院令第650号）、《医疗器械生产监督管理办法》（国家食品药品监督管理总局令第7号），制定本规范。</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第二条　医疗器械生产企业（以下简称企业）在医疗器械设计开发、生产、销售和售后服务等过程中应当遵守本规范的要求。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第三条　企业应当按照本规范的要求，结合产品特点，建立健全与所生产医疗器械相适应的质量管理体系，并保证其有效运行。</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第四条　企业应当将风险管理贯穿于设计开发、生产、销售和售后服务等全过程，所采取的措施应当与产品存在的风险相适应。</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第二章　机构与人员</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第五条　企业应当建立与医疗器械生产相适应的管理机构，并有组织机构图，明确各部门的职责和权限，明确质量管理职能。生产管理部门和质量管理部门负责人不得互相兼任。</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第六条　企业负责人是医疗器械产品质量的主要责任人，应当履行以下职责：</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（一）组织制定企业的质量方针和质量目标；</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（二）确保质量管理体系有效运行所需的人力资源、基础设施和工作环境等；</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（三）组织实施管理评审，定期对质量管理体系运行情况进行评估，并持续改进；</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（四）按照法律、法规和规章的要求组织生产。</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第七条　企业负责人应当确定一名管理者代表。管理者代表负责建立、实施并保持质量管理体系，报告质量管理体系的运行情况和改进需求，提高员工满足法规、规章和顾客要求的意识。</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第八条　技术、生产和质量管理部门的负责人应当熟悉医疗器械相关法律法规，具有质量管理的实践经验，有能力对生产管理和质量管理中的实际问题作出正确的判断和处理。</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第九条　企业应当配备与生产产品相适应的专业技术人员、管理人员和操作人员，具有相应的质量检验机构或者专职检验人员。</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第十条　从事影响产品质量工作的人员，应当经过与其岗位要求相适应的培训，具有相关理论知识和实际操作技能。</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第十一条　从事影响产品质量工作的人员，企业应当对其健康进行管理，并建立健康档案。</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第三章　厂房与设施</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第十二条　厂房与设施应当符合生产要求，生产、行政和辅助区的总体布局应当合理，不得互相妨碍。</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第十三条　厂房与设施应当根据所生产产品的特性、工艺流程及相应的洁净级别要求合理设计、布局和使用。生产环境应当整洁、符合产品质量需要及相关技术标准的要求。产品有特殊要求的，应当确保厂房的外部环境不能对产品质量产生影响，必要时应当进行验证。</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第十四条　厂房应当确保生产和贮存产品质量以及相关设备性能不会直接或者间接受到影响，厂房应当有适当的照明、温度、湿度和通风控制条件。</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第十五条　厂房与设施的设计和安装应当根据产品特性采取必要的措施，有效防止昆虫或者其他动物进入。对厂房与设施的维护和维修不得影响产品质量。</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第十六条　生产区应当有足够的空间，并与其产品生产规模、品种相适应。</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第十七条　仓储区应当能够满足原材料、包装材料、中间品、产品等的贮存条件和要求，按照待验、合格、不合格、退货或者召回等情形进行分区存放，便于检查和监控。</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第十八条　企业应当配备与产品生产规模、品种、检验要求相适应的检验场所和设施。</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第四章　设　备</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第十九条　企业应当配备与所生产产品和规模相匹配的生产设备、工艺装备等，并确保有效运行。</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第二十条　生产设备的设计、选型、安装、维修和维护必须符合预定用途，便于操作、清洁和维护。生产设备应当有明显的状态标识，防止非预期使用。</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企业应当建立生产设备使用、清洁、维护和维修的操作规程，并保存相应的操作记录。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第二十一条　企业应当配备与产品检验要求相适应的检验仪器和设备，主要检验仪器和设备应当具有明确的操作规程。</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第二十二条　企业应当建立检验仪器和设备的使用记录，记录内容包括使用、校准、维护和维修等情况。</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第二十三条　企业应当配备适当的计量器具。计量器具的量程和精度应当满足使用要求，标明其校准有效期，并保存相应记录。</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第五章　文件管理</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第二十四条　企业应当建立健全质量管理体系文件，包括质量方针和质量目标、质量手册、程序文件、技术文件和记录,以及法规要求的其他文件。</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质量手册应当对质量管理体系作出规定。</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程序文件应当根据产品生产和质量管理过程中需要建立的各种工作程序而制定，包含本规范所规定的各项程序。</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技术文件应当包括产品技术要求及相关标准、生产工艺规程、作业指导书、检验和试验操作规程、安装和服务操作规程等相关文件。</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第二十五条　企业应当建立文件控制程序，系统地设计、制定、审核、批准和发放质量管理体系文件，至少应当符合以下要求：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（一）文件的起草、修订、审核、批准、替换或者撤销、复制、保管和销毁等应当按照控制程序管理，并有相应的文件分发、替换或者撤销、复制和销毁记录；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（二）文件更新或者修订时，应当按规定评审和批准，能够识别文件的更改和修订状态；</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（三）分发和使用的文件应当为适宜的文本，已撤销或者作废的文件应当进行标识，防止误用。</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第二十六条　企业应当确定作废的技术文件等必要的质量管理体系文件的保存期限，以满足产品维修和产品质量责任追溯等需要。</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第二十七条　企业应当建立记录控制程序，包括记录的标识、保管、检索、保存期限和处置要求等，并满足以下要求：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（一）记录应当保证产品生产、质量控制等活动的可追溯性； </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（二）记录应当清晰、完整，易于识别和检索，防止破损和丢失；</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（三）记录不得随意涂改或者销毁，更改记录应当签注姓名和日期，并使原有信息仍清晰可辨，必要时，应当说明更改的理由；</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（四）记录的保存期限应当至少相当于企业所规定的医疗器械的寿命期，但从放行产品的日期起不少于2年，或者符合相关法规要求，并可追溯。</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第六章　设计开发</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第二十八条　企业应当建立设计控制程序并形成文件，对医疗器械的设计和开发过程实施策划和控制。</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第二十九条　在进行设计和开发策划时，应当确定设计和开发的阶段及对各阶段的评审、验证、确认和设计转换等活动，应当识别和确定各个部门设计和开发的活动和接口，明确职责和分工。</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第三十条　设计和开发输入应当包括预期用途规定的功能、性能和安全要求、法规要求、风险管理控制措施和其他要求。对设计和开发输入应当进行评审并得到批准，保持相关记录。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第三十一条　设计和开发输出应当满足输入要求，包括采购、生产和服务所需的相关信息、产品技术要求等。设计和开发输出应当得到批准，保持相关记录。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第三十二条　企业应当在设计和开发过程中开展设计和开发到生产的转换活动，以使设计和开发的输出在成为最终产品规范前得以验证，确保设计和开发输出适用于生产。</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第三十三条　企业应当在设计和开发的适宜阶段安排评审，保持评审结果及任何必要措施的记录。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第三十四条　企业应当对设计和开发进行验证，以确保设计和开发输出满足输入的要求，并保持验证结果和任何必要措施的记录。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第三十五条　企业应当对设计和开发进行确认，以确保产品满足规定的使用要求或者预期用途的要求，并保持确认结果和任何必要措施的记录。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第三十六条　确认可采用临床评价或者性能评价。进行临床试验时应当符合医疗器械临床试验法规的要求。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第三十七条　企业应当对设计和开发的更改进行识别并保持记录。必要时，应当对设计和开发更改进行评审、验证和确认，并在实施前得到批准。</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当选用的材料、零件或者产品功能的改变可能影响到医疗器械产品安全性、有效性时，应当评价因改动可能带来的风险，必要时采取措施将风险降低到可接受水平，同时应当符合相关法规的要求。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第三十八条　企业应当在包括设计和开发在内的产品实现全过程中，制定风险管理的要求并形成文件，保持相关记录。</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第七章　采　购</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第三十九条　企业应当建立采购控制程序，确保采购物品符合规定的要求，且不低于法律法规的相关规定和国家强制性标准的相关要求。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第四十条　企业应当根据采购物品对产品的影响，确定对采购物品实行控制的方式和程度。</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第四十一条　企业应当建立供应商审核制度，并应当对供应商进行审核评价。必要时，应当进行现场审核。</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第四十二条　企业应当与主要原材料供应商签订质量协议，明确双方所承担的质量责任。</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第四十三条　采购时应当明确采购信息，清晰表述采购要求，包括采购物品类别、验收准则、规格型号、规程、图样等内容。应当建立采购记录，包括采购合同、原材料清单、供应商资质证明文件、质量标准、检验报告及验收标准等。采购记录应当满足可追溯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第四十四条　企业应当对采购物品进行检验或者验证，确保满足生产要求。</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第八章　生产管理</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第四十五条　企业应当按照建立的质量管理体系进行生产，以保证产品符合强制性标准和经注册或者备案的产品技术要求。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第四十六条　企业应当编制生产工艺规程、作业指导书等，明确关键工序和特殊过程。</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第四十七条　在生产过程中需要对原材料、中间品等进行清洁处理的，应当明确清洁方法和要求，并对清洁效果进行验证。</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第四十八条　企业应当根据生产工艺特点对环境进行监测，并保存记录。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第四十九条　企业应当对生产的特殊过程进行确认，并保存记录，包括确认方案、确认方法、操作人员、结果评价、再确认等内容。</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生产过程中采用的计算机软件对产品质量有影响的，应当进行验证或者确认。</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第五十条　每批（台）产品均应当有生产记录，并满足可追溯的要求。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生产记录包括产品名称、规格型号、原材料批号、生产批号或者产品编号、生产日期、数量、主要设备、工艺参数、操作人员等内容。</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第五十一条　企业应当建立产品标识控制程序，用适宜的方法对产品进行标识，以便识别，防止混用和错用。</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第五十二条　企业应当在生产过程中标识产品的检验状态，防止不合格中间产品流向下道工序。</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第五十三条　企业应当建立产品的可追溯性程序，规定产品追溯范围、程度、标识和必要的记录。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第五十四条　产品的说明书、标签应当符合相关法律法规及标准要求。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第五十五条　企业应当建立产品防护程序，规定产品及其组成部分的防护要求，包括污染防护、静电防护、粉尘防护、腐蚀防护、运输防护等要求。防护应当包括标识、搬运、包装、贮存和保护等。</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第九章　质量控制</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第五十六条　企业应当建立质量控制程序，规定产品检验部门、人员、操作等要求，并规定检验仪器和设备的使用、校准等要求，以及产品放行的程序。</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第五十七条　检验仪器和设备的管理使用应当符合以下要求：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（一）定期对检验仪器和设备进行校准或者检定，并予以标识；</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（二）规定检验仪器和设备在搬运、维护、贮存期间的防护要求，防止检验结果失准；</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（三）发现检验仪器和设备不符合要求时，应当对以往检验结果进行评价，并保存验证记录；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（四）对用于检验的计算机软件，应当确认。</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第五十八条　企业应当根据强制性标准以及经注册或者备案的产品技术要求制定产品的检验规程，并出具相应的检验报告或者证书。</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需要常规控制的进货检验、过程检验和成品检验项目原则上不得进行委托检验。对于检验条件和设备要求较高，确需委托检验的项目，可委托具有资质的机构进行检验，以证明产品符合强制性标准和经注册或者备案的产品技术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第五十九条　每批（台）产品均应当有检验记录，并满足可追溯的要求。检验记录应当包括进货检验、过程检验和成品检验的检验记录、检验报告或者证书等。</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第六十条　企业应当规定产品放行程序、条件和放行批准要求。放行的产品应当附有合格证明。</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第六十一条　企业应当根据产品和工艺特点制定留样管理规定，按规定进行留样，并保持留样观察记录。</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第十章　销售和售后服务</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第六十二条　企业应当建立产品销售记录，并满足可追溯的要求。销售记录至少包括医疗器械的名称、规格、型号、数量；生产批号、有效期、销售日期、购货单位名称、地址、联系方式等内容。</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第六十三条　直接销售自产产品或者选择医疗器械经营企业，应当符合医疗器械相关法规和规范要求。发现医疗器械经营企业存在违法违规经营行为时，应当及时向当地食品药品监督管理部门报告。</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第六十四条　企业应当具备与所生产产品相适应的售后服务能力，建立健全售后服务制度。应当规定售后服务的要求并建立售后服务记录，并满足可追溯的要求。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第六十五条　需要由企业安装的医疗器械，应当确定安装要求和安装验证的接收标准，建立安装和验收记录。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由使用单位或者其他企业进行安装、维修的，应当提供安装要求、标准和维修零部件、资料、密码等，并进行指导。</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第六十六条　企业应当建立顾客反馈处理程序，对顾客反馈信息进行跟踪分析。</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第十一章　不合格品控制</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第六十七条　企业应当建立不合格品控制程序，规定不合格品控制的部门和人员的职责与权限。</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第六十八条　企业应当对不合格品进行标识、记录、隔离、评审，根据评审结果，对不合格品采取相应的处置措施。</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第六十九条　在产品销售后发现产品不合格时，企业应当及时采取相应措施，如召回、销毁等。</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第七十条　不合格品可以返工的，企业应当编制返工控制文件。返工控制文件包括作业指导书、重新检验和重新验证等内容。不能返工的，应当建立相关处置制度。</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第十二章　不良事件监测、分析和改进</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第七十一条　企业应当指定相关部门负责接收、调查、评价和处理顾客投诉，并保持相关记录。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第七十二条　企业应当按照有关法规的要求建立医疗器械不良事件监测制度，开展不良事件监测和再评价工作，并保持相关记录。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第七十三条　企业应当建立数据分析程序，收集分析与产品质量、不良事件、顾客反馈和质量管理体系运行有关的数据，验证产品安全性和有效性，并保持相关记录。</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第七十四条　企业应当建立纠正措施程序，确定产生问题的原因，采取有效措施，防止相关问题再次发生。</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应当建立预防措施程序，确定潜在问题的原因，采取有效措施，防止问题发生。</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第七十五条　对于存在安全隐患的医疗器械，企业应当按照有关法规要求采取召回等措施，并按规定向有关部门报告。</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第七十六条　企业应当建立产品信息告知程序，及时将产品变动、使用等补充信息通知使用单位、相关企业或者消费者。</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第七十七条　企业应当建立质量管理体系内部审核程序，规定审核的准则、范围、频次、参加人员、方法、记录要求、纠正预防措施有效性的评定等内容，以确保质量管理体系符合本规范的要求。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第七十八条　企业应当定期开展管理评审，对质量管理体系进行评价和审核，以确保其持续的适宜性、充分性和有效性。</w:t>
      </w:r>
    </w:p>
    <w:p w:rsidR="00790ED0" w:rsidRPr="00242F1D" w:rsidRDefault="00790ED0" w:rsidP="00242F1D">
      <w:pPr>
        <w:spacing w:line="360" w:lineRule="auto"/>
        <w:jc w:val="center"/>
        <w:rPr>
          <w:rFonts w:ascii="宋体" w:eastAsia="宋体" w:hAnsi="宋体"/>
          <w:sz w:val="24"/>
          <w:szCs w:val="24"/>
        </w:rPr>
      </w:pPr>
      <w:r w:rsidRPr="00242F1D">
        <w:rPr>
          <w:rFonts w:ascii="宋体" w:eastAsia="宋体" w:hAnsi="宋体" w:hint="eastAsia"/>
          <w:sz w:val="24"/>
          <w:szCs w:val="24"/>
        </w:rPr>
        <w:t>第十三章　附　则</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lastRenderedPageBreak/>
        <w:t xml:space="preserve">　　第七十九条　医疗器械注册申请人或备案人在进行产品研制时，也应当遵守本规范的相关要求。</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第八十条　国家食品药品监督管理总局针对不同类别医疗器械生产的特殊要求，制定细化的具体规定。</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第八十一条　企业可根据所生产医疗器械的特点，确定不适用本规范的条款，并说明不适用的合理性。</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第八十二条　本规范下列用语的含义是：</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验证：通过提供客观证据对规定要求已得到满足的认定。</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确认：通过提供客观证据对特定的预期用途或者应用要求已得到满足的认定。</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关键工序：指对产品质量起决定性作用的工序。</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特殊过程：指通过检验和试验难以准确评定其质量的过程。</w:t>
      </w:r>
    </w:p>
    <w:p w:rsidR="00790ED0" w:rsidRPr="00242F1D"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第八十三条　本规范由国家食品药品监督管理总局负责解释。</w:t>
      </w:r>
    </w:p>
    <w:p w:rsidR="00FA217A" w:rsidRDefault="00790ED0" w:rsidP="00242F1D">
      <w:pPr>
        <w:spacing w:line="360" w:lineRule="auto"/>
        <w:rPr>
          <w:rFonts w:ascii="宋体" w:eastAsia="宋体" w:hAnsi="宋体"/>
          <w:sz w:val="24"/>
          <w:szCs w:val="24"/>
        </w:rPr>
      </w:pPr>
      <w:r w:rsidRPr="00242F1D">
        <w:rPr>
          <w:rFonts w:ascii="宋体" w:eastAsia="宋体" w:hAnsi="宋体" w:hint="eastAsia"/>
          <w:sz w:val="24"/>
          <w:szCs w:val="24"/>
        </w:rPr>
        <w:t xml:space="preserve">　　第八十四条　本规范自2015年3月1日起施行。原国家食品药品监督管理局于2009年12月16日发布的《医疗器械生产质量管理规范（试行）》（国食药监械〔2009〕833号）同时废止。</w:t>
      </w:r>
    </w:p>
    <w:p w:rsidR="00FA217A" w:rsidRDefault="00FA217A">
      <w:pPr>
        <w:rPr>
          <w:rFonts w:ascii="宋体" w:eastAsia="宋体" w:hAnsi="宋体"/>
          <w:sz w:val="24"/>
          <w:szCs w:val="24"/>
        </w:rPr>
      </w:pPr>
      <w:r>
        <w:rPr>
          <w:rFonts w:ascii="宋体" w:eastAsia="宋体" w:hAnsi="宋体"/>
          <w:sz w:val="24"/>
          <w:szCs w:val="24"/>
        </w:rPr>
        <w:br w:type="page"/>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lastRenderedPageBreak/>
        <w:t>Announcement of the C</w:t>
      </w:r>
      <w:r w:rsidRPr="003405AE">
        <w:rPr>
          <w:rFonts w:ascii="Minion" w:hAnsi="Minion"/>
          <w:sz w:val="24"/>
          <w:szCs w:val="24"/>
          <w:lang w:eastAsia="zh-CN"/>
        </w:rPr>
        <w:t>hina</w:t>
      </w:r>
      <w:r w:rsidRPr="003405AE">
        <w:rPr>
          <w:rFonts w:ascii="Minion" w:hAnsi="Minion"/>
          <w:sz w:val="24"/>
          <w:szCs w:val="24"/>
        </w:rPr>
        <w:t xml:space="preserve"> Food and Drug Administration on Issuing the Good Manufacturing Practice for Medical Devices (2014 No. 64)</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China Food and Drug Administration</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Announcement</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No. 64 (2014)</w:t>
      </w:r>
    </w:p>
    <w:p w:rsidR="00FA217A" w:rsidRPr="003405AE" w:rsidRDefault="00FA217A" w:rsidP="00FA217A">
      <w:pPr>
        <w:spacing w:line="360" w:lineRule="auto"/>
        <w:jc w:val="center"/>
        <w:rPr>
          <w:rFonts w:ascii="Minion" w:hAnsi="Minion"/>
          <w:sz w:val="24"/>
          <w:szCs w:val="24"/>
        </w:rPr>
      </w:pP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Announcement On The Release Of Good Manufacturing Practice for Medical Devices</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In order to strengthen the supervision and management of medical device production and standardize the quality management of medical device production, in accordance with the "Regulations on the Supervision and Administration of Medical Devices" (Order No. 650 of the State Council), "Measures for the Supervision and Administration of Medical Device Production" (Order No. 7 of the China Food and Drug Administration) )), China Food and Drug Administration organized the revision of the " Good Manufacturing Practice for Medical Devices", which is now issued.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Special announcement.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Attachment: Good Manufacturing Practice for Medical Devices</w:t>
      </w:r>
    </w:p>
    <w:p w:rsidR="00FA217A" w:rsidRPr="003405AE" w:rsidRDefault="00FA217A" w:rsidP="00FA217A">
      <w:pPr>
        <w:spacing w:line="360" w:lineRule="auto"/>
        <w:jc w:val="right"/>
        <w:rPr>
          <w:rFonts w:ascii="Minion" w:hAnsi="Minion"/>
          <w:sz w:val="24"/>
          <w:szCs w:val="24"/>
        </w:rPr>
      </w:pPr>
      <w:r w:rsidRPr="003405AE">
        <w:rPr>
          <w:rFonts w:ascii="Minion" w:hAnsi="Minion"/>
          <w:sz w:val="24"/>
          <w:szCs w:val="24"/>
        </w:rPr>
        <w:t>China Food and Drug Administration</w:t>
      </w:r>
    </w:p>
    <w:p w:rsidR="00FA217A" w:rsidRPr="003405AE" w:rsidRDefault="00FA217A" w:rsidP="00FA217A">
      <w:pPr>
        <w:spacing w:line="360" w:lineRule="auto"/>
        <w:jc w:val="right"/>
        <w:rPr>
          <w:rFonts w:ascii="Minion" w:hAnsi="Minion"/>
          <w:sz w:val="24"/>
          <w:szCs w:val="24"/>
        </w:rPr>
      </w:pPr>
      <w:r w:rsidRPr="003405AE">
        <w:rPr>
          <w:rFonts w:ascii="Minion" w:hAnsi="Minion"/>
          <w:sz w:val="24"/>
          <w:szCs w:val="24"/>
        </w:rPr>
        <w:t>December 29, 2014</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Good Manufacturing Practice for Medical Devices</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I General Provisions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Article 1 In order to ensure the safety and effectiveness of medical devices and standardize the quality management of medical device manufacturing, in accordance with the Regulations on the Supervision and Administration of Medical Devices (Order of the State </w:t>
      </w:r>
      <w:r w:rsidRPr="003405AE">
        <w:rPr>
          <w:rFonts w:ascii="Minion" w:hAnsi="Minion"/>
          <w:sz w:val="24"/>
          <w:szCs w:val="24"/>
        </w:rPr>
        <w:lastRenderedPageBreak/>
        <w:t>Council No. 650) and Administrative Measures for the Supervision of Medical Device Manufacturing (Order of CFDA No. 7), this GMP has been developed.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Article 2 Medical device manufacturing enterprises (hereinafter referred to as manufacture) shall comply with the requirements of this GMP in the medical device design and development, manufacturing, sales and post-sales services process. </w:t>
      </w:r>
      <w:r w:rsidRPr="003405AE">
        <w:rPr>
          <w:rFonts w:ascii="Minion" w:hAnsi="Minion"/>
          <w:sz w:val="24"/>
          <w:szCs w:val="24"/>
        </w:rPr>
        <w:t xml:space="preserve">　　　</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 Manufacturer shall, in accordance with the requirements of this GMP and based on the characteristics of products, establish and improve the quality management system in line with the produced medical devices and ensure its effective operation.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 Manufacturer shall implement risk management throughout the whole process of medical device design and development, manufacturing, sales and post-sales services and take measures which shall be in line with the risk of products.</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II Organizations and Personnel</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Article 5 The manufacturer shall establish a management structure which could be compatible with the medical device manufacturing and have an organization chart. The responsibilities and authorities of each department and the quality management functions should be clearly specified. Heads of production management and quality management shall not hold concurrent post mutually.</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6 Head of the manufacturer shall be principally liable for medical device product quality,  and  shall perform the following duties: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 Organize the development of quality policy and quality objectives;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ii. Provide the necessary human resource, infrastructure and work environment for effective operation of the quality management system</w:t>
      </w:r>
      <w:r w:rsidRPr="003405AE">
        <w:rPr>
          <w:rFonts w:ascii="Minion" w:hAnsi="Minion"/>
          <w:sz w:val="24"/>
          <w:szCs w:val="24"/>
        </w:rPr>
        <w:t>；</w:t>
      </w:r>
      <w:r w:rsidRPr="003405AE">
        <w:rPr>
          <w:rFonts w:ascii="Minion" w:hAnsi="Minion"/>
          <w:sz w:val="24"/>
          <w:szCs w:val="24"/>
        </w:rPr>
        <w:t xml:space="preserve"> </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iii. Organize the implementation of management review, to assess quality management system on a regular basis, and the continuous improvement;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iv. Ensure the manufacturer has organized production in accordance with the requirements of laws, regulations and notifications.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 Head of the manufacturer shall designate a management representative. The management representative shall be responsible for establishing, implementing and maintaining quality management systems, reporting the operation and improvement requirements of the quality management system, improving employee awareness of regulations and notifications compliance, and customer requirements.</w:t>
      </w:r>
      <w:r w:rsidRPr="003405AE">
        <w:rPr>
          <w:rFonts w:ascii="Minion" w:hAnsi="Minion"/>
          <w:sz w:val="24"/>
          <w:szCs w:val="24"/>
        </w:rPr>
        <w:t xml:space="preserve">　　</w:t>
      </w:r>
      <w:r w:rsidRPr="003405AE">
        <w:rPr>
          <w:rFonts w:ascii="Minion" w:hAnsi="Minion"/>
          <w:sz w:val="24"/>
          <w:szCs w:val="24"/>
        </w:rPr>
        <w:t xml:space="preserve">  </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8 Heads of the technical, production and quality management departments shall be familiar with the laws and regulations of medical devices, with practical experience in quality management, and shall be capable of making correct judgment and dealing with real issues in production management and quality management.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9 The manufacturer shall have an adequate technical, managerial and operating personnel which be compatible with the product manufactured. Appropriate quality control unit or dedicated analyzer shall be equipped with..</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10  Personnel engaged in the work which will impact product quality shall receive necessary training which is compatible with its position, and shall have relevant theoretical knowledge and practical operation skills.</w:t>
      </w:r>
      <w:r w:rsidRPr="003405AE">
        <w:rPr>
          <w:rFonts w:ascii="Minion" w:hAnsi="Minion"/>
          <w:sz w:val="24"/>
          <w:szCs w:val="24"/>
        </w:rPr>
        <w:t xml:space="preserve">　　</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11  The manufacturer shall develop employee’s health requirements and establish health profiles for the personnel engaged in the work which will impact  product quality.</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III Premises and Facilities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12 Premises and facilities shall meet the production requirements. The site layout of production, administration and ancillary areas shall be well designed to avoid interference from each other.</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Article 13 Premises and facilities shall be designed, laid out and used appropriately in accordance with the properties of product manufactured, manufacturing process and </w:t>
      </w:r>
      <w:r w:rsidRPr="003405AE">
        <w:rPr>
          <w:rFonts w:ascii="Minion" w:hAnsi="Minion"/>
          <w:sz w:val="24"/>
          <w:szCs w:val="24"/>
        </w:rPr>
        <w:lastRenderedPageBreak/>
        <w:t>corresponding grade of clean area. The production environment shall be neat, meet the requirement of product quality and requirements of the relevant technical specifications. For products with special requirements, ensure the external environment of premises shall not impact the product quality. It shall be verified  if necessary.</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Article 14 Premises shall ensure quality of product being produced or stored and relevant equipment performance will not be directly or indirectly impacted. Lighting, temperature, humidity and ventilation should be appropriate provided. </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15  Premises and facilities should be designed and equipped in accordance with product specification to afford maximum protection against the entry of insects or other animals. Maintenance and repair of premises and facilities shall not impact product quality.</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16  There shall be adequate space for production area which shall be compatible with the production scale and products.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17  The storage area shall meet the storage conditions and requirements of raw materials, packaging materials, intermediates and finished products. Various categories of materials and products in storage areas should be stored orderly and partitioned based on status such as quarantine, released, rejected, returned or recalled in order for inspection and monitoring.</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18  The quality control facilities shall be compatible with the production scale, products, and test requirements.</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IV</w:t>
      </w:r>
      <w:r w:rsidRPr="003405AE">
        <w:rPr>
          <w:rFonts w:ascii="Minion" w:hAnsi="Minion"/>
          <w:sz w:val="24"/>
          <w:szCs w:val="24"/>
        </w:rPr>
        <w:t xml:space="preserve">　</w:t>
      </w:r>
      <w:r w:rsidRPr="003405AE">
        <w:rPr>
          <w:rFonts w:ascii="Minion" w:hAnsi="Minion"/>
          <w:sz w:val="24"/>
          <w:szCs w:val="24"/>
        </w:rPr>
        <w:t>Equipment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19  Production equipment and process equipment shall commensurate with the products manufactured and production scale to ensure the effective operations.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20 The design, selection, installation, adaption and maintenance of equipment should be suitable for its intended use, and facilitate operation, cleaning, maintenance. Production equipment should be clearly labeled to prevent unintended use.</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 xml:space="preserve"> Procedures for the use, cleaning, maintenance and repair of the equipment should be established, and their operation records should be retained.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21  There shall be appropriate test instruments and equipments which could meet the analysis requirements. Clear operation procedures shall be available for major test equipments.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22  Operation records of test instruments and equipments shall be established, which shall contain the usage, calibration, maintenance and repair etc.</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23  There shall be appropriate measuring instruments. The range and precision of the measuring instruments shall meet the requirements. Calibration valid date of the measuring instruments shall be indicated, and corresponding records shall be kept.</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V Documentation Management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24 Quality management system documents, including quality policy and quality objectives, quality manual, procedures, technical documents and records, and other documents required by regulations shall be established.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 The quality management system shall be defined in the quality manual.</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 Procedures shall be developed based on various operating procedures needed to be established in the production and quality management process, and shall contain various procedures covered by this provision.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 Technical documents shall include the product technical requirements and related standards, production process procedure, operating instructions, inspection and testing procedures, installation and service procedures, and other related documents.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25  Document control procedures shall be established to systematically design, draft, review, approve and distribute the quality management system documents including following requirements: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i.  Operation procedures should be followed for drafting, revision, review, approval, replacement or withdrawal, reproduction, storage and destruction of documents; and relevant records for distribution, withdrawal, reproduction and destruction of documents should be in place;</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ii. The updating or revising of documents shall be reviewed and approved in accordance with relevant procedures. Change and revision of the documents shall be identified;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iii. Distributed documents in use shall be suitable, documents withdrawal or obsolete  shall be labelled to prevent misusing;</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26  Retention period of obsolete  technical documents and other necessary quality management system documents shall be specified to meet the needs of product maintenance and traceability of product quality.</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27</w:t>
      </w:r>
      <w:r w:rsidRPr="003405AE">
        <w:rPr>
          <w:rFonts w:ascii="Minion" w:hAnsi="Minion"/>
          <w:sz w:val="24"/>
          <w:szCs w:val="24"/>
        </w:rPr>
        <w:t xml:space="preserve">　</w:t>
      </w:r>
      <w:r w:rsidRPr="003405AE">
        <w:rPr>
          <w:rFonts w:ascii="Minion" w:hAnsi="Minion"/>
          <w:sz w:val="24"/>
          <w:szCs w:val="24"/>
        </w:rPr>
        <w:t xml:space="preserve"> Record control procedures shall be established which shall contain the identification, storage, retrieval, retention time and disposition requirements etc. of the records., which shall meet the following requirements: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 Records shall be made in such a way that activities concerning the manufacture and quality control of products are traceable;</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ii.  Records shall be clear and complete, readily identifiable and retrievable, and shall be protected against damage and loss;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iii. Records shall not be altered or destroyed, names and dates shall be endorsed when correct records, and the original message shall still be clearly visible, if necessary, the reason of change shall be indicated;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iv. Retention period of records shall at least be equivalent to the life cycle of medical devices defined by the manufacturer, and shall not be less than 2 years after the release date of the product, or in accordance with the relevant regulatory requirements, and shall be traceable.</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lastRenderedPageBreak/>
        <w:t>Chapter VI Design and Development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28  Design control procedures shall be established and documented. The manufacturer shall plan and control the design and development of medical devices.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29 When design and development plan being done, all stages of design and development shall be defined. The review, verification, validation and design transfer activities of each stage shall be defined. Activities and interfaces of the design and development of/between various departments shall be identified and defined. The roles and responsibility shall be clearly defined.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30  Design and development inputs shall contain functionality, performance and safety requirements defined in the intended use, regulatory requirements, risk management controls and other requirements. Inputs of design and development shall be reviewed and approved. Related records shall be maintained.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31  Outputs of design and development shall meet the input requirements, including relevant information of procurement, production and service, product specifications etc. Design and development outputs shall be approved, related records shall be kept.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32  Transfer activities from design and development to production shall be carried out in the design and development process to enable the qualification of design and development outputs before final product specifications development, to ensure the outputs of design and development are fit for production.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33  Review shall be scheduled at appropriate stages of the design and development.  Records of review and any necessary measures shall be kept.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34  Design and development shall be qualified to ensure that the design and development outputs could meet the input requirements. Records of the qualification results and any necessary measures need to be taken shall be kept.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Article 35  Design and development shall be qualified to ensure the products meet the requirements of specified use or intended use. Records of the qualification results and any necessary measures shall be kept.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36  Validation could adopt that clinical evaluation or performance evaluation. Clinical trials shall meet the regulatory requirements for clinical trials of medical devices.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37 Changes of design and development shall be identified and records shall be retained. If necessary, changes of the design and development shall be reviewed, verified and validated. The changes shall be approved before implementation.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 If changes in the selected materials and components, or change of product functions may impact safety and effectiveness of medical devices, the risks introduced by such changes shall be evaluated, and if necessary, measures shall be taken to reduce the risk to an acceptable level, meanwhile, relevant regulatory requirements shall be in compliance with.</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38</w:t>
      </w:r>
      <w:r w:rsidRPr="003405AE">
        <w:rPr>
          <w:rFonts w:ascii="Minion" w:hAnsi="Minion"/>
          <w:sz w:val="24"/>
          <w:szCs w:val="24"/>
        </w:rPr>
        <w:t xml:space="preserve">　</w:t>
      </w:r>
      <w:r w:rsidRPr="003405AE">
        <w:rPr>
          <w:rFonts w:ascii="Minion" w:hAnsi="Minion"/>
          <w:sz w:val="24"/>
          <w:szCs w:val="24"/>
        </w:rPr>
        <w:t>Risk management requirements shall be developed and documented in the process of product realization which includes design and development, and relevant records shall be retained.</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VII Procurement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39 Procurement control procedures shall be established to ensure that any goods purchased shall comply with specified requirements, and shall not be lower than relevant provisions, regulations and laws, or relevant standards mandatory be in compliance with.</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40  The control manner and extent of goods purchased shall be in accordance with the impact of the goods purchase on products.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41  Supplier qualification system shall be established in order to qualify and evaluate the suppliers. If necessary, on-site audit shall be conducted.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42  Quality agreements shall be signed with the suppliers of main raw materials to identify the quality responsibilities of both parties.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Article 43  When purchasing, the purchasing information must be clearly defined. The procurement requirements must be described in detail, including categories of goods purchased, acceptance criteria, specifications, procedures, drawings etc. Procurement records shall be established, including procurement contracts, raw materials list, suppliers qualification documents, quality standards, inspection reports and acceptance standards, etc. Procurement records must meet the traceability requirements.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44  Goods purchased shall be inspected or qualified to ensure the production requirements are met.</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VIII Production Management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45  Production shall be carried out in accordance with the quality management system established to ensure product shall be in compliance with mandatory standards and the product technical requirements registered or filed.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46 Production process procedures and working instructions shall be drafted to identify critical processes and special process.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47 If the raw materials or bulks need to be cleaned during production, the cleaning methods and requirements shall be specified, and the cleaning effect shall be validated.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48  The environment shall be monitored according to the production process. Records shall be retained.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49 Critical processes of the production shall be validated, and related records shall be retained, including the validation plan, validation method, operators, result evaluation, and the revalidation, etc.</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 The computer software used in the production shall be validation or qualified if it will impact the product quality.</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Article 50 There shall be production record for each batch (set) product. Production record shall meet the traceability requirements.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Production records shall include: product name, specifications, batch number of raw material, batch number of production or number of product, production date, quantities,  main equipment, process parameters and operators, etc.</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51  Product labelling procedures shall be established. Product shall be labelled by proper methods to facilitate identification and prevent mixed use and misuse.</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52  Products shall be labelled in the production process to prevent rejected project transferred to the next production step.</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53  The procedure of product traceability shall be established. The scope and extent of product traceability, labelling and required records shall be defined.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54  Product instruction and labels shall be in conformity with the relevant laws, regulations and standards.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55  Product protection procedures shall be established. The protection requirements of the product and its components, including contamination prevention, ESD protection, dust protection, corrosion protection, transport protection and other requirements shall be defined. Protection shall include labelling, handling, packaging, storage and conservation.</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IX Quality Control</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56  Quality control procedures shall be established which define the product test department, personnel, operations, and other requirements. Using and calibration requirements of test instruments and equipment shall be define. Product release procedures shall be established.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57 The management and use of inspection instruments and equipment shall meet the following requirements: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i. Calibration or verification for test instruments and equipment shall be done regularly, and labelled;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ii.  Protection requirements for test instruments and equipment during handling, maintenance and storage shall be defined to prevent inaccurate inspection results;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iii.  When non-conformity of test instruments and equipments being found, previous test results shall be evaluated. Verification records shall be retained;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iv.  Computer software used for quality control shall be validated.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58 Analysis procedures for product shall be developed according to the mandatory standards and product technical requirements described in dossier of registration or endorsement. The appropriate test reports or certificates shall be issued.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 In principle, it is forbidden for contract analysis regarding incoming inspections, in process inspection and finished product analysis which required routine controls. For special test items with higher requirements on the test conditions and test equipment which real need contract analysis, a qualified test organization could do the analysis based on the contract given by manufacturer to prove the products are in compliance with the mandatory standards and the technical requirements contained in dossier of registration and endorsement.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59  Batch test record shall be available for each batch (set) product and shall meet the traceability requirements. Test records shall include incoming inspection records, in process control record, and analysis record, analysis reports or certificates of analysis for finished product.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60  Product release procedures, prerequisite and approval requirements of product release shall be provided. The certificate of analysis shall accompany with the released product.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Article 61  Sample retention management procedures shall be established based on specification of products and process. Samples shall be retained according to the procedures. Records of sample retention and inspection shall be retained.</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X Sales and Post-sales Service</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62  Sales records for product shall be established. Traceability requirements shall be met. Sales records shall at least contain: name of medical device, specifications, types, quantity, batch number, valid date, date of sale. Name, address and contact information of the client shall be also recorded in sales records.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63  The manufacturer selling product manufactured or medical device supply company select shall be in compliance with relevant medical devices regulations and specifications. When illegal business of the medical device supply company found by manufacturer, manufacturer shall immediate report to the local food and drug administration.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64  Manufacturer shall be capable to supply post-sale service for the product manufactured. Post-sale service system shall be established. Post-sale service requirements and records shall be established and shall meet the traceability requirements.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65 For medical devices need to be installed by the manufacturer, the installation requirements and acceptance criteria of installation shall be defined. The installation and validation records shall be established.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 xml:space="preserve"> If medical devices are installed and maintained by user or other parties, manufacturer shall provide installation requirements, standards and components for maintenance, information, passwords, and guidance etc.</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66 Customer complaint handling procedures shall be established to track and analyze customer feedback.</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XI Control of Nonconforming Products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Article 67  Nonconforming product control procedures shall be established to define the responsible and their roles and responsibilities.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68  Nonconforming products shall be labelled, recorded, isolated and reviewed. Appropriate handling measures shall be taken based on the review results.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69  If nonconforming products are found after selling, appropriate measures, such as recall and destruction shall be taken in a timely manner. Check on-site to verify the handling measures for nonconforming products found after selling to verify whether recall and destruction measures have been taken.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70 For nonconforming product could be reprocessed, the reprocessing procedure shall be established. Reprocess control documents shall contain the working instructions, re-inspection and requalification. Relevant handling procedures regarding the nonconforming products could not be reprocessed shall be established.</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XII Adverse Event Monitoring, Analysis and Improvement</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71  Designated department shall be responsible for receiving, investigation, evaluation and handling customer complaints. Related records shall be retained.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72  The monitoring system for adverse reaction of medical device shall be established in accordance with the relevant regulatory requirements. Monitoring adverse reaction of medical device g and reevaluation shall be done. Relevant records shall be retained.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73  Data analysis procedures shall be established to collect and analyze data related to product quality, adverse reaction events, customer feedback and quality management system operations, qualification of product safety and effectiveness. Relevant records shall be retained.</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74</w:t>
      </w:r>
      <w:r w:rsidRPr="003405AE">
        <w:rPr>
          <w:rFonts w:ascii="Minion" w:hAnsi="Minion"/>
          <w:sz w:val="24"/>
          <w:szCs w:val="24"/>
        </w:rPr>
        <w:t xml:space="preserve">　</w:t>
      </w:r>
      <w:r w:rsidRPr="003405AE">
        <w:rPr>
          <w:rFonts w:ascii="Minion" w:hAnsi="Minion"/>
          <w:sz w:val="24"/>
          <w:szCs w:val="24"/>
        </w:rPr>
        <w:t>Procedure of corrective action shall be established to identify the cause of the problem. Effective measures shall be taken to prevent the problem happening again.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Procedure of preventive action shall be established to identify the cause of potential problems. Effective measures shall be taken to prevent such problems happening again.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75  For medical devices with potential risks, recall shall be taken in accordance with relevant regulatory requirements. Manufacturer shall report to authority based one the requirements.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76  Product information informing procedures shall be established to timely inform the user, related organizations and customers about product change, using and other supplementary information.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77  Procedure of internal audit for quality management system shall be established. The audit principle, scope, frequency, participants, methods, recording requirements, evaluation of the effectiveness of corrective and preventive actions etc. shall be defined to ensure that quality management system could be in compliance with the requirements of this provision.</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78  Management reviews shall be carried out on a regular basis to evaluate and audit the quality management system to ensure the continuous suitability, adequacy and effectiveness of the quality management system.</w:t>
      </w:r>
    </w:p>
    <w:p w:rsidR="00FA217A" w:rsidRPr="003405AE" w:rsidRDefault="00FA217A" w:rsidP="00FA217A">
      <w:pPr>
        <w:spacing w:line="360" w:lineRule="auto"/>
        <w:jc w:val="center"/>
        <w:rPr>
          <w:rFonts w:ascii="Minion" w:hAnsi="Minion"/>
          <w:sz w:val="24"/>
          <w:szCs w:val="24"/>
        </w:rPr>
      </w:pPr>
      <w:r w:rsidRPr="003405AE">
        <w:rPr>
          <w:rFonts w:ascii="Minion" w:hAnsi="Minion"/>
          <w:sz w:val="24"/>
          <w:szCs w:val="24"/>
        </w:rPr>
        <w:t>Chapter XIII Supplementary Provisions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79 In the product development process, the medical device registration applicant or the filers shall also comply with relevant requirements of this GMP.</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80 China Food and Drug Administration will make specific regulations based on the special manufacturing requirements for different types of medical devices.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81 Based on characteristics of the medical devices under production, enterprises are permitted to decide which terms and conditions in this document are non-applicable, and state the rationales for the non-applicability</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82 The terms used in this GMP are defined as follows:</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lastRenderedPageBreak/>
        <w:t xml:space="preserve">　　</w:t>
      </w:r>
      <w:r w:rsidRPr="003405AE">
        <w:rPr>
          <w:rFonts w:ascii="Minion" w:hAnsi="Minion"/>
          <w:sz w:val="24"/>
          <w:szCs w:val="24"/>
        </w:rPr>
        <w:t>Validation: to prove the stipulated requirements have been met by providing objective evidence.</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Verification: to prove the specific intended use or application requirements have been met by providing objective evidence.</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Key process: a process that is critical to the product quality.</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Special process: a process in which it is difficult to accurately evaluate the product quality through inspection and testing.</w:t>
      </w:r>
    </w:p>
    <w:p w:rsidR="00FA217A" w:rsidRPr="003405AE" w:rsidRDefault="00FA217A" w:rsidP="00FA217A">
      <w:pPr>
        <w:spacing w:line="360" w:lineRule="auto"/>
        <w:rPr>
          <w:rFonts w:ascii="Minion" w:hAnsi="Minion"/>
          <w:sz w:val="24"/>
          <w:szCs w:val="24"/>
        </w:rPr>
      </w:pPr>
      <w:r w:rsidRPr="003405AE">
        <w:rPr>
          <w:rFonts w:ascii="Minion" w:hAnsi="Minion"/>
          <w:sz w:val="24"/>
          <w:szCs w:val="24"/>
          <w:lang w:eastAsia="zh-CN"/>
        </w:rPr>
        <w:t xml:space="preserve">　　</w:t>
      </w:r>
      <w:r w:rsidRPr="003405AE">
        <w:rPr>
          <w:rFonts w:ascii="Minion" w:hAnsi="Minion"/>
          <w:sz w:val="24"/>
          <w:szCs w:val="24"/>
        </w:rPr>
        <w:t>Article 83 China Food and Drug Administration shall be responsible for the interpretation of this GMP.</w:t>
      </w:r>
    </w:p>
    <w:p w:rsidR="00FA217A" w:rsidRPr="003405AE" w:rsidRDefault="00FA217A" w:rsidP="00FA217A">
      <w:pPr>
        <w:spacing w:line="360" w:lineRule="auto"/>
        <w:rPr>
          <w:rFonts w:ascii="Minion" w:hAnsi="Minion"/>
          <w:sz w:val="24"/>
          <w:szCs w:val="24"/>
        </w:rPr>
      </w:pPr>
      <w:r w:rsidRPr="003405AE">
        <w:rPr>
          <w:rFonts w:ascii="Minion" w:hAnsi="Minion"/>
          <w:sz w:val="24"/>
          <w:szCs w:val="24"/>
        </w:rPr>
        <w:t xml:space="preserve">　　</w:t>
      </w:r>
      <w:r w:rsidRPr="003405AE">
        <w:rPr>
          <w:rFonts w:ascii="Minion" w:hAnsi="Minion"/>
          <w:sz w:val="24"/>
          <w:szCs w:val="24"/>
        </w:rPr>
        <w:t>Article 84 This regulation shall be effective from 01 March 2015. The original Good Manufacturing Practice for Medical Devices (Pilot) (CFDA Medical Devices [2009] No. 833) issued by the former SFDA on 16 December 2009 will be obsolete.</w:t>
      </w:r>
    </w:p>
    <w:p w:rsidR="004F1794" w:rsidRPr="00242F1D" w:rsidRDefault="004F1794" w:rsidP="00242F1D">
      <w:pPr>
        <w:spacing w:line="360" w:lineRule="auto"/>
        <w:rPr>
          <w:rFonts w:ascii="宋体" w:eastAsia="宋体" w:hAnsi="宋体"/>
          <w:sz w:val="24"/>
          <w:szCs w:val="24"/>
        </w:rPr>
      </w:pPr>
      <w:bookmarkStart w:id="0" w:name="_GoBack"/>
      <w:bookmarkEnd w:id="0"/>
    </w:p>
    <w:sectPr w:rsidR="004F1794" w:rsidRPr="00242F1D" w:rsidSect="0026619B">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3A8A" w:rsidRDefault="00803A8A" w:rsidP="00A82126">
      <w:pPr>
        <w:spacing w:after="0" w:line="240" w:lineRule="auto"/>
      </w:pPr>
      <w:r>
        <w:separator/>
      </w:r>
    </w:p>
  </w:endnote>
  <w:endnote w:type="continuationSeparator" w:id="0">
    <w:p w:rsidR="00803A8A" w:rsidRDefault="00803A8A" w:rsidP="00A82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nion">
    <w:panose1 w:val="02040503050201020203"/>
    <w:charset w:val="00"/>
    <w:family w:val="roman"/>
    <w:pitch w:val="variable"/>
    <w:sig w:usb0="E00002AF" w:usb1="5000E07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4606450"/>
      <w:docPartObj>
        <w:docPartGallery w:val="Page Numbers (Bottom of Page)"/>
        <w:docPartUnique/>
      </w:docPartObj>
    </w:sdtPr>
    <w:sdtEndPr>
      <w:rPr>
        <w:rFonts w:ascii="Arial" w:hAnsi="Arial" w:cs="Arial"/>
        <w:noProof/>
        <w:sz w:val="15"/>
      </w:rPr>
    </w:sdtEndPr>
    <w:sdtContent>
      <w:p w:rsidR="00A82126" w:rsidRPr="00A82126" w:rsidRDefault="00AA0620">
        <w:pPr>
          <w:pStyle w:val="a6"/>
          <w:jc w:val="center"/>
          <w:rPr>
            <w:rFonts w:ascii="Arial" w:hAnsi="Arial" w:cs="Arial"/>
            <w:sz w:val="15"/>
          </w:rPr>
        </w:pPr>
        <w:r w:rsidRPr="00A82126">
          <w:rPr>
            <w:rFonts w:ascii="Arial" w:hAnsi="Arial" w:cs="Arial"/>
            <w:sz w:val="15"/>
          </w:rPr>
          <w:fldChar w:fldCharType="begin"/>
        </w:r>
        <w:r w:rsidR="00A82126" w:rsidRPr="00A82126">
          <w:rPr>
            <w:rFonts w:ascii="Arial" w:hAnsi="Arial" w:cs="Arial"/>
            <w:sz w:val="15"/>
          </w:rPr>
          <w:instrText xml:space="preserve"> PAGE   \* MERGEFORMAT </w:instrText>
        </w:r>
        <w:r w:rsidRPr="00A82126">
          <w:rPr>
            <w:rFonts w:ascii="Arial" w:hAnsi="Arial" w:cs="Arial"/>
            <w:sz w:val="15"/>
          </w:rPr>
          <w:fldChar w:fldCharType="separate"/>
        </w:r>
        <w:r w:rsidR="00FA217A">
          <w:rPr>
            <w:rFonts w:ascii="Arial" w:hAnsi="Arial" w:cs="Arial"/>
            <w:noProof/>
            <w:sz w:val="15"/>
          </w:rPr>
          <w:t>26</w:t>
        </w:r>
        <w:r w:rsidRPr="00A82126">
          <w:rPr>
            <w:rFonts w:ascii="Arial" w:hAnsi="Arial" w:cs="Arial"/>
            <w:noProof/>
            <w:sz w:val="15"/>
          </w:rPr>
          <w:fldChar w:fldCharType="end"/>
        </w:r>
      </w:p>
    </w:sdtContent>
  </w:sdt>
  <w:p w:rsidR="00A82126" w:rsidRDefault="00A8212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3A8A" w:rsidRDefault="00803A8A" w:rsidP="00A82126">
      <w:pPr>
        <w:spacing w:after="0" w:line="240" w:lineRule="auto"/>
      </w:pPr>
      <w:r>
        <w:separator/>
      </w:r>
    </w:p>
  </w:footnote>
  <w:footnote w:type="continuationSeparator" w:id="0">
    <w:p w:rsidR="00803A8A" w:rsidRDefault="00803A8A" w:rsidP="00A821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E71"/>
    <w:rsid w:val="00003C8B"/>
    <w:rsid w:val="00004955"/>
    <w:rsid w:val="0001734B"/>
    <w:rsid w:val="00017E69"/>
    <w:rsid w:val="00023B0C"/>
    <w:rsid w:val="00023FE2"/>
    <w:rsid w:val="00031087"/>
    <w:rsid w:val="00037C4D"/>
    <w:rsid w:val="00042399"/>
    <w:rsid w:val="000430B6"/>
    <w:rsid w:val="00046010"/>
    <w:rsid w:val="000479C3"/>
    <w:rsid w:val="00053A90"/>
    <w:rsid w:val="00053AB0"/>
    <w:rsid w:val="000551B1"/>
    <w:rsid w:val="00056079"/>
    <w:rsid w:val="00061DD5"/>
    <w:rsid w:val="00063B6C"/>
    <w:rsid w:val="00063D14"/>
    <w:rsid w:val="0006451E"/>
    <w:rsid w:val="00065D51"/>
    <w:rsid w:val="00071AC2"/>
    <w:rsid w:val="00075FFC"/>
    <w:rsid w:val="000821A6"/>
    <w:rsid w:val="00082723"/>
    <w:rsid w:val="00084D91"/>
    <w:rsid w:val="000876FC"/>
    <w:rsid w:val="000941E8"/>
    <w:rsid w:val="000A2E0A"/>
    <w:rsid w:val="000A39A7"/>
    <w:rsid w:val="000A4134"/>
    <w:rsid w:val="000A6A3A"/>
    <w:rsid w:val="000B03DC"/>
    <w:rsid w:val="000B092E"/>
    <w:rsid w:val="000B50D2"/>
    <w:rsid w:val="000C25B8"/>
    <w:rsid w:val="000C281E"/>
    <w:rsid w:val="000D20E2"/>
    <w:rsid w:val="000D5264"/>
    <w:rsid w:val="000D6281"/>
    <w:rsid w:val="000E025D"/>
    <w:rsid w:val="000E5ED5"/>
    <w:rsid w:val="000F0063"/>
    <w:rsid w:val="000F3047"/>
    <w:rsid w:val="000F5DCE"/>
    <w:rsid w:val="001063DF"/>
    <w:rsid w:val="00106EBD"/>
    <w:rsid w:val="001132CE"/>
    <w:rsid w:val="0012357C"/>
    <w:rsid w:val="001235BF"/>
    <w:rsid w:val="00124066"/>
    <w:rsid w:val="00131DA1"/>
    <w:rsid w:val="00132C51"/>
    <w:rsid w:val="00132E1F"/>
    <w:rsid w:val="001342B0"/>
    <w:rsid w:val="00152AA4"/>
    <w:rsid w:val="00152B25"/>
    <w:rsid w:val="00161D7A"/>
    <w:rsid w:val="00165207"/>
    <w:rsid w:val="00184601"/>
    <w:rsid w:val="00187300"/>
    <w:rsid w:val="00194810"/>
    <w:rsid w:val="001A3DB3"/>
    <w:rsid w:val="001B647B"/>
    <w:rsid w:val="001B7A82"/>
    <w:rsid w:val="001C1EBF"/>
    <w:rsid w:val="001C2EB6"/>
    <w:rsid w:val="001C6A12"/>
    <w:rsid w:val="001C7AB1"/>
    <w:rsid w:val="001D0A61"/>
    <w:rsid w:val="001D1DE0"/>
    <w:rsid w:val="001D5E48"/>
    <w:rsid w:val="001E219C"/>
    <w:rsid w:val="001F5729"/>
    <w:rsid w:val="00200F27"/>
    <w:rsid w:val="0020255D"/>
    <w:rsid w:val="00206E71"/>
    <w:rsid w:val="00207402"/>
    <w:rsid w:val="0021271C"/>
    <w:rsid w:val="00212FB5"/>
    <w:rsid w:val="0021379A"/>
    <w:rsid w:val="00226485"/>
    <w:rsid w:val="00232B56"/>
    <w:rsid w:val="0023401A"/>
    <w:rsid w:val="00236701"/>
    <w:rsid w:val="00237031"/>
    <w:rsid w:val="00241C45"/>
    <w:rsid w:val="00242184"/>
    <w:rsid w:val="002421F7"/>
    <w:rsid w:val="00242D94"/>
    <w:rsid w:val="00242F1D"/>
    <w:rsid w:val="0024363F"/>
    <w:rsid w:val="0024624A"/>
    <w:rsid w:val="00246598"/>
    <w:rsid w:val="0025004D"/>
    <w:rsid w:val="00250A63"/>
    <w:rsid w:val="0025779F"/>
    <w:rsid w:val="0026217F"/>
    <w:rsid w:val="0026619B"/>
    <w:rsid w:val="00266BE6"/>
    <w:rsid w:val="00266F50"/>
    <w:rsid w:val="002712FA"/>
    <w:rsid w:val="00272C3E"/>
    <w:rsid w:val="002733B4"/>
    <w:rsid w:val="00276977"/>
    <w:rsid w:val="00277F1C"/>
    <w:rsid w:val="0028088A"/>
    <w:rsid w:val="0028348B"/>
    <w:rsid w:val="00287F09"/>
    <w:rsid w:val="00296A26"/>
    <w:rsid w:val="002A3F89"/>
    <w:rsid w:val="002A5B79"/>
    <w:rsid w:val="002B1B4D"/>
    <w:rsid w:val="002B3B9D"/>
    <w:rsid w:val="002C235B"/>
    <w:rsid w:val="002D6752"/>
    <w:rsid w:val="002D7925"/>
    <w:rsid w:val="002E0B2F"/>
    <w:rsid w:val="002E25A8"/>
    <w:rsid w:val="002E2D65"/>
    <w:rsid w:val="002E5636"/>
    <w:rsid w:val="002E79ED"/>
    <w:rsid w:val="002F15EA"/>
    <w:rsid w:val="002F1697"/>
    <w:rsid w:val="002F46EF"/>
    <w:rsid w:val="002F5898"/>
    <w:rsid w:val="00305953"/>
    <w:rsid w:val="00307DF5"/>
    <w:rsid w:val="00314692"/>
    <w:rsid w:val="003146C1"/>
    <w:rsid w:val="00315643"/>
    <w:rsid w:val="00322590"/>
    <w:rsid w:val="003250B1"/>
    <w:rsid w:val="00332C30"/>
    <w:rsid w:val="00333C8C"/>
    <w:rsid w:val="00340488"/>
    <w:rsid w:val="0035202D"/>
    <w:rsid w:val="0035398E"/>
    <w:rsid w:val="00353A1C"/>
    <w:rsid w:val="00353AEE"/>
    <w:rsid w:val="00377B32"/>
    <w:rsid w:val="00381122"/>
    <w:rsid w:val="00383D86"/>
    <w:rsid w:val="00384857"/>
    <w:rsid w:val="00385730"/>
    <w:rsid w:val="00394AAB"/>
    <w:rsid w:val="0039622A"/>
    <w:rsid w:val="003A1FC1"/>
    <w:rsid w:val="003A4894"/>
    <w:rsid w:val="003A4F06"/>
    <w:rsid w:val="003A59F3"/>
    <w:rsid w:val="003B20B9"/>
    <w:rsid w:val="003B2755"/>
    <w:rsid w:val="003B5EEE"/>
    <w:rsid w:val="003C0BD1"/>
    <w:rsid w:val="003D5F22"/>
    <w:rsid w:val="003E03DD"/>
    <w:rsid w:val="003E1120"/>
    <w:rsid w:val="003E3674"/>
    <w:rsid w:val="003E4263"/>
    <w:rsid w:val="003E76C7"/>
    <w:rsid w:val="003F5167"/>
    <w:rsid w:val="003F6317"/>
    <w:rsid w:val="00400FFA"/>
    <w:rsid w:val="0040171C"/>
    <w:rsid w:val="004022AF"/>
    <w:rsid w:val="0040638A"/>
    <w:rsid w:val="00412233"/>
    <w:rsid w:val="00421E0C"/>
    <w:rsid w:val="004274A1"/>
    <w:rsid w:val="00427E95"/>
    <w:rsid w:val="00432CC8"/>
    <w:rsid w:val="004407D1"/>
    <w:rsid w:val="00441ACE"/>
    <w:rsid w:val="00446084"/>
    <w:rsid w:val="00452C82"/>
    <w:rsid w:val="00452F2B"/>
    <w:rsid w:val="00453B02"/>
    <w:rsid w:val="00454602"/>
    <w:rsid w:val="00455132"/>
    <w:rsid w:val="00461CA1"/>
    <w:rsid w:val="00472B53"/>
    <w:rsid w:val="00481CE2"/>
    <w:rsid w:val="004824FE"/>
    <w:rsid w:val="00483744"/>
    <w:rsid w:val="004859FC"/>
    <w:rsid w:val="00490F9F"/>
    <w:rsid w:val="00496457"/>
    <w:rsid w:val="00496849"/>
    <w:rsid w:val="004A3D6B"/>
    <w:rsid w:val="004A4302"/>
    <w:rsid w:val="004A525F"/>
    <w:rsid w:val="004A5B3C"/>
    <w:rsid w:val="004B1443"/>
    <w:rsid w:val="004B1A43"/>
    <w:rsid w:val="004B415D"/>
    <w:rsid w:val="004B7F14"/>
    <w:rsid w:val="004D1B38"/>
    <w:rsid w:val="004E1BBE"/>
    <w:rsid w:val="004E375F"/>
    <w:rsid w:val="004F078F"/>
    <w:rsid w:val="004F1794"/>
    <w:rsid w:val="004F24D7"/>
    <w:rsid w:val="004F3134"/>
    <w:rsid w:val="004F42D6"/>
    <w:rsid w:val="00503EFE"/>
    <w:rsid w:val="005114CA"/>
    <w:rsid w:val="005116E8"/>
    <w:rsid w:val="0051393A"/>
    <w:rsid w:val="00514409"/>
    <w:rsid w:val="0051448A"/>
    <w:rsid w:val="00514A0F"/>
    <w:rsid w:val="00520CB2"/>
    <w:rsid w:val="0053036D"/>
    <w:rsid w:val="00532679"/>
    <w:rsid w:val="00534956"/>
    <w:rsid w:val="005539C9"/>
    <w:rsid w:val="00570377"/>
    <w:rsid w:val="00573091"/>
    <w:rsid w:val="00574EA7"/>
    <w:rsid w:val="00577D1A"/>
    <w:rsid w:val="00580AFD"/>
    <w:rsid w:val="00582F37"/>
    <w:rsid w:val="005852A4"/>
    <w:rsid w:val="00585B3A"/>
    <w:rsid w:val="00592A0C"/>
    <w:rsid w:val="00593646"/>
    <w:rsid w:val="00594A32"/>
    <w:rsid w:val="005A373F"/>
    <w:rsid w:val="005A5746"/>
    <w:rsid w:val="005B149B"/>
    <w:rsid w:val="005B36D9"/>
    <w:rsid w:val="005B6301"/>
    <w:rsid w:val="005C45BB"/>
    <w:rsid w:val="005C5C9A"/>
    <w:rsid w:val="005E2BB4"/>
    <w:rsid w:val="005E4871"/>
    <w:rsid w:val="005E6D92"/>
    <w:rsid w:val="005E760A"/>
    <w:rsid w:val="005F06DF"/>
    <w:rsid w:val="005F37DC"/>
    <w:rsid w:val="005F65FE"/>
    <w:rsid w:val="006028FC"/>
    <w:rsid w:val="00605005"/>
    <w:rsid w:val="00607663"/>
    <w:rsid w:val="00614CC7"/>
    <w:rsid w:val="00617F68"/>
    <w:rsid w:val="00620D1E"/>
    <w:rsid w:val="006214B4"/>
    <w:rsid w:val="0062354E"/>
    <w:rsid w:val="00623E6E"/>
    <w:rsid w:val="006253FC"/>
    <w:rsid w:val="00626AEE"/>
    <w:rsid w:val="006449C0"/>
    <w:rsid w:val="00651C17"/>
    <w:rsid w:val="00652745"/>
    <w:rsid w:val="00661354"/>
    <w:rsid w:val="00680844"/>
    <w:rsid w:val="0068571C"/>
    <w:rsid w:val="006857B2"/>
    <w:rsid w:val="0068585A"/>
    <w:rsid w:val="006900C4"/>
    <w:rsid w:val="00693A54"/>
    <w:rsid w:val="00696829"/>
    <w:rsid w:val="006A03C5"/>
    <w:rsid w:val="006A0E00"/>
    <w:rsid w:val="006A29BB"/>
    <w:rsid w:val="006A344C"/>
    <w:rsid w:val="006A5D90"/>
    <w:rsid w:val="006A6162"/>
    <w:rsid w:val="006B5F53"/>
    <w:rsid w:val="006B7143"/>
    <w:rsid w:val="006C21AD"/>
    <w:rsid w:val="006C4144"/>
    <w:rsid w:val="006C44C8"/>
    <w:rsid w:val="006D43C6"/>
    <w:rsid w:val="006D5764"/>
    <w:rsid w:val="006D7151"/>
    <w:rsid w:val="006E03CD"/>
    <w:rsid w:val="006E1441"/>
    <w:rsid w:val="006E35F4"/>
    <w:rsid w:val="006E3927"/>
    <w:rsid w:val="006E629A"/>
    <w:rsid w:val="006F21D7"/>
    <w:rsid w:val="006F5F3E"/>
    <w:rsid w:val="006F7D72"/>
    <w:rsid w:val="00702320"/>
    <w:rsid w:val="00703BB1"/>
    <w:rsid w:val="00714053"/>
    <w:rsid w:val="007141DD"/>
    <w:rsid w:val="007149E5"/>
    <w:rsid w:val="00715BC2"/>
    <w:rsid w:val="00715D56"/>
    <w:rsid w:val="007160DA"/>
    <w:rsid w:val="007246A0"/>
    <w:rsid w:val="0074009E"/>
    <w:rsid w:val="00741234"/>
    <w:rsid w:val="007441E9"/>
    <w:rsid w:val="00745315"/>
    <w:rsid w:val="00751FB5"/>
    <w:rsid w:val="00753ACE"/>
    <w:rsid w:val="00756C7F"/>
    <w:rsid w:val="0075774A"/>
    <w:rsid w:val="00762203"/>
    <w:rsid w:val="00764342"/>
    <w:rsid w:val="00766CFF"/>
    <w:rsid w:val="007671C6"/>
    <w:rsid w:val="00773127"/>
    <w:rsid w:val="0077471E"/>
    <w:rsid w:val="0077540B"/>
    <w:rsid w:val="00776E13"/>
    <w:rsid w:val="00790624"/>
    <w:rsid w:val="00790ED0"/>
    <w:rsid w:val="007A4511"/>
    <w:rsid w:val="007B0903"/>
    <w:rsid w:val="007B5505"/>
    <w:rsid w:val="007B756C"/>
    <w:rsid w:val="007C2517"/>
    <w:rsid w:val="007C3596"/>
    <w:rsid w:val="007C4501"/>
    <w:rsid w:val="007C7A83"/>
    <w:rsid w:val="007D15F1"/>
    <w:rsid w:val="007D27ED"/>
    <w:rsid w:val="007E076E"/>
    <w:rsid w:val="007E5E14"/>
    <w:rsid w:val="007F0AA3"/>
    <w:rsid w:val="007F1BE1"/>
    <w:rsid w:val="007F2718"/>
    <w:rsid w:val="007F6E4D"/>
    <w:rsid w:val="00800A03"/>
    <w:rsid w:val="00803A8A"/>
    <w:rsid w:val="00806583"/>
    <w:rsid w:val="00807677"/>
    <w:rsid w:val="0082241E"/>
    <w:rsid w:val="008224E5"/>
    <w:rsid w:val="00823592"/>
    <w:rsid w:val="008321BE"/>
    <w:rsid w:val="00835E96"/>
    <w:rsid w:val="008400DC"/>
    <w:rsid w:val="00840A77"/>
    <w:rsid w:val="00841220"/>
    <w:rsid w:val="008445F7"/>
    <w:rsid w:val="008516B0"/>
    <w:rsid w:val="00852444"/>
    <w:rsid w:val="00852F55"/>
    <w:rsid w:val="00853785"/>
    <w:rsid w:val="00854276"/>
    <w:rsid w:val="00856D9B"/>
    <w:rsid w:val="00857D1A"/>
    <w:rsid w:val="00864F81"/>
    <w:rsid w:val="0087140C"/>
    <w:rsid w:val="00881ACC"/>
    <w:rsid w:val="008832CB"/>
    <w:rsid w:val="00885937"/>
    <w:rsid w:val="00885F2D"/>
    <w:rsid w:val="00886DBD"/>
    <w:rsid w:val="0089352E"/>
    <w:rsid w:val="00896805"/>
    <w:rsid w:val="00897DAF"/>
    <w:rsid w:val="008A15D7"/>
    <w:rsid w:val="008B0ECF"/>
    <w:rsid w:val="008B696C"/>
    <w:rsid w:val="008C1039"/>
    <w:rsid w:val="008C4365"/>
    <w:rsid w:val="008C58B6"/>
    <w:rsid w:val="008D50FF"/>
    <w:rsid w:val="008D5303"/>
    <w:rsid w:val="008E3378"/>
    <w:rsid w:val="008E586B"/>
    <w:rsid w:val="008F0431"/>
    <w:rsid w:val="008F3473"/>
    <w:rsid w:val="008F6A87"/>
    <w:rsid w:val="008F7310"/>
    <w:rsid w:val="008F77EA"/>
    <w:rsid w:val="009008CF"/>
    <w:rsid w:val="0090434C"/>
    <w:rsid w:val="00906BB8"/>
    <w:rsid w:val="00906FEF"/>
    <w:rsid w:val="00913C9B"/>
    <w:rsid w:val="00914862"/>
    <w:rsid w:val="00915F76"/>
    <w:rsid w:val="00915F7B"/>
    <w:rsid w:val="00916937"/>
    <w:rsid w:val="00920590"/>
    <w:rsid w:val="00921689"/>
    <w:rsid w:val="00924978"/>
    <w:rsid w:val="009252F0"/>
    <w:rsid w:val="00930352"/>
    <w:rsid w:val="00930C23"/>
    <w:rsid w:val="00937F64"/>
    <w:rsid w:val="00950AFF"/>
    <w:rsid w:val="00950C04"/>
    <w:rsid w:val="00952C33"/>
    <w:rsid w:val="009579F5"/>
    <w:rsid w:val="0096274A"/>
    <w:rsid w:val="00962EBD"/>
    <w:rsid w:val="00964472"/>
    <w:rsid w:val="00966010"/>
    <w:rsid w:val="00967DD4"/>
    <w:rsid w:val="00971139"/>
    <w:rsid w:val="0097432C"/>
    <w:rsid w:val="00974BD4"/>
    <w:rsid w:val="0097788B"/>
    <w:rsid w:val="0098537F"/>
    <w:rsid w:val="00992F37"/>
    <w:rsid w:val="009931FC"/>
    <w:rsid w:val="009943CF"/>
    <w:rsid w:val="00996183"/>
    <w:rsid w:val="00997359"/>
    <w:rsid w:val="009A4B7B"/>
    <w:rsid w:val="009A7499"/>
    <w:rsid w:val="009B4543"/>
    <w:rsid w:val="009B665C"/>
    <w:rsid w:val="009B7E72"/>
    <w:rsid w:val="009C05BA"/>
    <w:rsid w:val="009C10C9"/>
    <w:rsid w:val="009C7234"/>
    <w:rsid w:val="009D327A"/>
    <w:rsid w:val="009D78C7"/>
    <w:rsid w:val="009D7AD5"/>
    <w:rsid w:val="009E2996"/>
    <w:rsid w:val="009E2E01"/>
    <w:rsid w:val="009E7005"/>
    <w:rsid w:val="009F0620"/>
    <w:rsid w:val="009F12F5"/>
    <w:rsid w:val="009F4D01"/>
    <w:rsid w:val="00A00541"/>
    <w:rsid w:val="00A12F78"/>
    <w:rsid w:val="00A14957"/>
    <w:rsid w:val="00A207D6"/>
    <w:rsid w:val="00A21BA7"/>
    <w:rsid w:val="00A23429"/>
    <w:rsid w:val="00A30580"/>
    <w:rsid w:val="00A345A4"/>
    <w:rsid w:val="00A3555D"/>
    <w:rsid w:val="00A3718D"/>
    <w:rsid w:val="00A43736"/>
    <w:rsid w:val="00A46F5D"/>
    <w:rsid w:val="00A8137B"/>
    <w:rsid w:val="00A82126"/>
    <w:rsid w:val="00A82165"/>
    <w:rsid w:val="00A8268E"/>
    <w:rsid w:val="00A858A6"/>
    <w:rsid w:val="00A87B02"/>
    <w:rsid w:val="00A91459"/>
    <w:rsid w:val="00A9255F"/>
    <w:rsid w:val="00AA0620"/>
    <w:rsid w:val="00AA072D"/>
    <w:rsid w:val="00AA6CF8"/>
    <w:rsid w:val="00AB78F9"/>
    <w:rsid w:val="00AC3177"/>
    <w:rsid w:val="00AC56E8"/>
    <w:rsid w:val="00AD1599"/>
    <w:rsid w:val="00AD2E8E"/>
    <w:rsid w:val="00AE0654"/>
    <w:rsid w:val="00AE609B"/>
    <w:rsid w:val="00AE7168"/>
    <w:rsid w:val="00AF4E68"/>
    <w:rsid w:val="00AF7961"/>
    <w:rsid w:val="00B01436"/>
    <w:rsid w:val="00B02F12"/>
    <w:rsid w:val="00B04854"/>
    <w:rsid w:val="00B04B63"/>
    <w:rsid w:val="00B10FDB"/>
    <w:rsid w:val="00B11E67"/>
    <w:rsid w:val="00B11F14"/>
    <w:rsid w:val="00B12BA8"/>
    <w:rsid w:val="00B165C2"/>
    <w:rsid w:val="00B224D2"/>
    <w:rsid w:val="00B2263A"/>
    <w:rsid w:val="00B25271"/>
    <w:rsid w:val="00B256FF"/>
    <w:rsid w:val="00B26265"/>
    <w:rsid w:val="00B26D4C"/>
    <w:rsid w:val="00B27B22"/>
    <w:rsid w:val="00B40472"/>
    <w:rsid w:val="00B413A9"/>
    <w:rsid w:val="00B6054A"/>
    <w:rsid w:val="00B64CD4"/>
    <w:rsid w:val="00B64E48"/>
    <w:rsid w:val="00B6757E"/>
    <w:rsid w:val="00B73C6E"/>
    <w:rsid w:val="00B80B8E"/>
    <w:rsid w:val="00B843D1"/>
    <w:rsid w:val="00B85AC2"/>
    <w:rsid w:val="00B85F78"/>
    <w:rsid w:val="00B93E78"/>
    <w:rsid w:val="00B97E55"/>
    <w:rsid w:val="00BA062E"/>
    <w:rsid w:val="00BA7AB3"/>
    <w:rsid w:val="00BB155C"/>
    <w:rsid w:val="00BB3A27"/>
    <w:rsid w:val="00BC3CAE"/>
    <w:rsid w:val="00BC4904"/>
    <w:rsid w:val="00BC7ECA"/>
    <w:rsid w:val="00BD1DE6"/>
    <w:rsid w:val="00BD2D88"/>
    <w:rsid w:val="00BD643E"/>
    <w:rsid w:val="00BE733B"/>
    <w:rsid w:val="00C13DCB"/>
    <w:rsid w:val="00C14D13"/>
    <w:rsid w:val="00C1774A"/>
    <w:rsid w:val="00C17F90"/>
    <w:rsid w:val="00C20359"/>
    <w:rsid w:val="00C262A1"/>
    <w:rsid w:val="00C31C34"/>
    <w:rsid w:val="00C36798"/>
    <w:rsid w:val="00C40B0F"/>
    <w:rsid w:val="00C40EC2"/>
    <w:rsid w:val="00C45DA0"/>
    <w:rsid w:val="00C54E52"/>
    <w:rsid w:val="00C56205"/>
    <w:rsid w:val="00C71005"/>
    <w:rsid w:val="00C71615"/>
    <w:rsid w:val="00C76E93"/>
    <w:rsid w:val="00C8596F"/>
    <w:rsid w:val="00C87164"/>
    <w:rsid w:val="00C946D0"/>
    <w:rsid w:val="00C9703A"/>
    <w:rsid w:val="00CA003E"/>
    <w:rsid w:val="00CA05E6"/>
    <w:rsid w:val="00CA152A"/>
    <w:rsid w:val="00CA3A35"/>
    <w:rsid w:val="00CA7E5F"/>
    <w:rsid w:val="00CB15FF"/>
    <w:rsid w:val="00CB1AF4"/>
    <w:rsid w:val="00CB2789"/>
    <w:rsid w:val="00CB65BF"/>
    <w:rsid w:val="00CC70D7"/>
    <w:rsid w:val="00CD65AE"/>
    <w:rsid w:val="00CD6F5B"/>
    <w:rsid w:val="00CE1E1A"/>
    <w:rsid w:val="00CF24F9"/>
    <w:rsid w:val="00CF36A9"/>
    <w:rsid w:val="00D03879"/>
    <w:rsid w:val="00D064DC"/>
    <w:rsid w:val="00D11A07"/>
    <w:rsid w:val="00D12586"/>
    <w:rsid w:val="00D12D72"/>
    <w:rsid w:val="00D20A9D"/>
    <w:rsid w:val="00D22656"/>
    <w:rsid w:val="00D24F2D"/>
    <w:rsid w:val="00D31DC4"/>
    <w:rsid w:val="00D3271E"/>
    <w:rsid w:val="00D32C38"/>
    <w:rsid w:val="00D35F52"/>
    <w:rsid w:val="00D44083"/>
    <w:rsid w:val="00D45A49"/>
    <w:rsid w:val="00D47CD1"/>
    <w:rsid w:val="00D56F5F"/>
    <w:rsid w:val="00D66ADD"/>
    <w:rsid w:val="00D74AD0"/>
    <w:rsid w:val="00D74C89"/>
    <w:rsid w:val="00D80477"/>
    <w:rsid w:val="00D84E78"/>
    <w:rsid w:val="00D86644"/>
    <w:rsid w:val="00D915DA"/>
    <w:rsid w:val="00D91BB8"/>
    <w:rsid w:val="00D9645E"/>
    <w:rsid w:val="00DA12DA"/>
    <w:rsid w:val="00DA18A2"/>
    <w:rsid w:val="00DA7174"/>
    <w:rsid w:val="00DB2A27"/>
    <w:rsid w:val="00DB7358"/>
    <w:rsid w:val="00DC6760"/>
    <w:rsid w:val="00DD0689"/>
    <w:rsid w:val="00DD6DAE"/>
    <w:rsid w:val="00DD7347"/>
    <w:rsid w:val="00DE1793"/>
    <w:rsid w:val="00DE2CFE"/>
    <w:rsid w:val="00DE5A70"/>
    <w:rsid w:val="00DE63B5"/>
    <w:rsid w:val="00DE7D28"/>
    <w:rsid w:val="00DF26DF"/>
    <w:rsid w:val="00DF44D7"/>
    <w:rsid w:val="00DF6F9B"/>
    <w:rsid w:val="00E01E83"/>
    <w:rsid w:val="00E02934"/>
    <w:rsid w:val="00E11BB0"/>
    <w:rsid w:val="00E12138"/>
    <w:rsid w:val="00E267D6"/>
    <w:rsid w:val="00E35D87"/>
    <w:rsid w:val="00E40CCE"/>
    <w:rsid w:val="00E41285"/>
    <w:rsid w:val="00E44500"/>
    <w:rsid w:val="00E46249"/>
    <w:rsid w:val="00E46572"/>
    <w:rsid w:val="00E46F18"/>
    <w:rsid w:val="00E50F0C"/>
    <w:rsid w:val="00E51082"/>
    <w:rsid w:val="00E55E51"/>
    <w:rsid w:val="00E56A49"/>
    <w:rsid w:val="00E61AA9"/>
    <w:rsid w:val="00E74E5C"/>
    <w:rsid w:val="00E84948"/>
    <w:rsid w:val="00E90A8A"/>
    <w:rsid w:val="00E94E96"/>
    <w:rsid w:val="00E95328"/>
    <w:rsid w:val="00E9663C"/>
    <w:rsid w:val="00E9788D"/>
    <w:rsid w:val="00EB4091"/>
    <w:rsid w:val="00EB44FB"/>
    <w:rsid w:val="00EC1B5F"/>
    <w:rsid w:val="00EC3CFE"/>
    <w:rsid w:val="00ED2BD2"/>
    <w:rsid w:val="00ED547F"/>
    <w:rsid w:val="00EE1027"/>
    <w:rsid w:val="00EE11CD"/>
    <w:rsid w:val="00EE24F3"/>
    <w:rsid w:val="00EE4416"/>
    <w:rsid w:val="00EE638D"/>
    <w:rsid w:val="00EE6C78"/>
    <w:rsid w:val="00EF0661"/>
    <w:rsid w:val="00F12B50"/>
    <w:rsid w:val="00F244D2"/>
    <w:rsid w:val="00F3018A"/>
    <w:rsid w:val="00F303FE"/>
    <w:rsid w:val="00F3398D"/>
    <w:rsid w:val="00F358AC"/>
    <w:rsid w:val="00F4677C"/>
    <w:rsid w:val="00F5052F"/>
    <w:rsid w:val="00F52ADF"/>
    <w:rsid w:val="00F5447D"/>
    <w:rsid w:val="00F545B9"/>
    <w:rsid w:val="00F56849"/>
    <w:rsid w:val="00F61A13"/>
    <w:rsid w:val="00F650E9"/>
    <w:rsid w:val="00F651BE"/>
    <w:rsid w:val="00F65B0F"/>
    <w:rsid w:val="00F67C59"/>
    <w:rsid w:val="00F67E59"/>
    <w:rsid w:val="00F80099"/>
    <w:rsid w:val="00FA0E15"/>
    <w:rsid w:val="00FA217A"/>
    <w:rsid w:val="00FA6879"/>
    <w:rsid w:val="00FB2047"/>
    <w:rsid w:val="00FB3069"/>
    <w:rsid w:val="00FB3185"/>
    <w:rsid w:val="00FB4C8A"/>
    <w:rsid w:val="00FD43AB"/>
    <w:rsid w:val="00FD578E"/>
    <w:rsid w:val="00FE2975"/>
    <w:rsid w:val="00FE36F9"/>
    <w:rsid w:val="00FE7C86"/>
    <w:rsid w:val="00FE7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B59D1BF-B007-46EC-848A-95F85632F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06E71"/>
    <w:rPr>
      <w:b/>
      <w:bCs/>
    </w:rPr>
  </w:style>
  <w:style w:type="paragraph" w:styleId="a4">
    <w:name w:val="header"/>
    <w:basedOn w:val="a"/>
    <w:link w:val="a5"/>
    <w:uiPriority w:val="99"/>
    <w:unhideWhenUsed/>
    <w:rsid w:val="00A82126"/>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A82126"/>
    <w:rPr>
      <w:sz w:val="18"/>
      <w:szCs w:val="18"/>
    </w:rPr>
  </w:style>
  <w:style w:type="paragraph" w:styleId="a6">
    <w:name w:val="footer"/>
    <w:basedOn w:val="a"/>
    <w:link w:val="a7"/>
    <w:uiPriority w:val="99"/>
    <w:unhideWhenUsed/>
    <w:rsid w:val="00A82126"/>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A82126"/>
    <w:rPr>
      <w:sz w:val="18"/>
      <w:szCs w:val="18"/>
    </w:rPr>
  </w:style>
  <w:style w:type="paragraph" w:styleId="a8">
    <w:name w:val="Balloon Text"/>
    <w:basedOn w:val="a"/>
    <w:link w:val="a9"/>
    <w:uiPriority w:val="99"/>
    <w:semiHidden/>
    <w:unhideWhenUsed/>
    <w:rsid w:val="00483744"/>
    <w:pPr>
      <w:spacing w:after="0" w:line="240" w:lineRule="auto"/>
    </w:pPr>
    <w:rPr>
      <w:sz w:val="16"/>
      <w:szCs w:val="16"/>
    </w:rPr>
  </w:style>
  <w:style w:type="character" w:customStyle="1" w:styleId="a9">
    <w:name w:val="批注框文本 字符"/>
    <w:basedOn w:val="a0"/>
    <w:link w:val="a8"/>
    <w:uiPriority w:val="99"/>
    <w:semiHidden/>
    <w:rsid w:val="0048374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xcel" ma:contentTypeID="0x0101001756E047F5E5AD47AD5E69E0F46B15320084401F88BCA7DB48ADB98F70D13D75D6" ma:contentTypeVersion="2" ma:contentTypeDescription="Create new excel" ma:contentTypeScope="" ma:versionID="9f02c9632e267356fa726e233d44dc3b">
  <xsd:schema xmlns:xsd="http://www.w3.org/2001/XMLSchema" xmlns:xs="http://www.w3.org/2001/XMLSchema" xmlns:p="http://schemas.microsoft.com/office/2006/metadata/properties" xmlns:ns1="http://schemas.microsoft.com/sharepoint/v3" targetNamespace="http://schemas.microsoft.com/office/2006/metadata/properties" ma:root="true" ma:fieldsID="19f4b9b7d4911e3f5167f641f465015f" ns1:_="">
    <xsd:import namespace="http://schemas.microsoft.com/sharepoint/v3"/>
    <xsd:element name="properties">
      <xsd:complexType>
        <xsd:sequence>
          <xsd:element name="documentManagement">
            <xsd:complexType>
              <xsd:all>
                <xsd:element ref="ns1:_dlc_Exempt" minOccurs="0"/>
                <xsd:element ref="ns1:_dlc_ExpireDateSaved" minOccurs="0"/>
                <xsd:element ref="ns1:_dlc_Expir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element name="_dlc_ExpireDateSaved" ma:index="9" nillable="true" ma:displayName="Original Expiration Date" ma:hidden="true" ma:internalName="_dlc_ExpireDateSaved" ma:readOnly="true">
      <xsd:simpleType>
        <xsd:restriction base="dms:DateTime"/>
      </xsd:simpleType>
    </xsd:element>
    <xsd:element name="_dlc_ExpireDate" ma:index="10" nillable="true" ma:displayName="Expiration Date" ma:description="" ma:hidden="true" ma:indexed="true" ma:internalName="_dlc_ExpireDat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ExpireDateSaved xmlns="http://schemas.microsoft.com/sharepoint/v3" xsi:nil="true"/>
    <_dlc_ExpireDate xmlns="http://schemas.microsoft.com/sharepoint/v3">2018-12-01T00:52:11+00:00</_dlc_ExpireDat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028EA4-68F4-4D70-AB10-B5BE3836C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88020D-13BC-493D-BA1A-45BB9202BBA4}">
  <ds:schemaRefs>
    <ds:schemaRef ds:uri="http://schemas.microsoft.com/sharepoint/v3/contenttype/forms"/>
  </ds:schemaRefs>
</ds:datastoreItem>
</file>

<file path=customXml/itemProps3.xml><?xml version="1.0" encoding="utf-8"?>
<ds:datastoreItem xmlns:ds="http://schemas.openxmlformats.org/officeDocument/2006/customXml" ds:itemID="{5F3369A6-934C-4C18-BC7E-7A78E02D5274}">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89D9BAB7-C5E2-4F12-8A79-CEF8159A0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4848</Words>
  <Characters>27638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F. Hoffmann-La Roche, Ltd.</Company>
  <LinksUpToDate>false</LinksUpToDate>
  <CharactersWithSpaces>32422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Xie, Jing Jun {DQXA~Beijing}</dc:creator>
  <cp:lastModifiedBy>Bian, Yun Yun {DQXB~Suzhou}</cp:lastModifiedBy>
  <cp:revision>52</cp:revision>
  <cp:lastPrinted>2015-11-10T03:04:00Z</cp:lastPrinted>
  <dcterms:created xsi:type="dcterms:W3CDTF">2017-01-24T09:12:00Z</dcterms:created>
  <dcterms:modified xsi:type="dcterms:W3CDTF">2020-07-22T03:34:00Z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0x0101001756E047F5E5AD47AD5E69E0F46B15320084401F88BCA7DB48ADB98F70D13D75D6</vt:lpwstr>
  </property>
  <property fmtid="{D5CDD505-2E9C-101B-9397-08002B2CF9AE}" pid="3" name="ItemRetentionFormula">
    <vt:lpwstr>&lt;formula id="Roche.Common.Coremap.ExpirationFormula" /&gt;</vt:lpwstr>
  </property>
  <property fmtid="{D5CDD505-2E9C-101B-9397-08002B2CF9AE}" pid="4" name="_dlc_policyId">
    <vt:lpwstr>/sites/AsiaManufacturing/AMS Quality</vt:lpwstr>
  </property>
  <property fmtid="{D5CDD505-2E9C-101B-9397-08002B2CF9AE}" pid="5" name="TaxKeyword">
    <vt:lpwstr/>
  </property>
  <property fmtid="{D5CDD505-2E9C-101B-9397-08002B2CF9AE}" pid="6" name="TaxCatchAll">
    <vt:lpwstr/>
  </property>
  <property fmtid="{D5CDD505-2E9C-101B-9397-08002B2CF9AE}" pid="7" name="TaxKeywordTaxHTField">
    <vt:lpwstr/>
  </property>
</Properties>
</file>