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0C2A6" w14:textId="77777777" w:rsidR="000817EF" w:rsidRDefault="00C4611F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 w:hint="eastAsia"/>
          <w:b/>
          <w:bCs/>
          <w:sz w:val="32"/>
          <w:szCs w:val="32"/>
        </w:rPr>
        <w:t>课程简介的中英文模板</w:t>
      </w:r>
    </w:p>
    <w:p w14:paraId="5ED4154E" w14:textId="77777777" w:rsidR="0045145A" w:rsidRPr="0045145A" w:rsidRDefault="0045145A" w:rsidP="0045145A">
      <w:pPr>
        <w:rPr>
          <w:rFonts w:ascii="Arial" w:hAnsi="Arial" w:cs="Arial" w:hint="eastAsia"/>
          <w:bCs/>
          <w:szCs w:val="21"/>
        </w:rPr>
      </w:pPr>
      <w:r w:rsidRPr="0045145A">
        <w:rPr>
          <w:rFonts w:ascii="Arial" w:hAnsi="Arial" w:cs="Arial" w:hint="eastAsia"/>
          <w:bCs/>
          <w:szCs w:val="21"/>
        </w:rPr>
        <w:t>《应用抽象代数：箭图表示》课程系统讲授箭图（</w:t>
      </w:r>
      <w:r w:rsidRPr="0045145A">
        <w:rPr>
          <w:rFonts w:ascii="Arial" w:hAnsi="Arial" w:cs="Arial" w:hint="eastAsia"/>
          <w:bCs/>
          <w:szCs w:val="21"/>
        </w:rPr>
        <w:t>quiver</w:t>
      </w:r>
      <w:r w:rsidRPr="0045145A">
        <w:rPr>
          <w:rFonts w:ascii="Arial" w:hAnsi="Arial" w:cs="Arial" w:hint="eastAsia"/>
          <w:bCs/>
          <w:szCs w:val="21"/>
        </w:rPr>
        <w:t>）表示论的核心理论与计算方法。课程分为三部分：</w:t>
      </w:r>
    </w:p>
    <w:p w14:paraId="094246AD" w14:textId="77777777" w:rsidR="0045145A" w:rsidRPr="0045145A" w:rsidRDefault="0045145A" w:rsidP="0045145A">
      <w:pPr>
        <w:rPr>
          <w:rFonts w:ascii="Arial" w:hAnsi="Arial" w:cs="Arial"/>
          <w:bCs/>
          <w:szCs w:val="21"/>
        </w:rPr>
      </w:pPr>
    </w:p>
    <w:p w14:paraId="4E9E1F8E" w14:textId="77777777" w:rsidR="0045145A" w:rsidRPr="0045145A" w:rsidRDefault="0045145A" w:rsidP="0045145A">
      <w:pPr>
        <w:rPr>
          <w:rFonts w:ascii="Arial" w:hAnsi="Arial" w:cs="Arial" w:hint="eastAsia"/>
          <w:bCs/>
          <w:szCs w:val="21"/>
        </w:rPr>
      </w:pPr>
      <w:r w:rsidRPr="0045145A">
        <w:rPr>
          <w:rFonts w:ascii="Arial" w:hAnsi="Arial" w:cs="Arial" w:hint="eastAsia"/>
          <w:bCs/>
          <w:szCs w:val="21"/>
        </w:rPr>
        <w:t>基础理论（</w:t>
      </w:r>
      <w:r w:rsidRPr="0045145A">
        <w:rPr>
          <w:rFonts w:ascii="Arial" w:hAnsi="Arial" w:cs="Arial" w:hint="eastAsia"/>
          <w:bCs/>
          <w:szCs w:val="21"/>
        </w:rPr>
        <w:t>1-4</w:t>
      </w:r>
      <w:r w:rsidRPr="0045145A">
        <w:rPr>
          <w:rFonts w:ascii="Arial" w:hAnsi="Arial" w:cs="Arial" w:hint="eastAsia"/>
          <w:bCs/>
          <w:szCs w:val="21"/>
        </w:rPr>
        <w:t>周）：箭图与表示的定义、态射、直和、正合列；投射</w:t>
      </w:r>
      <w:r w:rsidRPr="0045145A">
        <w:rPr>
          <w:rFonts w:ascii="Arial" w:hAnsi="Arial" w:cs="Arial" w:hint="eastAsia"/>
          <w:bCs/>
          <w:szCs w:val="21"/>
        </w:rPr>
        <w:t>/</w:t>
      </w:r>
      <w:r w:rsidRPr="0045145A">
        <w:rPr>
          <w:rFonts w:ascii="Arial" w:hAnsi="Arial" w:cs="Arial" w:hint="eastAsia"/>
          <w:bCs/>
          <w:szCs w:val="21"/>
        </w:rPr>
        <w:t>内射表示、投射分解、</w:t>
      </w:r>
      <w:r w:rsidRPr="0045145A">
        <w:rPr>
          <w:rFonts w:ascii="Arial" w:hAnsi="Arial" w:cs="Arial" w:hint="eastAsia"/>
          <w:bCs/>
          <w:szCs w:val="21"/>
        </w:rPr>
        <w:t>Nakayama</w:t>
      </w:r>
      <w:r w:rsidRPr="0045145A">
        <w:rPr>
          <w:rFonts w:ascii="Arial" w:hAnsi="Arial" w:cs="Arial" w:hint="eastAsia"/>
          <w:bCs/>
          <w:szCs w:val="21"/>
        </w:rPr>
        <w:t>函子、</w:t>
      </w:r>
      <w:r w:rsidRPr="0045145A">
        <w:rPr>
          <w:rFonts w:ascii="Arial" w:hAnsi="Arial" w:cs="Arial" w:hint="eastAsia"/>
          <w:bCs/>
          <w:szCs w:val="21"/>
        </w:rPr>
        <w:t>Auslander-Reiten</w:t>
      </w:r>
      <w:r w:rsidRPr="0045145A">
        <w:rPr>
          <w:rFonts w:ascii="Arial" w:hAnsi="Arial" w:cs="Arial" w:hint="eastAsia"/>
          <w:bCs/>
          <w:szCs w:val="21"/>
        </w:rPr>
        <w:t>变换；</w:t>
      </w:r>
    </w:p>
    <w:p w14:paraId="232D7A15" w14:textId="77777777" w:rsidR="0045145A" w:rsidRPr="0045145A" w:rsidRDefault="0045145A" w:rsidP="0045145A">
      <w:pPr>
        <w:rPr>
          <w:rFonts w:ascii="Arial" w:hAnsi="Arial" w:cs="Arial" w:hint="eastAsia"/>
          <w:bCs/>
          <w:szCs w:val="21"/>
        </w:rPr>
      </w:pPr>
      <w:r w:rsidRPr="0045145A">
        <w:rPr>
          <w:rFonts w:ascii="Arial" w:hAnsi="Arial" w:cs="Arial" w:hint="eastAsia"/>
          <w:bCs/>
          <w:szCs w:val="21"/>
        </w:rPr>
        <w:t>同调计算（</w:t>
      </w:r>
      <w:r w:rsidRPr="0045145A">
        <w:rPr>
          <w:rFonts w:ascii="Arial" w:hAnsi="Arial" w:cs="Arial" w:hint="eastAsia"/>
          <w:bCs/>
          <w:szCs w:val="21"/>
        </w:rPr>
        <w:t>5-8</w:t>
      </w:r>
      <w:r w:rsidRPr="0045145A">
        <w:rPr>
          <w:rFonts w:ascii="Arial" w:hAnsi="Arial" w:cs="Arial" w:hint="eastAsia"/>
          <w:bCs/>
          <w:szCs w:val="21"/>
        </w:rPr>
        <w:t>周）：</w:t>
      </w:r>
      <w:r w:rsidRPr="0045145A">
        <w:rPr>
          <w:rFonts w:ascii="Arial" w:hAnsi="Arial" w:cs="Arial" w:hint="eastAsia"/>
          <w:bCs/>
          <w:szCs w:val="21"/>
        </w:rPr>
        <w:t>A</w:t>
      </w:r>
      <w:r w:rsidRPr="0045145A">
        <w:rPr>
          <w:rFonts w:ascii="Arial" w:hAnsi="Arial" w:cs="Arial" w:hint="eastAsia"/>
          <w:bCs/>
          <w:szCs w:val="21"/>
        </w:rPr>
        <w:t>型与</w:t>
      </w:r>
      <w:r w:rsidRPr="0045145A">
        <w:rPr>
          <w:rFonts w:ascii="Arial" w:hAnsi="Arial" w:cs="Arial" w:hint="eastAsia"/>
          <w:bCs/>
          <w:szCs w:val="21"/>
        </w:rPr>
        <w:t>D</w:t>
      </w:r>
      <w:r w:rsidRPr="0045145A">
        <w:rPr>
          <w:rFonts w:ascii="Arial" w:hAnsi="Arial" w:cs="Arial" w:hint="eastAsia"/>
          <w:bCs/>
          <w:szCs w:val="21"/>
        </w:rPr>
        <w:t>型</w:t>
      </w:r>
      <w:r w:rsidRPr="0045145A">
        <w:rPr>
          <w:rFonts w:ascii="Arial" w:hAnsi="Arial" w:cs="Arial" w:hint="eastAsia"/>
          <w:bCs/>
          <w:szCs w:val="21"/>
        </w:rPr>
        <w:t>Auslander-Reiten</w:t>
      </w:r>
      <w:r w:rsidRPr="0045145A">
        <w:rPr>
          <w:rFonts w:ascii="Arial" w:hAnsi="Arial" w:cs="Arial" w:hint="eastAsia"/>
          <w:bCs/>
          <w:szCs w:val="21"/>
        </w:rPr>
        <w:t>箭图的构建，</w:t>
      </w:r>
      <w:r w:rsidRPr="0045145A">
        <w:rPr>
          <w:rFonts w:ascii="Arial" w:hAnsi="Arial" w:cs="Arial" w:hint="eastAsia"/>
          <w:bCs/>
          <w:szCs w:val="21"/>
        </w:rPr>
        <w:t>Hom</w:t>
      </w:r>
      <w:r w:rsidRPr="0045145A">
        <w:rPr>
          <w:rFonts w:ascii="Arial" w:hAnsi="Arial" w:cs="Arial" w:hint="eastAsia"/>
          <w:bCs/>
          <w:szCs w:val="21"/>
        </w:rPr>
        <w:t>与</w:t>
      </w:r>
      <w:r w:rsidRPr="0045145A">
        <w:rPr>
          <w:rFonts w:ascii="Arial" w:hAnsi="Arial" w:cs="Arial" w:hint="eastAsia"/>
          <w:bCs/>
          <w:szCs w:val="21"/>
        </w:rPr>
        <w:t>Ext</w:t>
      </w:r>
      <w:r w:rsidRPr="0045145A">
        <w:rPr>
          <w:rFonts w:ascii="Arial" w:hAnsi="Arial" w:cs="Arial" w:hint="eastAsia"/>
          <w:bCs/>
          <w:szCs w:val="21"/>
        </w:rPr>
        <w:t>维数的具体计算；</w:t>
      </w:r>
    </w:p>
    <w:p w14:paraId="22B135E5" w14:textId="77777777" w:rsidR="0045145A" w:rsidRPr="0045145A" w:rsidRDefault="0045145A" w:rsidP="0045145A">
      <w:pPr>
        <w:rPr>
          <w:rFonts w:ascii="Arial" w:hAnsi="Arial" w:cs="Arial" w:hint="eastAsia"/>
          <w:bCs/>
          <w:szCs w:val="21"/>
        </w:rPr>
      </w:pPr>
      <w:r w:rsidRPr="0045145A">
        <w:rPr>
          <w:rFonts w:ascii="Arial" w:hAnsi="Arial" w:cs="Arial" w:hint="eastAsia"/>
          <w:bCs/>
          <w:szCs w:val="21"/>
        </w:rPr>
        <w:t>代数结构（</w:t>
      </w:r>
      <w:r w:rsidRPr="0045145A">
        <w:rPr>
          <w:rFonts w:ascii="Arial" w:hAnsi="Arial" w:cs="Arial" w:hint="eastAsia"/>
          <w:bCs/>
          <w:szCs w:val="21"/>
        </w:rPr>
        <w:t>9-16</w:t>
      </w:r>
      <w:r w:rsidRPr="0045145A">
        <w:rPr>
          <w:rFonts w:ascii="Arial" w:hAnsi="Arial" w:cs="Arial" w:hint="eastAsia"/>
          <w:bCs/>
          <w:szCs w:val="21"/>
        </w:rPr>
        <w:t>周）：带关系箭图表示、路径代数、</w:t>
      </w:r>
      <w:proofErr w:type="gramStart"/>
      <w:r w:rsidRPr="0045145A">
        <w:rPr>
          <w:rFonts w:ascii="Arial" w:hAnsi="Arial" w:cs="Arial" w:hint="eastAsia"/>
          <w:bCs/>
          <w:szCs w:val="21"/>
        </w:rPr>
        <w:t>代数与模的</w:t>
      </w:r>
      <w:proofErr w:type="gramEnd"/>
      <w:r w:rsidRPr="0045145A">
        <w:rPr>
          <w:rFonts w:ascii="Arial" w:hAnsi="Arial" w:cs="Arial" w:hint="eastAsia"/>
          <w:bCs/>
          <w:szCs w:val="21"/>
        </w:rPr>
        <w:t>等价性、不可分解模判定；表示型分类、</w:t>
      </w:r>
      <w:r w:rsidRPr="0045145A">
        <w:rPr>
          <w:rFonts w:ascii="Arial" w:hAnsi="Arial" w:cs="Arial" w:hint="eastAsia"/>
          <w:bCs/>
          <w:szCs w:val="21"/>
        </w:rPr>
        <w:t>Gabriel</w:t>
      </w:r>
      <w:r w:rsidRPr="0045145A">
        <w:rPr>
          <w:rFonts w:ascii="Arial" w:hAnsi="Arial" w:cs="Arial" w:hint="eastAsia"/>
          <w:bCs/>
          <w:szCs w:val="21"/>
        </w:rPr>
        <w:t>定理与二次型应用。</w:t>
      </w:r>
    </w:p>
    <w:p w14:paraId="7E061EA9" w14:textId="036D69DD" w:rsidR="000817EF" w:rsidRDefault="0045145A" w:rsidP="0045145A">
      <w:pPr>
        <w:rPr>
          <w:rFonts w:ascii="Arial" w:hAnsi="Arial" w:cs="Arial"/>
          <w:szCs w:val="21"/>
        </w:rPr>
      </w:pPr>
      <w:r w:rsidRPr="0045145A">
        <w:rPr>
          <w:rFonts w:ascii="Arial" w:hAnsi="Arial" w:cs="Arial" w:hint="eastAsia"/>
          <w:bCs/>
          <w:szCs w:val="21"/>
        </w:rPr>
        <w:t>通过大量计算实践（如</w:t>
      </w:r>
      <w:r w:rsidRPr="0045145A">
        <w:rPr>
          <w:rFonts w:ascii="Arial" w:hAnsi="Arial" w:cs="Arial" w:hint="eastAsia"/>
          <w:bCs/>
          <w:szCs w:val="21"/>
        </w:rPr>
        <w:t>Hom/Ext</w:t>
      </w:r>
      <w:r w:rsidRPr="0045145A">
        <w:rPr>
          <w:rFonts w:ascii="Arial" w:hAnsi="Arial" w:cs="Arial" w:hint="eastAsia"/>
          <w:bCs/>
          <w:szCs w:val="21"/>
        </w:rPr>
        <w:t>维数求解）与理论推演，结合权威教材（</w:t>
      </w:r>
      <w:r w:rsidRPr="0045145A">
        <w:rPr>
          <w:rFonts w:ascii="Arial" w:hAnsi="Arial" w:cs="Arial" w:hint="eastAsia"/>
          <w:bCs/>
          <w:szCs w:val="21"/>
        </w:rPr>
        <w:t>Schiffler, Assem</w:t>
      </w:r>
      <w:r w:rsidRPr="0045145A">
        <w:rPr>
          <w:rFonts w:ascii="Arial" w:hAnsi="Arial" w:cs="Arial" w:hint="eastAsia"/>
          <w:bCs/>
          <w:szCs w:val="21"/>
        </w:rPr>
        <w:t>等），培养学生处理代数表示论问题的核心能力。</w:t>
      </w:r>
    </w:p>
    <w:p w14:paraId="4BD33ACC" w14:textId="77777777" w:rsidR="000817EF" w:rsidRPr="0088333D" w:rsidRDefault="000817EF">
      <w:pPr>
        <w:spacing w:line="360" w:lineRule="auto"/>
        <w:rPr>
          <w:rFonts w:ascii="Arial" w:hAnsi="Arial" w:cs="Arial"/>
          <w:b/>
          <w:bCs/>
          <w:szCs w:val="21"/>
        </w:rPr>
      </w:pPr>
    </w:p>
    <w:p w14:paraId="52B97846" w14:textId="77777777" w:rsidR="0045145A" w:rsidRPr="0045145A" w:rsidRDefault="0045145A" w:rsidP="0045145A">
      <w:pPr>
        <w:rPr>
          <w:rFonts w:ascii="Arial" w:hAnsi="Arial" w:cs="Arial"/>
          <w:szCs w:val="21"/>
        </w:rPr>
      </w:pPr>
      <w:r w:rsidRPr="0045145A">
        <w:rPr>
          <w:rFonts w:ascii="Arial" w:hAnsi="Arial" w:cs="Arial"/>
          <w:szCs w:val="21"/>
        </w:rPr>
        <w:t>This course provides a rigorous treatment of quiver representation theory, structured in three modules:</w:t>
      </w:r>
    </w:p>
    <w:p w14:paraId="3048017A" w14:textId="77777777" w:rsidR="0045145A" w:rsidRPr="0045145A" w:rsidRDefault="0045145A" w:rsidP="0045145A">
      <w:pPr>
        <w:rPr>
          <w:rFonts w:ascii="Arial" w:hAnsi="Arial" w:cs="Arial"/>
          <w:szCs w:val="21"/>
        </w:rPr>
      </w:pPr>
    </w:p>
    <w:p w14:paraId="556D7C50" w14:textId="77777777" w:rsidR="0045145A" w:rsidRPr="0045145A" w:rsidRDefault="0045145A" w:rsidP="0045145A">
      <w:pPr>
        <w:rPr>
          <w:rFonts w:ascii="Arial" w:hAnsi="Arial" w:cs="Arial"/>
          <w:szCs w:val="21"/>
        </w:rPr>
      </w:pPr>
      <w:r w:rsidRPr="0045145A">
        <w:rPr>
          <w:rFonts w:ascii="Arial" w:hAnsi="Arial" w:cs="Arial"/>
          <w:szCs w:val="21"/>
        </w:rPr>
        <w:t>Fundamentals (Weeks 1-4): Definitions of quivers, representations, morphisms, direct sums, exact sequences; projective/injective representations, projective resolutions, Nakayama functor, Auslander-Reiten translation.</w:t>
      </w:r>
    </w:p>
    <w:p w14:paraId="6446DE7B" w14:textId="77777777" w:rsidR="0045145A" w:rsidRPr="0045145A" w:rsidRDefault="0045145A" w:rsidP="0045145A">
      <w:pPr>
        <w:rPr>
          <w:rFonts w:ascii="Arial" w:hAnsi="Arial" w:cs="Arial"/>
          <w:szCs w:val="21"/>
        </w:rPr>
      </w:pPr>
      <w:r w:rsidRPr="0045145A">
        <w:rPr>
          <w:rFonts w:ascii="Arial" w:hAnsi="Arial" w:cs="Arial"/>
          <w:szCs w:val="21"/>
        </w:rPr>
        <w:t>Homological Computations (Weeks 5-8): Construction of Auslander-Reiten quivers for types A and D; explicit calculations of Hom/Ext dimensions.</w:t>
      </w:r>
    </w:p>
    <w:p w14:paraId="0DD1F139" w14:textId="77777777" w:rsidR="0045145A" w:rsidRPr="0045145A" w:rsidRDefault="0045145A" w:rsidP="0045145A">
      <w:pPr>
        <w:rPr>
          <w:rFonts w:ascii="Arial" w:hAnsi="Arial" w:cs="Arial"/>
          <w:szCs w:val="21"/>
        </w:rPr>
      </w:pPr>
      <w:r w:rsidRPr="0045145A">
        <w:rPr>
          <w:rFonts w:ascii="Arial" w:hAnsi="Arial" w:cs="Arial"/>
          <w:szCs w:val="21"/>
        </w:rPr>
        <w:t xml:space="preserve">Algebraic Structures (Weeks 9-16): Representations of bound quivers (with relations); path algebras, equivalence between algebras/modules and quivers/representations; </w:t>
      </w:r>
      <w:proofErr w:type="spellStart"/>
      <w:r w:rsidRPr="0045145A">
        <w:rPr>
          <w:rFonts w:ascii="Arial" w:hAnsi="Arial" w:cs="Arial"/>
          <w:szCs w:val="21"/>
        </w:rPr>
        <w:t>indecomposability</w:t>
      </w:r>
      <w:proofErr w:type="spellEnd"/>
      <w:r w:rsidRPr="0045145A">
        <w:rPr>
          <w:rFonts w:ascii="Arial" w:hAnsi="Arial" w:cs="Arial"/>
          <w:szCs w:val="21"/>
        </w:rPr>
        <w:t xml:space="preserve"> criteria; representation types, Gabriel's theorem and quadratic forms.</w:t>
      </w:r>
    </w:p>
    <w:p w14:paraId="1E7350BA" w14:textId="4A1FD7B2" w:rsidR="000817EF" w:rsidRDefault="0045145A" w:rsidP="0045145A">
      <w:r w:rsidRPr="0045145A">
        <w:rPr>
          <w:rFonts w:ascii="Arial" w:hAnsi="Arial" w:cs="Arial"/>
          <w:szCs w:val="21"/>
        </w:rPr>
        <w:t>Emphasizing computational practice (e.g., computing Hom/Ext dimensions) and theoretical proofs based on seminal texts (Schiffler, Assem et al.), the course equips students with essential skills for advanced research in representation theory.</w:t>
      </w:r>
    </w:p>
    <w:p w14:paraId="48ECB537" w14:textId="77777777" w:rsidR="000817EF" w:rsidRDefault="000817EF"/>
    <w:p w14:paraId="3BF0E5AC" w14:textId="77777777" w:rsidR="00FF50BF" w:rsidRDefault="00FF50BF"/>
    <w:p w14:paraId="651E776B" w14:textId="77777777" w:rsidR="00FF50BF" w:rsidRPr="00D42C17" w:rsidRDefault="00FF50BF" w:rsidP="00D42C17">
      <w:pPr>
        <w:spacing w:line="360" w:lineRule="auto"/>
        <w:rPr>
          <w:rFonts w:ascii="Arial" w:hAnsi="Arial" w:cs="Arial" w:hint="eastAsia"/>
          <w:bCs/>
          <w:szCs w:val="21"/>
        </w:rPr>
      </w:pPr>
    </w:p>
    <w:p w14:paraId="5CD8402D" w14:textId="77777777" w:rsidR="00FF50BF" w:rsidRPr="00D42C17" w:rsidRDefault="00FF50BF" w:rsidP="00D42C17">
      <w:pPr>
        <w:spacing w:line="360" w:lineRule="auto"/>
        <w:rPr>
          <w:rFonts w:ascii="Arial" w:hAnsi="Arial" w:cs="Arial"/>
          <w:bCs/>
          <w:szCs w:val="21"/>
        </w:rPr>
      </w:pPr>
      <w:r w:rsidRPr="00D42C17">
        <w:rPr>
          <w:rFonts w:ascii="Arial" w:hAnsi="Arial" w:cs="Arial" w:hint="eastAsia"/>
          <w:bCs/>
          <w:szCs w:val="21"/>
        </w:rPr>
        <w:t>任课教师签名：</w:t>
      </w:r>
    </w:p>
    <w:p w14:paraId="6F22E54C" w14:textId="77777777" w:rsidR="0006799D" w:rsidRPr="00D42C17" w:rsidRDefault="0006799D" w:rsidP="00D42C17">
      <w:pPr>
        <w:spacing w:line="360" w:lineRule="auto"/>
        <w:rPr>
          <w:rFonts w:ascii="Arial" w:hAnsi="Arial" w:cs="Arial"/>
          <w:bCs/>
          <w:szCs w:val="21"/>
        </w:rPr>
      </w:pPr>
    </w:p>
    <w:p w14:paraId="28C3847B" w14:textId="77777777" w:rsidR="00FF50BF" w:rsidRPr="00D42C17" w:rsidRDefault="00E001A1" w:rsidP="00D42C17">
      <w:pPr>
        <w:spacing w:line="360" w:lineRule="auto"/>
        <w:rPr>
          <w:rFonts w:ascii="Arial" w:hAnsi="Arial" w:cs="Arial"/>
          <w:bCs/>
          <w:szCs w:val="21"/>
        </w:rPr>
      </w:pPr>
      <w:r w:rsidRPr="00D42C17">
        <w:rPr>
          <w:rFonts w:ascii="Arial" w:hAnsi="Arial" w:cs="Arial" w:hint="eastAsia"/>
          <w:bCs/>
          <w:szCs w:val="21"/>
        </w:rPr>
        <w:t>教学负责人</w:t>
      </w:r>
      <w:r w:rsidR="00FF50BF" w:rsidRPr="00D42C17">
        <w:rPr>
          <w:rFonts w:ascii="Arial" w:hAnsi="Arial" w:cs="Arial" w:hint="eastAsia"/>
          <w:bCs/>
          <w:szCs w:val="21"/>
        </w:rPr>
        <w:t>签名：</w:t>
      </w:r>
    </w:p>
    <w:p w14:paraId="6FBE1D80" w14:textId="77777777" w:rsidR="0006799D" w:rsidRPr="00D42C17" w:rsidRDefault="0006799D" w:rsidP="00D42C17">
      <w:pPr>
        <w:spacing w:line="360" w:lineRule="auto"/>
        <w:rPr>
          <w:rFonts w:ascii="Arial" w:hAnsi="Arial" w:cs="Arial"/>
          <w:bCs/>
          <w:szCs w:val="21"/>
        </w:rPr>
      </w:pPr>
    </w:p>
    <w:p w14:paraId="6B7EA7E4" w14:textId="77777777" w:rsidR="00FF50BF" w:rsidRPr="00D42C17" w:rsidRDefault="00FF50BF" w:rsidP="00D42C17">
      <w:pPr>
        <w:spacing w:line="360" w:lineRule="auto"/>
        <w:rPr>
          <w:rFonts w:ascii="Arial" w:hAnsi="Arial" w:cs="Arial"/>
          <w:bCs/>
          <w:szCs w:val="21"/>
        </w:rPr>
      </w:pPr>
      <w:r w:rsidRPr="00D42C17">
        <w:rPr>
          <w:rFonts w:ascii="Arial" w:hAnsi="Arial" w:cs="Arial" w:hint="eastAsia"/>
          <w:bCs/>
          <w:szCs w:val="21"/>
        </w:rPr>
        <w:t>日期：</w:t>
      </w:r>
    </w:p>
    <w:p w14:paraId="74FBC159" w14:textId="77777777" w:rsidR="00FF50BF" w:rsidRDefault="00FF50BF"/>
    <w:p w14:paraId="79356658" w14:textId="77777777" w:rsidR="00FF50BF" w:rsidRDefault="00FF50BF">
      <w:pPr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备注：</w:t>
      </w:r>
    </w:p>
    <w:p w14:paraId="10A43748" w14:textId="77777777" w:rsidR="000817EF" w:rsidRDefault="00C4611F">
      <w:r>
        <w:rPr>
          <w:rFonts w:ascii="宋体" w:eastAsia="宋体" w:hAnsi="宋体" w:cs="宋体" w:hint="eastAsia"/>
          <w:color w:val="000000"/>
          <w:sz w:val="24"/>
          <w:szCs w:val="24"/>
        </w:rPr>
        <w:t>格式：中文使用宋体5号，英文使用Arial5号。注意中英文标点符号的格式准确。</w:t>
      </w:r>
    </w:p>
    <w:p w14:paraId="06E97BA2" w14:textId="77777777" w:rsidR="000817EF" w:rsidRDefault="000817EF"/>
    <w:sectPr w:rsidR="000817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51D20" w14:textId="77777777" w:rsidR="008B2257" w:rsidRDefault="008B2257" w:rsidP="00E53940">
      <w:r>
        <w:separator/>
      </w:r>
    </w:p>
  </w:endnote>
  <w:endnote w:type="continuationSeparator" w:id="0">
    <w:p w14:paraId="0B8AEC1D" w14:textId="77777777" w:rsidR="008B2257" w:rsidRDefault="008B2257" w:rsidP="00E53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9D02B" w14:textId="77777777" w:rsidR="008B2257" w:rsidRDefault="008B2257" w:rsidP="00E53940">
      <w:r>
        <w:separator/>
      </w:r>
    </w:p>
  </w:footnote>
  <w:footnote w:type="continuationSeparator" w:id="0">
    <w:p w14:paraId="741D4768" w14:textId="77777777" w:rsidR="008B2257" w:rsidRDefault="008B2257" w:rsidP="00E539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70D2"/>
    <w:rsid w:val="0006799D"/>
    <w:rsid w:val="000817EF"/>
    <w:rsid w:val="001D00A7"/>
    <w:rsid w:val="001F225E"/>
    <w:rsid w:val="00232CB8"/>
    <w:rsid w:val="002926D1"/>
    <w:rsid w:val="003662BA"/>
    <w:rsid w:val="00415CCB"/>
    <w:rsid w:val="00435FC1"/>
    <w:rsid w:val="0045145A"/>
    <w:rsid w:val="00601EB5"/>
    <w:rsid w:val="0088333D"/>
    <w:rsid w:val="008B2257"/>
    <w:rsid w:val="00A545BF"/>
    <w:rsid w:val="00AE5B42"/>
    <w:rsid w:val="00B4602F"/>
    <w:rsid w:val="00C4611F"/>
    <w:rsid w:val="00D42C17"/>
    <w:rsid w:val="00D66C5B"/>
    <w:rsid w:val="00E001A1"/>
    <w:rsid w:val="00E53940"/>
    <w:rsid w:val="00EB0A93"/>
    <w:rsid w:val="00EB12FE"/>
    <w:rsid w:val="00ED02ED"/>
    <w:rsid w:val="00F470D2"/>
    <w:rsid w:val="00FF50BF"/>
    <w:rsid w:val="21936429"/>
    <w:rsid w:val="597A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A0343"/>
  <w15:docId w15:val="{7E61EF76-6BAC-4E1E-961E-34FCEEA4D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styleId="a7">
    <w:name w:val="Hyperlink"/>
    <w:basedOn w:val="a0"/>
    <w:uiPriority w:val="99"/>
    <w:unhideWhenUsed/>
    <w:rsid w:val="0088333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833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nbkuser</dc:creator>
  <cp:lastModifiedBy>a9098</cp:lastModifiedBy>
  <cp:revision>14</cp:revision>
  <dcterms:created xsi:type="dcterms:W3CDTF">2017-08-31T05:29:00Z</dcterms:created>
  <dcterms:modified xsi:type="dcterms:W3CDTF">2025-12-18T14:03:00Z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