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0C2A6" w14:textId="77777777" w:rsidR="000817EF" w:rsidRDefault="00C4611F">
      <w:pPr>
        <w:spacing w:line="360" w:lineRule="auto"/>
        <w:jc w:val="center"/>
        <w:rPr>
          <w:rFonts w:ascii="Arial" w:hAnsi="Arial" w:cs="Arial"/>
          <w:b/>
          <w:bCs/>
          <w:sz w:val="32"/>
          <w:szCs w:val="32"/>
        </w:rPr>
      </w:pPr>
      <w:r>
        <w:rPr>
          <w:rFonts w:ascii="Arial" w:hAnsi="Arial" w:cs="Arial" w:hint="eastAsia"/>
          <w:b/>
          <w:bCs/>
          <w:sz w:val="32"/>
          <w:szCs w:val="32"/>
        </w:rPr>
        <w:t>课程简介的中英文模板</w:t>
      </w:r>
    </w:p>
    <w:p w14:paraId="7AE6A99E" w14:textId="2E9E8DF0" w:rsidR="000817EF" w:rsidRDefault="0088333D" w:rsidP="0088333D">
      <w:pPr>
        <w:spacing w:line="360" w:lineRule="auto"/>
        <w:rPr>
          <w:rFonts w:ascii="Arial" w:hAnsi="Arial" w:cs="Arial"/>
          <w:bCs/>
          <w:szCs w:val="21"/>
        </w:rPr>
      </w:pPr>
      <w:r w:rsidRPr="0088333D">
        <w:rPr>
          <w:rFonts w:ascii="Arial" w:hAnsi="Arial" w:cs="Arial"/>
          <w:bCs/>
          <w:szCs w:val="21"/>
        </w:rPr>
        <w:t>基于</w:t>
      </w:r>
      <w:r w:rsidRPr="0088333D">
        <w:rPr>
          <w:rFonts w:ascii="Arial" w:hAnsi="Arial" w:cs="Arial"/>
          <w:bCs/>
          <w:szCs w:val="21"/>
        </w:rPr>
        <w:t>Roger Carter</w:t>
      </w:r>
      <w:r w:rsidRPr="0088333D">
        <w:rPr>
          <w:rFonts w:ascii="Arial" w:hAnsi="Arial" w:cs="Arial"/>
          <w:bCs/>
          <w:szCs w:val="21"/>
        </w:rPr>
        <w:t>的经典教材《</w:t>
      </w:r>
      <w:r w:rsidRPr="0088333D">
        <w:rPr>
          <w:rFonts w:ascii="Arial" w:hAnsi="Arial" w:cs="Arial"/>
          <w:bCs/>
          <w:szCs w:val="21"/>
        </w:rPr>
        <w:t>Lie algebras of finite and affine type</w:t>
      </w:r>
      <w:r w:rsidRPr="0088333D">
        <w:rPr>
          <w:rFonts w:ascii="Arial" w:hAnsi="Arial" w:cs="Arial"/>
          <w:bCs/>
          <w:szCs w:val="21"/>
        </w:rPr>
        <w:t>》，本讨论班将系统学习李代数理论的核心内容。课程涵盖第</w:t>
      </w:r>
      <w:r w:rsidRPr="0088333D">
        <w:rPr>
          <w:rFonts w:ascii="Arial" w:hAnsi="Arial" w:cs="Arial"/>
          <w:bCs/>
          <w:szCs w:val="21"/>
        </w:rPr>
        <w:t>1-10</w:t>
      </w:r>
      <w:r w:rsidRPr="0088333D">
        <w:rPr>
          <w:rFonts w:ascii="Arial" w:hAnsi="Arial" w:cs="Arial"/>
          <w:bCs/>
          <w:szCs w:val="21"/>
        </w:rPr>
        <w:t>章，从基本概念出发，深入探讨可解与幂零李代数的表示、</w:t>
      </w:r>
      <w:r w:rsidRPr="0088333D">
        <w:rPr>
          <w:rFonts w:ascii="Arial" w:hAnsi="Arial" w:cs="Arial"/>
          <w:bCs/>
          <w:szCs w:val="21"/>
        </w:rPr>
        <w:t>Cartan</w:t>
      </w:r>
      <w:r w:rsidRPr="0088333D">
        <w:rPr>
          <w:rFonts w:ascii="Arial" w:hAnsi="Arial" w:cs="Arial"/>
          <w:bCs/>
          <w:szCs w:val="21"/>
        </w:rPr>
        <w:t>子代数</w:t>
      </w:r>
      <w:r>
        <w:rPr>
          <w:rFonts w:ascii="Arial" w:hAnsi="Arial" w:cs="Arial" w:hint="eastAsia"/>
          <w:bCs/>
          <w:szCs w:val="21"/>
        </w:rPr>
        <w:t>、根系统与外耳群</w:t>
      </w:r>
      <w:r w:rsidRPr="0088333D">
        <w:rPr>
          <w:rFonts w:ascii="Arial" w:hAnsi="Arial" w:cs="Arial"/>
          <w:bCs/>
          <w:szCs w:val="21"/>
        </w:rPr>
        <w:t>等重要主题。通过小组讨论和问题研讨，学生将掌握有限维</w:t>
      </w:r>
      <w:r>
        <w:rPr>
          <w:rFonts w:ascii="Arial" w:hAnsi="Arial" w:cs="Arial" w:hint="eastAsia"/>
          <w:bCs/>
          <w:szCs w:val="21"/>
        </w:rPr>
        <w:t>复半单</w:t>
      </w:r>
      <w:r w:rsidRPr="0088333D">
        <w:rPr>
          <w:rFonts w:ascii="Arial" w:hAnsi="Arial" w:cs="Arial"/>
          <w:bCs/>
          <w:szCs w:val="21"/>
        </w:rPr>
        <w:t>李代数的结构与分类理论，理解其在数学和数学物理中的广泛应用。本课程适合对代数</w:t>
      </w:r>
      <w:r>
        <w:rPr>
          <w:rFonts w:ascii="Arial" w:hAnsi="Arial" w:cs="Arial" w:hint="eastAsia"/>
          <w:bCs/>
          <w:szCs w:val="21"/>
        </w:rPr>
        <w:t>学</w:t>
      </w:r>
      <w:r w:rsidRPr="0088333D">
        <w:rPr>
          <w:rFonts w:ascii="Arial" w:hAnsi="Arial" w:cs="Arial"/>
          <w:bCs/>
          <w:szCs w:val="21"/>
        </w:rPr>
        <w:t>有</w:t>
      </w:r>
      <w:r>
        <w:rPr>
          <w:rFonts w:ascii="Arial" w:hAnsi="Arial" w:cs="Arial" w:hint="eastAsia"/>
          <w:bCs/>
          <w:szCs w:val="21"/>
        </w:rPr>
        <w:t>兴趣</w:t>
      </w:r>
      <w:r w:rsidRPr="0088333D">
        <w:rPr>
          <w:rFonts w:ascii="Arial" w:hAnsi="Arial" w:cs="Arial"/>
          <w:bCs/>
          <w:szCs w:val="21"/>
        </w:rPr>
        <w:t>的学生，旨在培养代数结构的抽象思维能力。</w:t>
      </w:r>
    </w:p>
    <w:p w14:paraId="7E061EA9" w14:textId="77777777" w:rsidR="000817EF" w:rsidRDefault="000817EF">
      <w:pPr>
        <w:rPr>
          <w:rFonts w:ascii="Arial" w:hAnsi="Arial" w:cs="Arial"/>
          <w:szCs w:val="21"/>
        </w:rPr>
      </w:pPr>
    </w:p>
    <w:p w14:paraId="4BD33ACC" w14:textId="77777777" w:rsidR="000817EF" w:rsidRPr="0088333D" w:rsidRDefault="000817EF">
      <w:pPr>
        <w:spacing w:line="360" w:lineRule="auto"/>
        <w:rPr>
          <w:rFonts w:ascii="Arial" w:hAnsi="Arial" w:cs="Arial"/>
          <w:b/>
          <w:bCs/>
          <w:szCs w:val="21"/>
        </w:rPr>
      </w:pPr>
    </w:p>
    <w:p w14:paraId="2AC33920" w14:textId="420400C6" w:rsidR="000817EF" w:rsidRDefault="0088333D">
      <w:pPr>
        <w:spacing w:line="360" w:lineRule="auto"/>
        <w:rPr>
          <w:rFonts w:ascii="Arial" w:hAnsi="Arial" w:cs="Arial"/>
          <w:szCs w:val="21"/>
        </w:rPr>
      </w:pPr>
      <w:r w:rsidRPr="0088333D">
        <w:rPr>
          <w:rFonts w:ascii="Arial" w:hAnsi="Arial" w:cs="Arial"/>
          <w:szCs w:val="21"/>
        </w:rPr>
        <w:t>Based on Roger Carter's classic textbook "Lie Algebras of Finite and Affine Type," this seminar will systematically study the core content of Lie algebra theory. The course covers chapters 1-10, starting from basic concepts and delving deeply into important topics such as representations of solvable and nilpotent Lie algebras, Cartan subalgebras, root systems, and Weyl groups. Through group discussions and problem-solving sessions, students will master the structure and classification theory of finite-dimensional complex semisimple Lie algebras and understand their broad applications in mathematics and mathematical physics. This course is suitable for students with an interest in algebra and aims to cultivate abstract thinking skills in algebraic structures</w:t>
      </w:r>
    </w:p>
    <w:p w14:paraId="1E7350BA" w14:textId="77777777" w:rsidR="000817EF" w:rsidRDefault="000817EF"/>
    <w:p w14:paraId="48ECB537" w14:textId="77777777" w:rsidR="000817EF" w:rsidRDefault="000817EF"/>
    <w:p w14:paraId="3BF0E5AC" w14:textId="77777777" w:rsidR="00FF50BF" w:rsidRDefault="00FF50BF"/>
    <w:p w14:paraId="23A7BBD2" w14:textId="77777777" w:rsidR="00FF50BF" w:rsidRDefault="00FF50BF"/>
    <w:p w14:paraId="74DD33F0" w14:textId="77777777" w:rsidR="00FF50BF" w:rsidRDefault="00FF50BF"/>
    <w:p w14:paraId="651E776B" w14:textId="77777777" w:rsidR="00FF50BF" w:rsidRPr="00D42C17" w:rsidRDefault="00FF50BF" w:rsidP="00D42C17">
      <w:pPr>
        <w:spacing w:line="360" w:lineRule="auto"/>
        <w:rPr>
          <w:rFonts w:ascii="Arial" w:hAnsi="Arial" w:cs="Arial"/>
          <w:bCs/>
          <w:szCs w:val="21"/>
        </w:rPr>
      </w:pPr>
    </w:p>
    <w:p w14:paraId="5CD8402D" w14:textId="77777777" w:rsidR="00FF50BF" w:rsidRPr="00D42C17" w:rsidRDefault="00FF50BF" w:rsidP="00D42C17">
      <w:pPr>
        <w:spacing w:line="360" w:lineRule="auto"/>
        <w:rPr>
          <w:rFonts w:ascii="Arial" w:hAnsi="Arial" w:cs="Arial"/>
          <w:bCs/>
          <w:szCs w:val="21"/>
        </w:rPr>
      </w:pPr>
      <w:r w:rsidRPr="00D42C17">
        <w:rPr>
          <w:rFonts w:ascii="Arial" w:hAnsi="Arial" w:cs="Arial" w:hint="eastAsia"/>
          <w:bCs/>
          <w:szCs w:val="21"/>
        </w:rPr>
        <w:t>任课教师签名：</w:t>
      </w:r>
    </w:p>
    <w:p w14:paraId="6F22E54C" w14:textId="77777777" w:rsidR="0006799D" w:rsidRPr="00D42C17" w:rsidRDefault="0006799D" w:rsidP="00D42C17">
      <w:pPr>
        <w:spacing w:line="360" w:lineRule="auto"/>
        <w:rPr>
          <w:rFonts w:ascii="Arial" w:hAnsi="Arial" w:cs="Arial"/>
          <w:bCs/>
          <w:szCs w:val="21"/>
        </w:rPr>
      </w:pPr>
    </w:p>
    <w:p w14:paraId="28C3847B" w14:textId="77777777" w:rsidR="00FF50BF" w:rsidRPr="00D42C17" w:rsidRDefault="00E001A1" w:rsidP="00D42C17">
      <w:pPr>
        <w:spacing w:line="360" w:lineRule="auto"/>
        <w:rPr>
          <w:rFonts w:ascii="Arial" w:hAnsi="Arial" w:cs="Arial"/>
          <w:bCs/>
          <w:szCs w:val="21"/>
        </w:rPr>
      </w:pPr>
      <w:r w:rsidRPr="00D42C17">
        <w:rPr>
          <w:rFonts w:ascii="Arial" w:hAnsi="Arial" w:cs="Arial" w:hint="eastAsia"/>
          <w:bCs/>
          <w:szCs w:val="21"/>
        </w:rPr>
        <w:t>教学负责人</w:t>
      </w:r>
      <w:r w:rsidR="00FF50BF" w:rsidRPr="00D42C17">
        <w:rPr>
          <w:rFonts w:ascii="Arial" w:hAnsi="Arial" w:cs="Arial" w:hint="eastAsia"/>
          <w:bCs/>
          <w:szCs w:val="21"/>
        </w:rPr>
        <w:t>签名：</w:t>
      </w:r>
    </w:p>
    <w:p w14:paraId="6FBE1D80" w14:textId="77777777" w:rsidR="0006799D" w:rsidRPr="00D42C17" w:rsidRDefault="0006799D" w:rsidP="00D42C17">
      <w:pPr>
        <w:spacing w:line="360" w:lineRule="auto"/>
        <w:rPr>
          <w:rFonts w:ascii="Arial" w:hAnsi="Arial" w:cs="Arial"/>
          <w:bCs/>
          <w:szCs w:val="21"/>
        </w:rPr>
      </w:pPr>
    </w:p>
    <w:p w14:paraId="6B7EA7E4" w14:textId="77777777" w:rsidR="00FF50BF" w:rsidRPr="00D42C17" w:rsidRDefault="00FF50BF" w:rsidP="00D42C17">
      <w:pPr>
        <w:spacing w:line="360" w:lineRule="auto"/>
        <w:rPr>
          <w:rFonts w:ascii="Arial" w:hAnsi="Arial" w:cs="Arial"/>
          <w:bCs/>
          <w:szCs w:val="21"/>
        </w:rPr>
      </w:pPr>
      <w:r w:rsidRPr="00D42C17">
        <w:rPr>
          <w:rFonts w:ascii="Arial" w:hAnsi="Arial" w:cs="Arial" w:hint="eastAsia"/>
          <w:bCs/>
          <w:szCs w:val="21"/>
        </w:rPr>
        <w:t>日期：</w:t>
      </w:r>
    </w:p>
    <w:p w14:paraId="74FBC159" w14:textId="77777777" w:rsidR="00FF50BF" w:rsidRDefault="00FF50BF"/>
    <w:p w14:paraId="79356658" w14:textId="77777777" w:rsidR="00FF50BF" w:rsidRDefault="00FF50BF">
      <w:pPr>
        <w:rPr>
          <w:rFonts w:ascii="宋体" w:eastAsia="宋体" w:hAnsi="宋体" w:cs="宋体" w:hint="eastAsia"/>
          <w:color w:val="000000"/>
          <w:sz w:val="24"/>
          <w:szCs w:val="24"/>
        </w:rPr>
      </w:pPr>
      <w:r>
        <w:rPr>
          <w:rFonts w:ascii="宋体" w:eastAsia="宋体" w:hAnsi="宋体" w:cs="宋体" w:hint="eastAsia"/>
          <w:color w:val="000000"/>
          <w:sz w:val="24"/>
          <w:szCs w:val="24"/>
        </w:rPr>
        <w:t>备注：</w:t>
      </w:r>
    </w:p>
    <w:p w14:paraId="10A43748" w14:textId="77777777" w:rsidR="000817EF" w:rsidRDefault="00C4611F">
      <w:r>
        <w:rPr>
          <w:rFonts w:ascii="宋体" w:eastAsia="宋体" w:hAnsi="宋体" w:cs="宋体" w:hint="eastAsia"/>
          <w:color w:val="000000"/>
          <w:sz w:val="24"/>
          <w:szCs w:val="24"/>
        </w:rPr>
        <w:t>格式：中文使用宋体5号，英文使用Arial5号。注意中英文标点符号的格式准确。</w:t>
      </w:r>
    </w:p>
    <w:p w14:paraId="06E97BA2" w14:textId="77777777" w:rsidR="000817EF" w:rsidRDefault="000817EF"/>
    <w:sectPr w:rsidR="000817E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B4A39" w14:textId="77777777" w:rsidR="00A545BF" w:rsidRDefault="00A545BF" w:rsidP="00E53940">
      <w:r>
        <w:separator/>
      </w:r>
    </w:p>
  </w:endnote>
  <w:endnote w:type="continuationSeparator" w:id="0">
    <w:p w14:paraId="102DC268" w14:textId="77777777" w:rsidR="00A545BF" w:rsidRDefault="00A545BF" w:rsidP="00E5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70D4E" w14:textId="77777777" w:rsidR="00A545BF" w:rsidRDefault="00A545BF" w:rsidP="00E53940">
      <w:r>
        <w:separator/>
      </w:r>
    </w:p>
  </w:footnote>
  <w:footnote w:type="continuationSeparator" w:id="0">
    <w:p w14:paraId="5C94041A" w14:textId="77777777" w:rsidR="00A545BF" w:rsidRDefault="00A545BF" w:rsidP="00E539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70D2"/>
    <w:rsid w:val="0006799D"/>
    <w:rsid w:val="000817EF"/>
    <w:rsid w:val="001D00A7"/>
    <w:rsid w:val="001F225E"/>
    <w:rsid w:val="00232CB8"/>
    <w:rsid w:val="002926D1"/>
    <w:rsid w:val="003662BA"/>
    <w:rsid w:val="00415CCB"/>
    <w:rsid w:val="00435FC1"/>
    <w:rsid w:val="00601EB5"/>
    <w:rsid w:val="0088333D"/>
    <w:rsid w:val="00A545BF"/>
    <w:rsid w:val="00AE5B42"/>
    <w:rsid w:val="00B4602F"/>
    <w:rsid w:val="00C4611F"/>
    <w:rsid w:val="00D42C17"/>
    <w:rsid w:val="00E001A1"/>
    <w:rsid w:val="00E53940"/>
    <w:rsid w:val="00EB0A93"/>
    <w:rsid w:val="00EB12FE"/>
    <w:rsid w:val="00ED02ED"/>
    <w:rsid w:val="00F470D2"/>
    <w:rsid w:val="00FF50BF"/>
    <w:rsid w:val="21936429"/>
    <w:rsid w:val="597A1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A0343"/>
  <w15:docId w15:val="{7E61EF76-6BAC-4E1E-961E-34FCEEA4D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styleId="a7">
    <w:name w:val="Hyperlink"/>
    <w:basedOn w:val="a0"/>
    <w:uiPriority w:val="99"/>
    <w:unhideWhenUsed/>
    <w:rsid w:val="0088333D"/>
    <w:rPr>
      <w:color w:val="0000FF" w:themeColor="hyperlink"/>
      <w:u w:val="single"/>
    </w:rPr>
  </w:style>
  <w:style w:type="character" w:styleId="a8">
    <w:name w:val="Unresolved Mention"/>
    <w:basedOn w:val="a0"/>
    <w:uiPriority w:val="99"/>
    <w:semiHidden/>
    <w:unhideWhenUsed/>
    <w:rsid w:val="00883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161</Words>
  <Characters>919</Characters>
  <Application>Microsoft Office Word</Application>
  <DocSecurity>0</DocSecurity>
  <Lines>7</Lines>
  <Paragraphs>2</Paragraphs>
  <ScaleCrop>false</ScaleCrop>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nbkuser</dc:creator>
  <cp:lastModifiedBy>a9098</cp:lastModifiedBy>
  <cp:revision>13</cp:revision>
  <dcterms:created xsi:type="dcterms:W3CDTF">2017-08-31T05:29:00Z</dcterms:created>
  <dcterms:modified xsi:type="dcterms:W3CDTF">2025-11-03T13:38:00Z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