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B3A2A"/>
          <w:sz w:val="52"/>
        </w:rPr>
        <w:t>镜场计划｜Janet 影像参考室</w:t>
      </w:r>
    </w:p>
    <w:p>
      <w:pPr>
        <w:jc w:val="center"/>
      </w:pPr>
      <w:r>
        <w:rPr>
          <w:rFonts w:ascii="Noto Sans CJK SC" w:hAnsi="Noto Sans CJK SC" w:eastAsia="Noto Sans CJK SC"/>
          <w:color w:val="C28A37"/>
          <w:sz w:val="30"/>
        </w:rPr>
        <w:t>可视化执行路线图：接下来要建立什么、怎么做、先做哪一步</w:t>
      </w:r>
    </w:p>
    <w:p>
      <w:pPr>
        <w:spacing w:line="276" w:lineRule="auto"/>
      </w:pPr>
      <w:r>
        <w:rPr>
          <w:rFonts w:ascii="Noto Sans CJK SC" w:hAnsi="Noto Sans CJK SC" w:eastAsia="Noto Sans CJK SC"/>
          <w:b w:val="0"/>
          <w:i w:val="0"/>
          <w:color w:val="272A26"/>
          <w:sz w:val="21"/>
        </w:rPr>
        <w:t>用途：把《镜场计划》和《Janet影像参考室：电影视觉分析与 GPT Image2 安全转译研究报告》里的方法链，转成可执行的产品、数据、页面、生成、审核和测试工作流。</w:t>
      </w:r>
    </w:p>
    <w:p>
      <w:r>
        <w:drawing>
          <wp:inline xmlns:a="http://schemas.openxmlformats.org/drawingml/2006/main" xmlns:pic="http://schemas.openxmlformats.org/drawingml/2006/picture">
            <wp:extent cx="6492240" cy="2596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96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</w:pPr>
      <w:r>
        <w:rPr>
          <w:rFonts w:ascii="Noto Sans CJK SC" w:hAnsi="Noto Sans CJK SC" w:eastAsia="Noto Sans CJK SC"/>
          <w:b/>
          <w:i w:val="0"/>
          <w:color w:val="272A26"/>
          <w:sz w:val="21"/>
        </w:rPr>
        <w:t>一句话方向：先做“可看、可写、可审、可追溯”的最小系统，再扩成案例库、Prompt Builder、生成评审闭环和用户建议入口。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B3A2A"/>
        </w:rPr>
        <w:t>1. 先把目标说清楚：这不是再写一份报告</w:t>
      </w:r>
    </w:p>
    <w:p>
      <w:pPr>
        <w:spacing w:line="276" w:lineRule="auto"/>
      </w:pPr>
      <w:r>
        <w:rPr>
          <w:rFonts w:ascii="Noto Sans CJK SC" w:hAnsi="Noto Sans CJK SC" w:eastAsia="Noto Sans CJK SC"/>
          <w:b w:val="0"/>
          <w:i w:val="0"/>
          <w:color w:val="272A26"/>
          <w:sz w:val="21"/>
        </w:rPr>
        <w:t>两份文档已经把“为什么做”和“方法论”讲清楚了。现在要进入执行层：建立一个能被网站承载、能持续录入、能生成图片、能审核风险、能沉淀案例的产品模块。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456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决定</w:t>
            </w:r>
          </w:p>
        </w:tc>
        <w:tc>
          <w:tcPr>
            <w:tcW w:type="dxa" w:w="3456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执行解释</w:t>
            </w:r>
          </w:p>
        </w:tc>
      </w:tr>
      <w:tr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产品名称</w:t>
            </w:r>
          </w:p>
        </w:tc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镜场计划 / Janet 影像参考室</w:t>
            </w:r>
          </w:p>
        </w:tc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iGPT-Image2 手册下的新单元，但产品感更强。</w:t>
            </w:r>
          </w:p>
        </w:tc>
      </w:tr>
      <w:tr>
        <w:tc>
          <w:tcPr>
            <w:tcW w:type="dxa" w:w="3456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核心链路</w:t>
            </w:r>
          </w:p>
        </w:tc>
        <w:tc>
          <w:tcPr>
            <w:tcW w:type="dxa" w:w="3456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拉片分析 → 风格反推 → 镜头拆解 → 关键帧生成 → 合规发布</w:t>
            </w:r>
          </w:p>
        </w:tc>
        <w:tc>
          <w:tcPr>
            <w:tcW w:type="dxa" w:w="3456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所有页面、数据表和模板都围绕这条链路。</w:t>
            </w:r>
          </w:p>
        </w:tc>
      </w:tr>
      <w:tr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第一目标</w:t>
            </w:r>
          </w:p>
        </w:tc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建立可复用的“描述性转译系统”</w:t>
            </w:r>
          </w:p>
        </w:tc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不做导演名一键模仿，不做剧照复刻。</w:t>
            </w:r>
          </w:p>
        </w:tc>
      </w:tr>
      <w:tr>
        <w:tc>
          <w:tcPr>
            <w:tcW w:type="dxa" w:w="3456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第一批内容</w:t>
            </w:r>
          </w:p>
        </w:tc>
        <w:tc>
          <w:tcPr>
            <w:tcW w:type="dxa" w:w="3456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姜文 / 王家卫 / 宁浩样板 + 类型片首尾帧模板</w:t>
            </w:r>
          </w:p>
        </w:tc>
        <w:tc>
          <w:tcPr>
            <w:tcW w:type="dxa" w:w="3456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导演名只做内部研究索引，对外用描述性语言。</w:t>
            </w:r>
          </w:p>
        </w:tc>
      </w:tr>
      <w:tr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第一批功能</w:t>
            </w:r>
          </w:p>
        </w:tc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静态内容页 + 拉片表 + Prompt Builder + 审核表</w:t>
            </w:r>
          </w:p>
        </w:tc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自动生成可以放到第二阶段，不要一开始就做大而全。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1B3A2A"/>
        </w:rPr>
        <w:t>2. 你接下来真正要建立的 6 个东西</w:t>
      </w:r>
    </w:p>
    <w:p>
      <w:pPr>
        <w:pStyle w:val="ListBullet"/>
      </w:pPr>
      <w:r>
        <w:rPr>
          <w:rFonts w:ascii="Noto Sans CJK SC" w:hAnsi="Noto Sans CJK SC" w:eastAsia="Noto Sans CJK SC"/>
          <w:color w:val="272A26"/>
          <w:sz w:val="20"/>
        </w:rPr>
        <w:t>一个网站新模块：/cinematic-lab/，用于承载方法论、案例、模板、审核说明。</w:t>
      </w:r>
    </w:p>
    <w:p>
      <w:pPr>
        <w:pStyle w:val="ListBullet"/>
      </w:pPr>
      <w:r>
        <w:rPr>
          <w:rFonts w:ascii="Noto Sans CJK SC" w:hAnsi="Noto Sans CJK SC" w:eastAsia="Noto Sans CJK SC"/>
          <w:color w:val="272A26"/>
          <w:sz w:val="20"/>
        </w:rPr>
        <w:t>一套数据结构：来源、视觉分析、Prompt 模板、生成记录、审核记录。</w:t>
      </w:r>
    </w:p>
    <w:p>
      <w:pPr>
        <w:pStyle w:val="ListBullet"/>
      </w:pPr>
      <w:r>
        <w:rPr>
          <w:rFonts w:ascii="Noto Sans CJK SC" w:hAnsi="Noto Sans CJK SC" w:eastAsia="Noto Sans CJK SC"/>
          <w:color w:val="272A26"/>
          <w:sz w:val="20"/>
        </w:rPr>
        <w:t>一套工作流表单：拉片观察表、七层分析表、描述性转译表、首尾帧表。</w:t>
      </w:r>
    </w:p>
    <w:p>
      <w:pPr>
        <w:pStyle w:val="ListBullet"/>
      </w:pPr>
      <w:r>
        <w:rPr>
          <w:rFonts w:ascii="Noto Sans CJK SC" w:hAnsi="Noto Sans CJK SC" w:eastAsia="Noto Sans CJK SC"/>
          <w:color w:val="272A26"/>
          <w:sz w:val="20"/>
        </w:rPr>
        <w:t>一个 Prompt Builder：按字段拼装提示词，自动加入保持项、变化项和禁止项。</w:t>
      </w:r>
    </w:p>
    <w:p>
      <w:pPr>
        <w:pStyle w:val="ListBullet"/>
      </w:pPr>
      <w:r>
        <w:rPr>
          <w:rFonts w:ascii="Noto Sans CJK SC" w:hAnsi="Noto Sans CJK SC" w:eastAsia="Noto Sans CJK SC"/>
          <w:color w:val="272A26"/>
          <w:sz w:val="20"/>
        </w:rPr>
        <w:t>一个生成与评审闭环：生成 A/B 变体，人工评分，通过后入库。</w:t>
      </w:r>
    </w:p>
    <w:p>
      <w:pPr>
        <w:pStyle w:val="ListBullet"/>
      </w:pPr>
      <w:r>
        <w:rPr>
          <w:rFonts w:ascii="Noto Sans CJK SC" w:hAnsi="Noto Sans CJK SC" w:eastAsia="Noto Sans CJK SC"/>
          <w:color w:val="272A26"/>
          <w:sz w:val="20"/>
        </w:rPr>
        <w:t>一套实验验证系统：H1-H4 先验证模型是否真能理解调色、七层框架、安全转译。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B3A2A"/>
        </w:rPr>
        <w:t>3. 主流程图：从一张参考图到一个公开案例</w:t>
      </w:r>
    </w:p>
    <w:p>
      <w:r>
        <w:drawing>
          <wp:inline xmlns:a="http://schemas.openxmlformats.org/drawingml/2006/main" xmlns:pic="http://schemas.openxmlformats.org/drawingml/2006/picture">
            <wp:extent cx="6675120" cy="2670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670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</w:pPr>
      <w:r>
        <w:rPr>
          <w:rFonts w:ascii="Noto Sans CJK SC" w:hAnsi="Noto Sans CJK SC" w:eastAsia="Noto Sans CJK SC"/>
          <w:b w:val="0"/>
          <w:i w:val="0"/>
          <w:color w:val="272A26"/>
          <w:sz w:val="21"/>
        </w:rPr>
        <w:t>执行重点：每一步都要留下“可保存的数据”。不要只靠一段好看的 prompt。真正能产品化的是来源、观察、分析、prompt、生成、审核、发布之间的链路。</w:t>
      </w:r>
    </w:p>
    <w:p>
      <w:pPr>
        <w:pStyle w:val="Heading1"/>
      </w:pPr>
      <w:r>
        <w:rPr>
          <w:rFonts w:ascii="Noto Sans CJK SC" w:hAnsi="Noto Sans CJK SC" w:eastAsia="Noto Sans CJK SC"/>
          <w:color w:val="1B3A2A"/>
        </w:rPr>
        <w:t>4. 产品页面结构：网站上要建哪些页面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2592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路径建议</w:t>
            </w:r>
          </w:p>
        </w:tc>
        <w:tc>
          <w:tcPr>
            <w:tcW w:type="dxa" w:w="2592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内容模块</w:t>
            </w:r>
          </w:p>
        </w:tc>
        <w:tc>
          <w:tcPr>
            <w:tcW w:type="dxa" w:w="2592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页面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路径建议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内容模块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优先级</w:t>
            </w:r>
          </w:p>
        </w:tc>
      </w:tr>
      <w:tr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总览页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/cinematic-lab/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项目定位、主流程、七层框架、入口卡片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P0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方法论页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/cinematic-lab/method.html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风格反推三层：观察 → 转译 → 改造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P0</w:t>
            </w:r>
          </w:p>
        </w:tc>
      </w:tr>
      <w:tr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Prompt Builder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/cinematic-lab/prompt-builder.html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用途、场景、主体、构图、光线、色彩、道具、保持项、禁止项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P0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样板研究页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/cinematic-lab/styles.html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姜文/王家卫/宁浩样板，内部标签 + 对外安全转译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P1</w:t>
            </w:r>
          </w:p>
        </w:tc>
      </w:tr>
      <w:tr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首尾帧工作流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/cinematic-lab/keyframes.html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剧情段落 → 首帧 → 尾帧 → 中间关键帧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P1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案例详情页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/cinematic-lab/cases/[slug].html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来源摘要、七层拆解、Prompt、生成图、审核结论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P1</w:t>
            </w:r>
          </w:p>
        </w:tc>
      </w:tr>
      <w:tr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审核规范页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/cinematic-lab/safety.html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禁用词、合规红线、AI 标识、来源台账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P0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实验记录页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/cinematic-lab/tests.html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H1-H4 测试进度、样张、评分、结论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P2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B3A2A"/>
        </w:rPr>
        <w:t>5. 工程架构：GitHub Pages、Supabase、OpenAI 怎么分工</w:t>
      </w:r>
    </w:p>
    <w:p>
      <w:r>
        <w:drawing>
          <wp:inline xmlns:a="http://schemas.openxmlformats.org/drawingml/2006/main" xmlns:pic="http://schemas.openxmlformats.org/drawingml/2006/picture">
            <wp:extent cx="6583680" cy="37856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</w:pPr>
      <w:r>
        <w:rPr>
          <w:rFonts w:ascii="Noto Sans CJK SC" w:hAnsi="Noto Sans CJK SC" w:eastAsia="Noto Sans CJK SC"/>
          <w:b/>
          <w:i w:val="0"/>
          <w:color w:val="272A26"/>
          <w:sz w:val="21"/>
        </w:rPr>
        <w:t>不要把 OpenAI Key 或 Supabase secret key 放进前端。GitHub Pages 只放公开页面和静态脚本；用户数据、模板、审核状态、图片私有存储放 Supabase；真正调用生成模型的动作放 Edge Function 或受控后端。</w:t>
      </w:r>
    </w:p>
    <w:p>
      <w:pPr>
        <w:pStyle w:val="Heading1"/>
      </w:pPr>
      <w:r>
        <w:rPr>
          <w:rFonts w:ascii="Noto Sans CJK SC" w:hAnsi="Noto Sans CJK SC" w:eastAsia="Noto Sans CJK SC"/>
          <w:color w:val="1B3A2A"/>
        </w:rPr>
        <w:t>6. 最小数据结构：先建 5 张表</w:t>
      </w:r>
    </w:p>
    <w:p>
      <w:r>
        <w:drawing>
          <wp:inline xmlns:a="http://schemas.openxmlformats.org/drawingml/2006/main" xmlns:pic="http://schemas.openxmlformats.org/drawingml/2006/picture">
            <wp:extent cx="6583680" cy="41825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825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</w:t>
            </w:r>
          </w:p>
        </w:tc>
        <w:tc>
          <w:tcPr>
            <w:tcW w:type="dxa" w:w="3456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456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为什么必须有</w:t>
            </w:r>
          </w:p>
        </w:tc>
      </w:tr>
      <w:tr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sources</w:t>
            </w:r>
          </w:p>
        </w:tc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记录参考来源、时间码、权利备注、参考帧路径</w:t>
            </w:r>
          </w:p>
        </w:tc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保证每个案例可追溯。</w:t>
            </w:r>
          </w:p>
        </w:tc>
      </w:tr>
      <w:tr>
        <w:tc>
          <w:tcPr>
            <w:tcW w:type="dxa" w:w="3456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style_analyses</w:t>
            </w:r>
          </w:p>
        </w:tc>
        <w:tc>
          <w:tcPr>
            <w:tcW w:type="dxa" w:w="3456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记录七层拆解 + 连续性要求</w:t>
            </w:r>
          </w:p>
        </w:tc>
        <w:tc>
          <w:tcPr>
            <w:tcW w:type="dxa" w:w="3456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把“感觉”变成结构化字段。</w:t>
            </w:r>
          </w:p>
        </w:tc>
      </w:tr>
      <w:tr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prompt_templates</w:t>
            </w:r>
          </w:p>
        </w:tc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记录用途、保持项、变化项、禁止项、可公开 prompt</w:t>
            </w:r>
          </w:p>
        </w:tc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让模板可复用。</w:t>
            </w:r>
          </w:p>
        </w:tc>
      </w:tr>
      <w:tr>
        <w:tc>
          <w:tcPr>
            <w:tcW w:type="dxa" w:w="3456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generations</w:t>
            </w:r>
          </w:p>
        </w:tc>
        <w:tc>
          <w:tcPr>
            <w:tcW w:type="dxa" w:w="3456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记录模型、质量、尺寸、版本组、图片路径、状态</w:t>
            </w:r>
          </w:p>
        </w:tc>
        <w:tc>
          <w:tcPr>
            <w:tcW w:type="dxa" w:w="3456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用于 A/B 测试和回滚。</w:t>
            </w:r>
          </w:p>
        </w:tc>
      </w:tr>
      <w:tr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review_logs</w:t>
            </w:r>
          </w:p>
        </w:tc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记录评分、风险标签、通过/驳回、审核人</w:t>
            </w:r>
          </w:p>
        </w:tc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公开前必须有审核结论。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B3A2A"/>
        </w:rPr>
        <w:t>7. 四阶段路线图：先做小闭环，再做自动化</w:t>
      </w:r>
    </w:p>
    <w:p>
      <w:r>
        <w:drawing>
          <wp:inline xmlns:a="http://schemas.openxmlformats.org/drawingml/2006/main" xmlns:pic="http://schemas.openxmlformats.org/drawingml/2006/picture">
            <wp:extent cx="6492240" cy="35707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707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56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本阶段目标</w:t>
            </w:r>
          </w:p>
        </w:tc>
        <w:tc>
          <w:tcPr>
            <w:tcW w:type="dxa" w:w="3456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完成标志</w:t>
            </w:r>
          </w:p>
        </w:tc>
      </w:tr>
      <w:tr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阶段</w:t>
            </w:r>
          </w:p>
        </w:tc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本阶段目标</w:t>
            </w:r>
          </w:p>
        </w:tc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完成标志</w:t>
            </w:r>
          </w:p>
        </w:tc>
      </w:tr>
      <w:tr>
        <w:tc>
          <w:tcPr>
            <w:tcW w:type="dxa" w:w="3456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S0 准备</w:t>
            </w:r>
          </w:p>
        </w:tc>
        <w:tc>
          <w:tcPr>
            <w:tcW w:type="dxa" w:w="3456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确定命名、边界、目录、字段、合规红线</w:t>
            </w:r>
          </w:p>
        </w:tc>
        <w:tc>
          <w:tcPr>
            <w:tcW w:type="dxa" w:w="3456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能手工填写 1 条完整风格分析记录。</w:t>
            </w:r>
          </w:p>
        </w:tc>
      </w:tr>
      <w:tr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S1 MVP</w:t>
            </w:r>
          </w:p>
        </w:tc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做出静态页面 + 三张核心表单 + Prompt Builder 初版</w:t>
            </w:r>
          </w:p>
        </w:tc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能从一张参考图产出安全 prompt。</w:t>
            </w:r>
          </w:p>
        </w:tc>
      </w:tr>
      <w:tr>
        <w:tc>
          <w:tcPr>
            <w:tcW w:type="dxa" w:w="3456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S2 验证</w:t>
            </w:r>
          </w:p>
        </w:tc>
        <w:tc>
          <w:tcPr>
            <w:tcW w:type="dxa" w:w="3456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跑 H1-H4，建立能力分级和失败案例库</w:t>
            </w:r>
          </w:p>
        </w:tc>
        <w:tc>
          <w:tcPr>
            <w:tcW w:type="dxa" w:w="3456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知道哪些词模型稳定理解，哪些不稳定。</w:t>
            </w:r>
          </w:p>
        </w:tc>
      </w:tr>
      <w:tr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S3 灰度上线</w:t>
            </w:r>
          </w:p>
        </w:tc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接 Supabase、生成记录、评审状态、首批案例公开</w:t>
            </w:r>
          </w:p>
        </w:tc>
        <w:tc>
          <w:tcPr>
            <w:tcW w:type="dxa" w:w="3456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能从后台录入、生成、审核、发布一条案例。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1B3A2A"/>
        </w:rPr>
        <w:t>8. 角色泳道：每个人具体做什么</w:t>
      </w:r>
    </w:p>
    <w:p>
      <w:r>
        <w:drawing>
          <wp:inline xmlns:a="http://schemas.openxmlformats.org/drawingml/2006/main" xmlns:pic="http://schemas.openxmlformats.org/drawingml/2006/picture">
            <wp:extent cx="6583680" cy="38727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mla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72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</w:pPr>
      <w:r>
        <w:rPr>
          <w:rFonts w:ascii="Noto Sans CJK SC" w:hAnsi="Noto Sans CJK SC" w:eastAsia="Noto Sans CJK SC"/>
          <w:b w:val="0"/>
          <w:i w:val="0"/>
          <w:color w:val="272A26"/>
          <w:sz w:val="21"/>
        </w:rPr>
        <w:t>如果只有你一个人做，也按这四个角色切换工作：先当内容策划填表，再当工程经理拆页面，再当审核员看风险，最后当用户检查学习路径是否顺。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B3A2A"/>
        </w:rPr>
        <w:t>9. 内容生产 SOP：每一条案例怎么做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592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592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产物</w:t>
            </w:r>
          </w:p>
        </w:tc>
        <w:tc>
          <w:tcPr>
            <w:tcW w:type="dxa" w:w="2592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注意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步骤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操作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产物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注意</w:t>
            </w:r>
          </w:p>
        </w:tc>
      </w:tr>
      <w:tr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1. 选题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选一部片/一段风格/一种类型片场景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source 草稿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只做研究索引，不作为对外 prompt。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2. 截帧/记录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记录作品名、时间码、截图路径、权利备注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sources 记录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参考帧默认私有，不公开散发。</w:t>
            </w:r>
          </w:p>
        </w:tc>
      </w:tr>
      <w:tr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3. 七层观察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填色彩、光线、构图、镜头、美术、人物、质感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style_analysis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避免“很高级/很电影感”这类空词。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4. 改造成原创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列保持项、变化项、禁止项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改造清单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把具体电影场景换成原创场景。</w:t>
            </w:r>
          </w:p>
        </w:tc>
      </w:tr>
      <w:tr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5. 写 Prompt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按模板生成首帧/尾帧/关键帧 prompt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prompt_template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对外 prompt 不出现导演/电影/演员/角色/品牌名。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6. 生成变体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每组只改一个变量，生成 A/B/C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generations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记录模型、质量、尺寸、版本。</w:t>
            </w:r>
          </w:p>
        </w:tc>
      </w:tr>
      <w:tr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7. 人工评审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按色彩/构图/情绪/连续性/合规评分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review_log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踩线即驳回，不靠“好看”通过。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8. 入库发布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通过案例写成公开页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case page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带 AI 标识、方法说明、禁止事项。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1B3A2A"/>
        </w:rPr>
        <w:t>10. 三张必须先做的表单</w:t>
      </w:r>
    </w:p>
    <w:p>
      <w:pPr>
        <w:spacing w:line="276" w:lineRule="auto"/>
      </w:pPr>
      <w:r>
        <w:rPr>
          <w:rFonts w:ascii="Noto Sans CJK SC" w:hAnsi="Noto Sans CJK SC" w:eastAsia="Noto Sans CJK SC"/>
          <w:b w:val="0"/>
          <w:i w:val="0"/>
          <w:color w:val="272A26"/>
          <w:sz w:val="21"/>
        </w:rPr>
        <w:t>这三张表单是 MVP 的核心。只要它们能跑通，后面无论做静态站、Supabase 后台还是自动生成，都只是工程化。</w:t>
      </w:r>
    </w:p>
    <w:p>
      <w:pPr>
        <w:spacing w:line="276" w:lineRule="auto"/>
      </w:pPr>
      <w:r>
        <w:rPr>
          <w:rFonts w:ascii="Noto Sans CJK SC" w:hAnsi="Noto Sans CJK SC" w:eastAsia="Noto Sans CJK SC"/>
          <w:b/>
          <w:i w:val="0"/>
          <w:color w:val="272A26"/>
          <w:sz w:val="21"/>
        </w:rPr>
        <w:t>A. 拉片观察表</w:t>
      </w:r>
    </w:p>
    <w:p>
      <w:pPr>
        <w:pStyle w:val="ListBullet"/>
      </w:pPr>
      <w:r>
        <w:rPr>
          <w:rFonts w:ascii="Noto Sans CJK SC" w:hAnsi="Noto Sans CJK SC" w:eastAsia="Noto Sans CJK SC"/>
          <w:color w:val="272A26"/>
          <w:sz w:val="20"/>
        </w:rPr>
        <w:t>来源 / 时间码 / 画面截图 / 色彩 / 光线 / 构图 / 镜头痕迹 / 道具 / 人物 / 质感 / 一句话总结</w:t>
      </w:r>
    </w:p>
    <w:p>
      <w:pPr>
        <w:spacing w:line="276" w:lineRule="auto"/>
      </w:pPr>
      <w:r>
        <w:rPr>
          <w:rFonts w:ascii="Noto Sans CJK SC" w:hAnsi="Noto Sans CJK SC" w:eastAsia="Noto Sans CJK SC"/>
          <w:b/>
          <w:i w:val="0"/>
          <w:color w:val="272A26"/>
          <w:sz w:val="21"/>
        </w:rPr>
        <w:t>B. 安全转译表</w:t>
      </w:r>
    </w:p>
    <w:p>
      <w:pPr>
        <w:pStyle w:val="ListBullet"/>
      </w:pPr>
      <w:r>
        <w:rPr>
          <w:rFonts w:ascii="Noto Sans CJK SC" w:hAnsi="Noto Sans CJK SC" w:eastAsia="Noto Sans CJK SC"/>
          <w:color w:val="272A26"/>
          <w:sz w:val="20"/>
        </w:rPr>
        <w:t>内部参考标签 / 保留特征 / 替换场景 / 替换人物 / 禁用元素 / 描述性转译 / 可公开 Prompt</w:t>
      </w:r>
    </w:p>
    <w:p>
      <w:pPr>
        <w:spacing w:line="276" w:lineRule="auto"/>
      </w:pPr>
      <w:r>
        <w:rPr>
          <w:rFonts w:ascii="Noto Sans CJK SC" w:hAnsi="Noto Sans CJK SC" w:eastAsia="Noto Sans CJK SC"/>
          <w:b/>
          <w:i w:val="0"/>
          <w:color w:val="272A26"/>
          <w:sz w:val="21"/>
        </w:rPr>
        <w:t>C. 首尾帧表</w:t>
      </w:r>
    </w:p>
    <w:p>
      <w:pPr>
        <w:pStyle w:val="ListBullet"/>
      </w:pPr>
      <w:r>
        <w:rPr>
          <w:rFonts w:ascii="Noto Sans CJK SC" w:hAnsi="Noto Sans CJK SC" w:eastAsia="Noto Sans CJK SC"/>
          <w:color w:val="272A26"/>
          <w:sz w:val="20"/>
        </w:rPr>
        <w:t>剧情目标 / 场景功能 / 角色不变量 / 空间不变量 / 镜头不变量 / 首帧 / 尾帧 / 中间关键帧 / 禁止项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B3A2A"/>
        </w:rPr>
        <w:t>11. Prompt Builder 字段设计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592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592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界面形式</w:t>
            </w:r>
          </w:p>
        </w:tc>
        <w:tc>
          <w:tcPr>
            <w:tcW w:type="dxa" w:w="2592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输出到 Prompt 的位置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模块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字段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界面形式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输出到 Prompt 的位置</w:t>
            </w:r>
          </w:p>
        </w:tc>
      </w:tr>
      <w:tr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用途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首帧/尾帧/关键帧/海报/分镜预演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下拉选择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开头，决定画面目标。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场景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地点、时代、天气、时间、空间尺度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多行文本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第一段，建立空间。</w:t>
            </w:r>
          </w:p>
        </w:tc>
      </w:tr>
      <w:tr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人物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年龄区间、服装材质、动作、视线、关系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多行文本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第二段，建立主体。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构图/机位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景别、角度、前景遮挡、框中框、负空间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标签 + 文本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第三段，控制画面。</w:t>
            </w:r>
          </w:p>
        </w:tc>
      </w:tr>
      <w:tr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光线/色彩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光源方向、硬软、暗部/中灰/高光、主色/点色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多字段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第四段，控制 look。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材质/道具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关键道具、磨损、年代感、叙事功能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多行文本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第五段，增加叙事细节。</w:t>
            </w:r>
          </w:p>
        </w:tc>
      </w:tr>
      <w:tr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保持不变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角色、服装、场景几何、机位、主体位置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复选 + 文本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每次生成都重复写。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禁止项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导演名、电影名、演员名、logo、明星脸、剧照构图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固定模板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结尾，做合规约束。</w:t>
            </w:r>
          </w:p>
        </w:tc>
      </w:tr>
    </w:tbl>
    <w:p>
      <w:pPr>
        <w:spacing w:line="276" w:lineRule="auto"/>
      </w:pPr>
      <w:r>
        <w:rPr>
          <w:rFonts w:ascii="Noto Sans CJK SC" w:hAnsi="Noto Sans CJK SC" w:eastAsia="Noto Sans CJK SC"/>
          <w:b/>
          <w:i w:val="0"/>
          <w:color w:val="272A26"/>
          <w:sz w:val="21"/>
        </w:rPr>
        <w:t>Prompt Builder 的关键不是“帮用户写华丽句子”，而是强迫用户先填不变量、变化项、禁止项。这个结构决定了后续生成能不能稳定、能不能审核。</w:t>
      </w:r>
    </w:p>
    <w:p>
      <w:pPr>
        <w:pStyle w:val="Heading1"/>
      </w:pPr>
      <w:r>
        <w:rPr>
          <w:rFonts w:ascii="Noto Sans CJK SC" w:hAnsi="Noto Sans CJK SC" w:eastAsia="Noto Sans CJK SC"/>
          <w:color w:val="1B3A2A"/>
        </w:rPr>
        <w:t>12. 实验验证：先测什么，不要一上来做大案例库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假设</w:t>
            </w:r>
          </w:p>
        </w:tc>
        <w:tc>
          <w:tcPr>
            <w:tcW w:type="dxa" w:w="2592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要验证的问题</w:t>
            </w:r>
          </w:p>
        </w:tc>
        <w:tc>
          <w:tcPr>
            <w:tcW w:type="dxa" w:w="2592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最小测试</w:t>
            </w:r>
          </w:p>
        </w:tc>
        <w:tc>
          <w:tcPr>
            <w:tcW w:type="dxa" w:w="2592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通过线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假设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要验证的问题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最小测试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通过线</w:t>
            </w:r>
          </w:p>
        </w:tc>
      </w:tr>
      <w:tr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H1 调色术语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模型是否理解暗部/中灰/高光、Lift/Gamma/Gain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12 组单变量，每组 3 张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方向正确率 &gt; 75%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H2 七层框架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七层字段是否造成可感知差异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每层做 A/B 对照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reviewer 能说出差异</w:t>
            </w:r>
          </w:p>
        </w:tc>
      </w:tr>
      <w:tr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H3 描述性转译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描述性 prompt 是否不输导演名直写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3 样板 × 3 场景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B组 ≥ A组 85%，且更合规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H4 安全转译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去掉导演/电影/演员名后是否更稳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危险/隐性/安全 prompt 对照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安全组拒绝率最低</w:t>
            </w:r>
          </w:p>
        </w:tc>
      </w:tr>
      <w:tr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H5 跨模型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同一套模板能否迁移到其他模型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V2 后做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先不进入 MVP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B3A2A"/>
        </w:rPr>
        <w:t>13. 第一批内容怎么排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批次</w:t>
            </w:r>
          </w:p>
        </w:tc>
        <w:tc>
          <w:tcPr>
            <w:tcW w:type="dxa" w:w="2592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592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2592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批次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内容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目的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交付物</w:t>
            </w:r>
          </w:p>
        </w:tc>
      </w:tr>
      <w:tr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第1批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总览 + 方法论 + Prompt Builder + 审核规范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先让用户知道这是什么、怎么用、不能做什么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4 个静态页面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第2批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姜文/王家卫/宁浩样板各 1 条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展示“导演名 → 描述性转译”的方法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3 条 style_analysis + 3 个案例页</w:t>
            </w:r>
          </w:p>
        </w:tc>
      </w:tr>
      <w:tr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第3批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首尾帧模板：都市爱情、公路片、犯罪剧情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证明它能服务短剧/长剧/电影开发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3 套模板 + 生成样张</w:t>
            </w:r>
          </w:p>
        </w:tc>
      </w:tr>
      <w:tr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第4批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H1-H4 测试记录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建立可信度，不空喊“电影感”</w:t>
            </w:r>
          </w:p>
        </w:tc>
        <w:tc>
          <w:tcPr>
            <w:tcW w:type="dxa" w:w="2592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测试页 + 评分表</w:t>
            </w:r>
          </w:p>
        </w:tc>
      </w:tr>
      <w:tr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第5批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用户建议入口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让用户提交导演/类型片/场景建议</w:t>
            </w:r>
          </w:p>
        </w:tc>
        <w:tc>
          <w:tcPr>
            <w:tcW w:type="dxa" w:w="2592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表单 + 审核流程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1B3A2A"/>
        </w:rPr>
        <w:t>14. 给 Codex 的任务拆解清单</w:t>
      </w:r>
    </w:p>
    <w:p>
      <w:pPr>
        <w:pStyle w:val="ListBullet"/>
      </w:pPr>
      <w:r>
        <w:rPr>
          <w:rFonts w:ascii="Noto Sans CJK SC" w:hAnsi="Noto Sans CJK SC" w:eastAsia="Noto Sans CJK SC"/>
          <w:color w:val="272A26"/>
          <w:sz w:val="20"/>
        </w:rPr>
        <w:t>新增 /cinematic-lab/ 静态模块，不改 iGPT-Image2 手册原有结构，只加入口。</w:t>
      </w:r>
    </w:p>
    <w:p>
      <w:pPr>
        <w:pStyle w:val="ListBullet"/>
      </w:pPr>
      <w:r>
        <w:rPr>
          <w:rFonts w:ascii="Noto Sans CJK SC" w:hAnsi="Noto Sans CJK SC" w:eastAsia="Noto Sans CJK SC"/>
          <w:color w:val="272A26"/>
          <w:sz w:val="20"/>
        </w:rPr>
        <w:t>先写 4 个页面：总览、方法论、Prompt Builder、审核规范。</w:t>
      </w:r>
    </w:p>
    <w:p>
      <w:pPr>
        <w:pStyle w:val="ListBullet"/>
      </w:pPr>
      <w:r>
        <w:rPr>
          <w:rFonts w:ascii="Noto Sans CJK SC" w:hAnsi="Noto Sans CJK SC" w:eastAsia="Noto Sans CJK SC"/>
          <w:color w:val="272A26"/>
          <w:sz w:val="20"/>
        </w:rPr>
        <w:t>准备 data/cinematic-lab/ 目录，先用 JSON 模拟 sources / analyses / templates / cases。</w:t>
      </w:r>
    </w:p>
    <w:p>
      <w:pPr>
        <w:pStyle w:val="ListBullet"/>
      </w:pPr>
      <w:r>
        <w:rPr>
          <w:rFonts w:ascii="Noto Sans CJK SC" w:hAnsi="Noto Sans CJK SC" w:eastAsia="Noto Sans CJK SC"/>
          <w:color w:val="272A26"/>
          <w:sz w:val="20"/>
        </w:rPr>
        <w:t>做 Prompt Builder 的纯前端表单：输入字段 → 拼接 prompt → 复制。</w:t>
      </w:r>
    </w:p>
    <w:p>
      <w:pPr>
        <w:pStyle w:val="ListBullet"/>
      </w:pPr>
      <w:r>
        <w:rPr>
          <w:rFonts w:ascii="Noto Sans CJK SC" w:hAnsi="Noto Sans CJK SC" w:eastAsia="Noto Sans CJK SC"/>
          <w:color w:val="272A26"/>
          <w:sz w:val="20"/>
        </w:rPr>
        <w:t>给每条案例加 status：draft / testing / approved / archived。</w:t>
      </w:r>
    </w:p>
    <w:p>
      <w:pPr>
        <w:pStyle w:val="ListBullet"/>
      </w:pPr>
      <w:r>
        <w:rPr>
          <w:rFonts w:ascii="Noto Sans CJK SC" w:hAnsi="Noto Sans CJK SC" w:eastAsia="Noto Sans CJK SC"/>
          <w:color w:val="272A26"/>
          <w:sz w:val="20"/>
        </w:rPr>
        <w:t>第二阶段再接 Supabase；接入前只做静态 JSON，不把复杂后端提前塞进去。</w:t>
      </w:r>
    </w:p>
    <w:p>
      <w:pPr>
        <w:pStyle w:val="ListBullet"/>
      </w:pPr>
      <w:r>
        <w:rPr>
          <w:rFonts w:ascii="Noto Sans CJK SC" w:hAnsi="Noto Sans CJK SC" w:eastAsia="Noto Sans CJK SC"/>
          <w:color w:val="272A26"/>
          <w:sz w:val="20"/>
        </w:rPr>
        <w:t>所有公开 prompt 模板默认附带禁止项：不要导演名、电影名、演员名、logo、水印、明星脸、已知剧照构图。</w:t>
      </w:r>
    </w:p>
    <w:p>
      <w:pPr>
        <w:pStyle w:val="Heading1"/>
      </w:pPr>
      <w:r>
        <w:rPr>
          <w:rFonts w:ascii="Noto Sans CJK SC" w:hAnsi="Noto Sans CJK SC" w:eastAsia="Noto Sans CJK SC"/>
          <w:color w:val="1B3A2A"/>
        </w:rPr>
        <w:t>15. 最低验收标准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5184"/>
            <w:shd w:fill="1B3A2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必须达到</w:t>
            </w:r>
          </w:p>
        </w:tc>
      </w:tr>
      <w:tr>
        <w:tc>
          <w:tcPr>
            <w:tcW w:type="dxa" w:w="5184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类别</w:t>
            </w:r>
          </w:p>
        </w:tc>
        <w:tc>
          <w:tcPr>
            <w:tcW w:type="dxa" w:w="5184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必须达到</w:t>
            </w:r>
          </w:p>
        </w:tc>
      </w:tr>
      <w:tr>
        <w:tc>
          <w:tcPr>
            <w:tcW w:type="dxa" w:w="5184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内容</w:t>
            </w:r>
          </w:p>
        </w:tc>
        <w:tc>
          <w:tcPr>
            <w:tcW w:type="dxa" w:w="5184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至少 1 条完整案例能从来源台账走到公开页。</w:t>
            </w:r>
          </w:p>
        </w:tc>
      </w:tr>
      <w:tr>
        <w:tc>
          <w:tcPr>
            <w:tcW w:type="dxa" w:w="5184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页面</w:t>
            </w:r>
          </w:p>
        </w:tc>
        <w:tc>
          <w:tcPr>
            <w:tcW w:type="dxa" w:w="5184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总览、方法论、Prompt Builder、审核规范四页可访问。</w:t>
            </w:r>
          </w:p>
        </w:tc>
      </w:tr>
      <w:tr>
        <w:tc>
          <w:tcPr>
            <w:tcW w:type="dxa" w:w="5184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数据</w:t>
            </w:r>
          </w:p>
        </w:tc>
        <w:tc>
          <w:tcPr>
            <w:tcW w:type="dxa" w:w="5184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每条案例能对应 source、analysis、template、generation、review 五类记录。</w:t>
            </w:r>
          </w:p>
        </w:tc>
      </w:tr>
      <w:tr>
        <w:tc>
          <w:tcPr>
            <w:tcW w:type="dxa" w:w="5184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合规</w:t>
            </w:r>
          </w:p>
        </w:tc>
        <w:tc>
          <w:tcPr>
            <w:tcW w:type="dxa" w:w="5184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公开 prompt 不出现导演/电影/演员/角色/品牌名；输出图有 AI 标识和审核状态。</w:t>
            </w:r>
          </w:p>
        </w:tc>
      </w:tr>
      <w:tr>
        <w:tc>
          <w:tcPr>
            <w:tcW w:type="dxa" w:w="5184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体验</w:t>
            </w:r>
          </w:p>
        </w:tc>
        <w:tc>
          <w:tcPr>
            <w:tcW w:type="dxa" w:w="5184"/>
            <w:vAlign w:val="center"/>
            <w:shd w:fill="FFFBF2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用户看完能知道：怎么观察、怎么转译、怎么生成首尾帧、怎么避免侵权。</w:t>
            </w:r>
          </w:p>
        </w:tc>
      </w:tr>
      <w:tr>
        <w:tc>
          <w:tcPr>
            <w:tcW w:type="dxa" w:w="5184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回滚</w:t>
            </w:r>
          </w:p>
        </w:tc>
        <w:tc>
          <w:tcPr>
            <w:tcW w:type="dxa" w:w="5184"/>
            <w:vAlign w:val="center"/>
            <w:shd w:fill="F8F3E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72A26"/>
                <w:sz w:val="17"/>
              </w:rPr>
              <w:t>新模块通过 feature flag 或导航入口控制，出问题可隐藏，不影响主站和手册。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1B3A2A"/>
        </w:rPr>
        <w:t>16. 现在最应该马上做的三件事</w:t>
      </w:r>
    </w:p>
    <w:p>
      <w:pPr>
        <w:spacing w:line="276" w:lineRule="auto"/>
      </w:pPr>
      <w:r>
        <w:rPr>
          <w:rFonts w:ascii="Noto Sans CJK SC" w:hAnsi="Noto Sans CJK SC" w:eastAsia="Noto Sans CJK SC"/>
          <w:b/>
          <w:i w:val="0"/>
          <w:color w:val="272A26"/>
          <w:sz w:val="21"/>
        </w:rPr>
        <w:t>第一，先不要急着接 OpenAI 自动生成。先把“表单 + 模板 + 案例页”做出来，否则自动化会把混乱放大。</w:t>
      </w:r>
    </w:p>
    <w:p>
      <w:pPr>
        <w:spacing w:line="276" w:lineRule="auto"/>
      </w:pPr>
      <w:r>
        <w:rPr>
          <w:rFonts w:ascii="Noto Sans CJK SC" w:hAnsi="Noto Sans CJK SC" w:eastAsia="Noto Sans CJK SC"/>
          <w:b w:val="0"/>
          <w:i w:val="0"/>
          <w:color w:val="272A26"/>
          <w:sz w:val="21"/>
        </w:rPr>
        <w:t>第二，先用 JSON 模拟数据库。等页面、字段、审核状态跑顺，再迁到 Supabase。</w:t>
      </w:r>
    </w:p>
    <w:p>
      <w:pPr>
        <w:spacing w:line="276" w:lineRule="auto"/>
      </w:pPr>
      <w:r>
        <w:rPr>
          <w:rFonts w:ascii="Noto Sans CJK SC" w:hAnsi="Noto Sans CJK SC" w:eastAsia="Noto Sans CJK SC"/>
          <w:b w:val="0"/>
          <w:i w:val="0"/>
          <w:color w:val="272A26"/>
          <w:sz w:val="21"/>
        </w:rPr>
        <w:t>第三，先做 3 个样板案例和 3 套首尾帧模板。数量不重要，闭环完整最重要。</w:t>
      </w:r>
    </w:p>
    <w:sectPr w:rsidR="00FC693F" w:rsidRPr="0006063C" w:rsidSect="00034616">
      <w:footerReference w:type="default" r:id="rId14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F655E"/>
        <w:sz w:val="16"/>
      </w:rPr>
      <w:t>镜场计划｜Janet 影像参考室 可视化执行路线图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