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黑龙江大学</w:t>
      </w:r>
    </w:p>
    <w:p>
      <w:pPr>
        <w:ind w:firstLine="354" w:firstLineChars="49"/>
        <w:jc w:val="center"/>
        <w:rPr>
          <w:rFonts w:hint="eastAsia"/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实   验   报   告</w:t>
      </w:r>
    </w:p>
    <w:p>
      <w:pPr>
        <w:ind w:firstLine="354" w:firstLineChars="49"/>
        <w:jc w:val="center"/>
        <w:rPr>
          <w:rFonts w:hint="eastAsia"/>
          <w:b/>
          <w:sz w:val="72"/>
          <w:szCs w:val="72"/>
        </w:rPr>
      </w:pPr>
    </w:p>
    <w:tbl>
      <w:tblPr>
        <w:tblStyle w:val="7"/>
        <w:tblW w:w="8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2752"/>
        <w:gridCol w:w="2016"/>
        <w:gridCol w:w="1948"/>
      </w:tblGrid>
      <w:tr>
        <w:trPr>
          <w:trHeight w:val="695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6716" w:type="dxa"/>
            <w:gridSpan w:val="3"/>
            <w:vAlign w:val="center"/>
          </w:tcPr>
          <w:p>
            <w:pPr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计算机网络</w:t>
            </w:r>
          </w:p>
        </w:tc>
      </w:tr>
      <w:tr>
        <w:trPr>
          <w:trHeight w:val="775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实验项目名称</w:t>
            </w:r>
          </w:p>
        </w:tc>
        <w:tc>
          <w:tcPr>
            <w:tcW w:w="6716" w:type="dxa"/>
            <w:gridSpan w:val="3"/>
            <w:vAlign w:val="center"/>
          </w:tcPr>
          <w:p>
            <w:pPr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Socket通信编程</w:t>
            </w:r>
          </w:p>
        </w:tc>
      </w:tr>
      <w:tr>
        <w:trPr>
          <w:trHeight w:val="775" w:hRule="atLeast"/>
        </w:trPr>
        <w:tc>
          <w:tcPr>
            <w:tcW w:w="1908" w:type="dxa"/>
            <w:vAlign w:val="center"/>
          </w:tcPr>
          <w:p>
            <w:pPr>
              <w:ind w:firstLine="361" w:firstLineChars="150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实验时间</w:t>
            </w:r>
          </w:p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（日期及节次）</w:t>
            </w:r>
          </w:p>
        </w:tc>
        <w:tc>
          <w:tcPr>
            <w:tcW w:w="6716" w:type="dxa"/>
            <w:gridSpan w:val="3"/>
            <w:vAlign w:val="center"/>
          </w:tcPr>
          <w:p>
            <w:pPr>
              <w:rPr>
                <w:rFonts w:hint="eastAsia"/>
                <w:b/>
                <w:color w:val="0D0D0D"/>
                <w:sz w:val="24"/>
              </w:rPr>
            </w:pPr>
            <w:r>
              <w:rPr>
                <w:b/>
                <w:color w:val="0D0D0D"/>
                <w:sz w:val="24"/>
              </w:rPr>
              <w:t>2016/5/9</w:t>
            </w:r>
          </w:p>
        </w:tc>
      </w:tr>
      <w:tr>
        <w:trPr>
          <w:trHeight w:val="767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专业</w:t>
            </w:r>
          </w:p>
        </w:tc>
        <w:tc>
          <w:tcPr>
            <w:tcW w:w="2752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计算机科学与技术</w:t>
            </w:r>
          </w:p>
        </w:tc>
        <w:tc>
          <w:tcPr>
            <w:tcW w:w="2016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学生所在学院</w:t>
            </w:r>
          </w:p>
        </w:tc>
        <w:tc>
          <w:tcPr>
            <w:tcW w:w="194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计算机科学技术学院</w:t>
            </w:r>
          </w:p>
        </w:tc>
      </w:tr>
      <w:tr>
        <w:trPr>
          <w:trHeight w:val="776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年级</w:t>
            </w:r>
          </w:p>
        </w:tc>
        <w:tc>
          <w:tcPr>
            <w:tcW w:w="2752" w:type="dxa"/>
            <w:vAlign w:val="center"/>
          </w:tcPr>
          <w:p>
            <w:pPr>
              <w:jc w:val="center"/>
              <w:rPr>
                <w:rFonts w:hint="eastAsia"/>
                <w:b/>
                <w:color w:val="FF0000"/>
                <w:sz w:val="24"/>
              </w:rPr>
            </w:pPr>
            <w:r>
              <w:rPr>
                <w:rFonts w:hint="eastAsia"/>
                <w:b/>
                <w:sz w:val="24"/>
              </w:rPr>
              <w:t>2013级</w:t>
            </w:r>
          </w:p>
        </w:tc>
        <w:tc>
          <w:tcPr>
            <w:tcW w:w="2016" w:type="dxa"/>
            <w:vAlign w:val="center"/>
          </w:tcPr>
          <w:p>
            <w:pPr>
              <w:jc w:val="center"/>
              <w:rPr>
                <w:rFonts w:hint="eastAsia"/>
                <w:b/>
                <w:color w:val="0D0D0D"/>
                <w:sz w:val="24"/>
              </w:rPr>
            </w:pPr>
            <w:r>
              <w:rPr>
                <w:rFonts w:hint="eastAsia"/>
                <w:b/>
                <w:color w:val="0D0D0D"/>
                <w:sz w:val="24"/>
              </w:rPr>
              <w:t>学号</w:t>
            </w:r>
          </w:p>
        </w:tc>
        <w:tc>
          <w:tcPr>
            <w:tcW w:w="1948" w:type="dxa"/>
            <w:vAlign w:val="center"/>
          </w:tcPr>
          <w:p>
            <w:pPr>
              <w:jc w:val="center"/>
              <w:rPr>
                <w:rFonts w:hint="eastAsia"/>
                <w:b/>
                <w:color w:val="0D0D0D"/>
                <w:sz w:val="24"/>
              </w:rPr>
            </w:pPr>
            <w:r>
              <w:rPr>
                <w:rFonts w:hint="eastAsia"/>
                <w:b/>
                <w:color w:val="0D0D0D"/>
                <w:sz w:val="24"/>
              </w:rPr>
              <w:t>20133104</w:t>
            </w:r>
          </w:p>
        </w:tc>
      </w:tr>
      <w:tr>
        <w:trPr>
          <w:trHeight w:val="863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2752" w:type="dxa"/>
            <w:vAlign w:val="center"/>
          </w:tcPr>
          <w:p>
            <w:pPr>
              <w:jc w:val="center"/>
              <w:rPr>
                <w:rFonts w:hint="eastAsia"/>
                <w:b/>
                <w:color w:val="0D0D0D"/>
                <w:sz w:val="24"/>
              </w:rPr>
            </w:pPr>
            <w:r>
              <w:rPr>
                <w:rFonts w:hint="eastAsia"/>
                <w:b/>
                <w:color w:val="0D0D0D"/>
                <w:sz w:val="24"/>
              </w:rPr>
              <w:t>郭耀文</w:t>
            </w:r>
          </w:p>
        </w:tc>
        <w:tc>
          <w:tcPr>
            <w:tcW w:w="2016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</w:t>
            </w:r>
          </w:p>
        </w:tc>
        <w:tc>
          <w:tcPr>
            <w:tcW w:w="194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姜誉</w:t>
            </w:r>
          </w:p>
        </w:tc>
      </w:tr>
      <w:tr>
        <w:trPr>
          <w:trHeight w:val="912" w:hRule="atLeast"/>
        </w:trPr>
        <w:tc>
          <w:tcPr>
            <w:tcW w:w="1908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实验室名称</w:t>
            </w:r>
          </w:p>
        </w:tc>
        <w:tc>
          <w:tcPr>
            <w:tcW w:w="6716" w:type="dxa"/>
            <w:gridSpan w:val="3"/>
            <w:shd w:val="clear" w:color="auto" w:fill="auto"/>
            <w:vAlign w:val="top"/>
          </w:tcPr>
          <w:p>
            <w:pPr>
              <w:rPr>
                <w:rFonts w:hint="eastAsia"/>
                <w:b/>
                <w:sz w:val="24"/>
              </w:rPr>
            </w:pPr>
          </w:p>
          <w:p>
            <w:pPr>
              <w:jc w:val="center"/>
              <w:rPr>
                <w:rFonts w:hint="eastAsia"/>
                <w:b/>
                <w:color w:val="0D0D0D"/>
                <w:sz w:val="24"/>
              </w:rPr>
            </w:pPr>
            <w:r>
              <w:rPr>
                <w:rFonts w:hint="eastAsia"/>
                <w:b/>
                <w:color w:val="0D0D0D"/>
                <w:sz w:val="24"/>
              </w:rPr>
              <w:t>4#513</w:t>
            </w:r>
          </w:p>
        </w:tc>
      </w:tr>
      <w:tr>
        <w:trPr>
          <w:trHeight w:val="912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实验成绩</w:t>
            </w:r>
          </w:p>
        </w:tc>
        <w:tc>
          <w:tcPr>
            <w:tcW w:w="6716" w:type="dxa"/>
            <w:gridSpan w:val="3"/>
            <w:vAlign w:val="top"/>
          </w:tcPr>
          <w:p>
            <w:pPr>
              <w:jc w:val="center"/>
              <w:rPr>
                <w:rFonts w:hint="eastAsia"/>
                <w:b/>
                <w:color w:val="FF0000"/>
                <w:sz w:val="24"/>
              </w:rPr>
            </w:pPr>
          </w:p>
        </w:tc>
      </w:tr>
      <w:tr>
        <w:trPr>
          <w:trHeight w:val="912" w:hRule="atLeast"/>
        </w:trPr>
        <w:tc>
          <w:tcPr>
            <w:tcW w:w="1908" w:type="dxa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教师签字</w:t>
            </w:r>
          </w:p>
        </w:tc>
        <w:tc>
          <w:tcPr>
            <w:tcW w:w="6716" w:type="dxa"/>
            <w:gridSpan w:val="3"/>
            <w:vAlign w:val="center"/>
          </w:tcPr>
          <w:p>
            <w:pPr>
              <w:jc w:val="center"/>
              <w:rPr>
                <w:rFonts w:hint="eastAsia"/>
                <w:b/>
                <w:sz w:val="24"/>
              </w:rPr>
            </w:pPr>
          </w:p>
        </w:tc>
      </w:tr>
    </w:tbl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</w:rPr>
        <w:t xml:space="preserve">                                                      </w:t>
      </w:r>
      <w:r>
        <w:rPr>
          <w:rFonts w:hint="eastAsia"/>
          <w:b/>
          <w:sz w:val="24"/>
        </w:rPr>
        <w:t xml:space="preserve"> </w:t>
      </w:r>
    </w:p>
    <w:p>
      <w:pPr>
        <w:ind w:firstLine="5625" w:firstLineChars="1751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黑龙江大学教务处</w:t>
      </w:r>
    </w:p>
    <w:p>
      <w:pPr>
        <w:ind w:firstLine="5625" w:firstLineChars="1751"/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</w:rPr>
      </w:pPr>
    </w:p>
    <w:tbl>
      <w:tblPr>
        <w:tblStyle w:val="7"/>
        <w:tblW w:w="85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1"/>
      </w:tblGrid>
      <w:tr>
        <w:trPr>
          <w:trHeight w:val="1903" w:hRule="atLeast"/>
        </w:trPr>
        <w:tc>
          <w:tcPr>
            <w:tcW w:w="8511" w:type="dxa"/>
            <w:vAlign w:val="top"/>
          </w:tcPr>
          <w:p>
            <w:pPr>
              <w:pStyle w:val="2"/>
              <w:numPr>
                <w:ilvl w:val="0"/>
                <w:numId w:val="1"/>
              </w:numPr>
              <w:spacing w:before="0" w:after="0" w:line="360" w:lineRule="auto"/>
              <w:rPr>
                <w:rFonts w:ascii="宋体" w:hAnsi="宋体" w:eastAsia="宋体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/>
                <w:bCs w:val="0"/>
                <w:sz w:val="28"/>
                <w:szCs w:val="28"/>
              </w:rPr>
              <w:t>实验目的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掌握常用的网络指令，对网络进行管理。</w:t>
            </w:r>
          </w:p>
        </w:tc>
      </w:tr>
      <w:tr>
        <w:trPr>
          <w:trHeight w:val="600" w:hRule="atLeast"/>
        </w:trPr>
        <w:tc>
          <w:tcPr>
            <w:tcW w:w="8511" w:type="dxa"/>
            <w:vAlign w:val="top"/>
          </w:tcPr>
          <w:p>
            <w:pPr>
              <w:numPr>
                <w:ilvl w:val="0"/>
                <w:numId w:val="1"/>
              </w:num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实验内容</w:t>
            </w:r>
          </w:p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实验平台：Ubuntu15.10</w:t>
            </w:r>
          </w:p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内容：</w:t>
            </w:r>
          </w:p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</w:rPr>
              <w:t>arp、ipconfig、net、ping、tracert、netstat、nslookup、hostname、route</w:t>
            </w:r>
          </w:p>
          <w:p>
            <w:pPr>
              <w:rPr>
                <w:rFonts w:hint="eastAsia"/>
                <w:sz w:val="24"/>
              </w:rPr>
            </w:pPr>
          </w:p>
        </w:tc>
      </w:tr>
      <w:tr>
        <w:trPr>
          <w:trHeight w:val="9968" w:hRule="atLeast"/>
        </w:trPr>
        <w:tc>
          <w:tcPr>
            <w:tcW w:w="8511" w:type="dxa"/>
            <w:vAlign w:val="top"/>
          </w:tcPr>
          <w:p>
            <w:pPr>
              <w:numPr>
                <w:ilvl w:val="0"/>
                <w:numId w:val="1"/>
              </w:num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实验步骤及实验结果</w:t>
            </w:r>
          </w:p>
          <w:p>
            <w:pPr>
              <w:ind w:left="6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根据上通信的过程画出流程图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drawing>
                <wp:inline distT="0" distB="0" distL="114300" distR="114300">
                  <wp:extent cx="5750560" cy="4732655"/>
                  <wp:effectExtent l="0" t="0" r="2540" b="10795"/>
                  <wp:docPr id="1" name="图片 1" descr="无标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无标题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56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968" w:hRule="atLeast"/>
        </w:trPr>
        <w:tc>
          <w:tcPr>
            <w:tcW w:w="8511" w:type="dxa"/>
            <w:vAlign w:val="top"/>
          </w:tcPr>
          <w:p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</w:rPr>
              <w:t>四，运行效果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arp用来管理系统的arp缓存，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显示和修改地址解析协议使用的”ip到mac”地址转换表。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常用的命令参数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arp:显示所有的表项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inline distT="0" distB="0" distL="114300" distR="114300">
                  <wp:extent cx="5270500" cy="513080"/>
                  <wp:effectExtent l="0" t="0" r="635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13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如果表项为空的话，需要先对某台主机建立一个连接，例如ping一下百度的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ping -c 4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instrText xml:space="preserve"> HYPERLINK "http://www.baidu.com" </w:instrTex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fldChar w:fldCharType="separate"/>
            </w:r>
            <w:r>
              <w:rPr>
                <w:rStyle w:val="6"/>
                <w:rFonts w:hint="eastAsia" w:asciiTheme="minorEastAsia" w:hAnsiTheme="minorEastAsia" w:eastAsiaTheme="minorEastAsia" w:cstheme="minorEastAsia"/>
                <w:sz w:val="24"/>
                <w:szCs w:val="24"/>
              </w:rPr>
              <w:t>www.baidu.com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fldChar w:fldCharType="end"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但是再想添加新的目的arp表项时，ping其他网站的地址并不会有新的表项被添加的arp表中。所以只有ping一个局域网中的ip地址。例如：ping -c 4 192.168.1.105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inline distT="0" distB="0" distL="114300" distR="114300">
                  <wp:extent cx="5271770" cy="1856105"/>
                  <wp:effectExtent l="0" t="0" r="5080" b="1079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5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 -v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显示详细的ａｒｐ条目，跟省略参数一样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 -a //通过询问当前数据，显示ip和mac的对应关系。如果指定ip地址，则只显示指定ip的arp表项。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inline distT="0" distB="0" distL="114300" distR="114300">
                  <wp:extent cx="5272405" cy="1352550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 -n  //显示ip和mac的对应关系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arp -d ip_addr //删除指定主机ip和Mac的对应关系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inline distT="0" distB="0" distL="114300" distR="114300">
                  <wp:extent cx="5274310" cy="1601470"/>
                  <wp:effectExtent l="0" t="0" r="2540" b="177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路由Ｒ4的路由表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arp -s hostname hw_add</w:t>
            </w:r>
            <w:r>
              <w:rPr>
                <w:rFonts w:hint="default" w:asciiTheme="minorEastAsia" w:hAnsiTheme="minorEastAsia" w:eastAsiaTheme="minorEastAsia" w:cstheme="minorEastAsia"/>
                <w:kern w:val="0"/>
                <w:sz w:val="24"/>
                <w:szCs w:val="24"/>
                <w:lang w:eastAsia="zh-CN" w:bidi="ar"/>
              </w:rPr>
              <w:t xml:space="preserve">r 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 xml:space="preserve">   </w:t>
            </w:r>
            <w:r>
              <w:rPr>
                <w:rFonts w:hint="default" w:asciiTheme="minorEastAsia" w:hAnsiTheme="minorEastAsia" w:eastAsiaTheme="minorEastAsia" w:cstheme="minorEastAsia"/>
                <w:kern w:val="0"/>
                <w:sz w:val="24"/>
                <w:szCs w:val="24"/>
                <w:lang w:eastAsia="zh-CN" w:bidi="ar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手动设置IP和MAC的对应关系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drawing>
                <wp:inline distT="0" distB="0" distL="114300" distR="114300">
                  <wp:extent cx="5269230" cy="401320"/>
                  <wp:effectExtent l="0" t="0" r="7620" b="177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0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config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 xml:space="preserve"> 查看本机的网络配置，如ip地址，子网掩码，网关协议</w:t>
            </w:r>
          </w:p>
          <w:p>
            <w:pPr/>
            <w:r>
              <w:drawing>
                <wp:inline distT="0" distB="0" distL="114300" distR="114300">
                  <wp:extent cx="5269230" cy="2981325"/>
                  <wp:effectExtent l="0" t="0" r="762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9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路由Ｒ4的路由表</w:t>
            </w:r>
          </w:p>
          <w:p>
            <w:pPr/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一般来说，直接输入 ifconfig 就会列出目前已经被启动的卡，不论这个卡是否有给予 IP，都会被显示出来。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UP:启动的模式，UNICAST是单播，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BROADCAST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广播，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 w:bidi="ar"/>
              </w:rPr>
              <w:t>MULTICAST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组播,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RUNNING:运行的模式，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如：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 w:bidi="ar"/>
              </w:rPr>
              <w:t>UP BROADCAST RUNNING MULTICAST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eastAsia="zh-CN" w:bidi="ar"/>
              </w:rPr>
              <w:t>表示启动了广播和组播，正在使用组播，单播默认就支持，所以不会显示。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eth0网卡的在本系统中的名称代号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Link encap: 这个字段代表该网络设备位于OSI物理层的名称。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HWaddr：网卡的硬件地址，也就是MAC地址。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inet addr：显示网卡的IP地址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Bcast：该接口的网络广播地址 </w:t>
            </w:r>
            <w:r>
              <w:rPr>
                <w:rFonts w:ascii="宋体" w:hAnsi="宋体" w:cs="宋体"/>
                <w:kern w:val="0"/>
                <w:sz w:val="24"/>
                <w:szCs w:val="24"/>
                <w:lang w:eastAsia="zh-CN" w:bidi="ar"/>
              </w:rPr>
              <w:t>路由Ｒ4的路由表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Mask：该接口的网络子网掩码。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inet6 addr: IPv6地址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MTU：该接口的最大传输单元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&lt;字节&gt;。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以太网帧中的数据长度规定最小46字节，最大1500字节，ARP和RARP数据包的长度不够46字节，要在后面补填充位。最大值1500称为以太网的最大传输单元（MTU），不同的网络类型有不同的MTU，如果一个数据包从以太网路由到拨号链路上，数据包长度大于拨号链路的MTU了，则需要对数据包进行分 片（fragmentation）。注意，MTU这个概念指数据帧中有效载荷的最大长度，不包括帧首部的长度。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Metric：默认的路由成本。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RX ：那一行代表的是网络由启动到目前为止的封包接收情况， packets 代表封包数、errors 代表封包发生错误的数量、 dropped 代表封包由于有问题而遭丢弃的数量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、o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 w:bidi="ar"/>
              </w:rPr>
              <w:t>verruns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eastAsia="zh-CN" w:bidi="ar"/>
              </w:rPr>
              <w:t>缓冲区溢出丢弃、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frame: 表示 misaligned的frames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TX：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这一行代表的是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网络由启动到目前为止的已传送或者传送中的封包统计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，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 w:bidi="ar"/>
              </w:rPr>
              <w:t>carrier</w:t>
            </w:r>
            <w:r>
              <w:rPr>
                <w:rFonts w:hint="default" w:ascii="宋体" w:hAnsi="宋体" w:eastAsia="宋体" w:cs="宋体"/>
                <w:color w:val="FF0000"/>
                <w:kern w:val="0"/>
                <w:sz w:val="24"/>
                <w:szCs w:val="24"/>
                <w:lang w:eastAsia="zh-CN" w:bidi="ar"/>
              </w:rPr>
              <w:t>?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；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collisions：代表封包碰撞的情况，如果发生太多次， 表示你的网络状况不太好；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txqueuelen：代表用来传输数据的缓冲区的储存长度；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RX bytes：已接收的封包数据量，单位是字节。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TX bytes：已传送的封包数据量，单位是字节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interrupt:这张网卡接口的IRQ中断值。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Scope:Host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eastAsia="zh-CN" w:bidi="ar"/>
              </w:rPr>
              <w:t>/Link</w:t>
            </w:r>
            <w:r>
              <w:rPr>
                <w:rFonts w:hint="default" w:ascii="宋体" w:hAnsi="宋体" w:eastAsia="宋体" w:cs="宋体"/>
                <w:color w:val="FF0000"/>
                <w:kern w:val="0"/>
                <w:sz w:val="24"/>
                <w:szCs w:val="24"/>
                <w:lang w:eastAsia="zh-CN" w:bidi="ar"/>
              </w:rPr>
              <w:t>?</w:t>
            </w:r>
          </w:p>
          <w:p>
            <w:pPr/>
            <w:r>
              <w:drawing>
                <wp:inline distT="0" distB="0" distL="114300" distR="114300">
                  <wp:extent cx="5270500" cy="1502410"/>
                  <wp:effectExtent l="0" t="0" r="635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02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ifconfig eth0 192.168.100.100 netmask 255.255.255.128  mtu 8000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设置网络接口，同时设置 MTU 的数值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drawing>
                <wp:inline distT="0" distB="0" distL="114300" distR="114300">
                  <wp:extent cx="5273040" cy="1028065"/>
                  <wp:effectExtent l="0" t="0" r="381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28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sudo ifconfig eth0 mtu 1500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仅修改该接口的 MTU 数值，其他的保持不动</w:t>
            </w:r>
          </w:p>
          <w:p>
            <w:pPr/>
          </w:p>
          <w:p>
            <w:pPr/>
            <w:r>
              <w:drawing>
                <wp:inline distT="0" distB="0" distL="114300" distR="114300">
                  <wp:extent cx="5269230" cy="1225550"/>
                  <wp:effectExtent l="0" t="0" r="762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# ifconfig eth0:0 192.168.50.50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# 仔细看那个接口， eth0:0 。那就是在该网络接口上，再仿真一个网络接口，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# 亦即是在一个网卡上面设置多个 IP 的意思啦</w:t>
            </w:r>
          </w:p>
          <w:p>
            <w:pPr>
              <w:rPr>
                <w:rFonts w:hint="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Linux下的net命令，不是一个网络命令，而是samba服务器管理员的命令，所以在这里不再详细叙述。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ping 主要透过 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instrText xml:space="preserve"> HYPERLINK "http://vbird.dic.ksu.edu.tw/linux_server/0140networkcommand/0110network_basic.php" \l "protocol_icmp" </w:instrTex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262626" w:themeColor="text1" w:themeShade="80"/>
                <w:sz w:val="24"/>
                <w:szCs w:val="24"/>
              </w:rPr>
              <w:t>ICMP 封包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来进行整个网络的状况报告，当然啦，最重要的就是那个 ICMP type 0, 8 这两个类型， 分别是要求回报与主动回报网络状态是否存在的特性。要特别注意的是， ping 还是需要透过 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instrText xml:space="preserve"> HYPERLINK "http://vbird.dic.ksu.edu.tw/linux_server/0140networkcommand/0110network_basic.php" \l "ipandmac_head" </w:instrTex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262626" w:themeColor="text1" w:themeShade="80"/>
                <w:sz w:val="24"/>
                <w:szCs w:val="24"/>
              </w:rPr>
              <w:t>IP 封包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来传送 ICMP 封包的， 而 IP 封包里面有个相当重要的 TTL (Time To Live) 属性，这是很重要的一个路由特性， 详细的 IP与ICMP表头数据请参考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instrText xml:space="preserve"> HYPERLINK "http://vbird.dic.ksu.edu.tw/linux_server/0140networkcommand/0110network_basic.php" </w:instrTex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262626" w:themeColor="text1" w:themeShade="80"/>
                <w:sz w:val="24"/>
                <w:szCs w:val="24"/>
              </w:rPr>
              <w:t>网络基础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的详细介绍。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-d：使用Socket的SO_DEBUG功能；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-c&lt;完成次数&gt;：设置完成要求回应的次数；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-f：极限检测；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-i&lt;间隔秒数&gt;：指定收发信息的间隔时间；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-I&lt;网络界面&gt;：使用指定的网络界面送出数据包；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-l&lt;前置载入&gt;：设置在送出要求信息之前，先行发出的数据包；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-n：只输出数值；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-p&lt;范本样式&gt;：设置填满数据包的范本样式；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-q：不显示指令执行过程，开头和结尾的相关信息除外；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-r：忽略普通的Routing Table，直接将数据包送到远端主机上；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-R：记录路由过程；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-s&lt;数据包大小&gt;：设置数据包的大小；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-t&lt;存活数值&gt;：设置存活数值TTL的大小；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-v：详细显示指令的执行过程。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/>
            <w:r>
              <w:drawing>
                <wp:inline distT="0" distB="0" distL="114300" distR="114300">
                  <wp:extent cx="5272405" cy="2658745"/>
                  <wp:effectExtent l="0" t="0" r="444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65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tabs>
                <w:tab w:val="left" w:pos="720"/>
              </w:tabs>
              <w:spacing w:before="0" w:beforeAutospacing="1" w:after="0" w:afterAutospacing="1"/>
              <w:ind w:left="720" w:hanging="36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64 bytes：表示这次传送的 ICMP 封包大小为 64 bytes 这么大，这是默认值， 在某些特殊场合中，例如要搜索整个网络内最大的 MTU 时，可以使用 -s 2000 之类的数值来取代；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tabs>
                <w:tab w:val="left" w:pos="720"/>
              </w:tabs>
              <w:spacing w:before="0" w:beforeAutospacing="1" w:after="0" w:afterAutospacing="1"/>
              <w:ind w:left="720" w:hanging="36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icmp_seq=1：ICMP 所侦测进行的次数，第一次编号为 1 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tabs>
                <w:tab w:val="left" w:pos="720"/>
              </w:tabs>
              <w:spacing w:before="0" w:beforeAutospacing="1" w:after="0" w:afterAutospacing="1"/>
              <w:ind w:left="720" w:hanging="36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ttl=125：TTL 与 IP 封包内的 TTL 是相同的，每经过一个带有 MAC 的节点 (node) 时，例如 router, bridge 时， TTL 就会减少一，默认的 TTL 为 255 ， 你可以透过 -t 150 之类的方法来重新配置默认 TTL 数值；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tabs>
                <w:tab w:val="left" w:pos="720"/>
              </w:tabs>
              <w:spacing w:before="0" w:beforeAutospacing="1" w:after="0" w:afterAutospacing="1"/>
              <w:ind w:left="720" w:hanging="360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time=149ms：响应时间，单位有 ms(0.001秒)及 us(0.000001秒)， 一般来说，越小的响应时间，表示两部主机之间的网络联机越良好！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T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racert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在linux下的命令是tracerroute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Traceroute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(选项)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(参数)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t>-n ：可以不必进行主机的名称解析，单纯用 IP ，速度较快！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-w ：若对方主机在几秒钟内没有回声就宣告不治...默认是 5 秒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-i ：用在比较复杂的环境，如果你的网络接口很多很复杂时，才会用到这个参数；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  举例来说，你有两条 ADSL 可以连接到外部，那你的主机会有路由Ｒ4的路由表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两个 ppp，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  你可以使用 -i 来选择是 ppp0 还是 ppp1 啦！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-g ：与 -i 的参数相仿，只是 -g 后面接的是 gateway 的 IP 就是了。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t>好吧，我是败给这个神奇的指令了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t>理想中时这样的：</w:t>
            </w:r>
            <w:r>
              <w:drawing>
                <wp:inline distT="0" distB="0" distL="114300" distR="114300">
                  <wp:extent cx="5267960" cy="2044065"/>
                  <wp:effectExtent l="0" t="0" r="8890" b="133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04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t>现实中却是这样的：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9865" cy="4729480"/>
                  <wp:effectExtent l="0" t="0" r="6985" b="139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72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t>完全没有显示路径，有待进一步研究，我只有如实的记录下实验结果。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n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etstat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netstat -[rn]       &lt;==与路由有关的参数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netstat -[antulpc]  &lt;==与网络接口有关的参数参数：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与路由 (route) 有关的参数说明：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-r  ：列出路由表(route table)，功能如同 route 这个命令；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-n  ：不使用主机名与服务名称，使用 IP 与 port number ，如同 route -n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与网络接口有关的参数：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-a  ：列出所有的联机状态，包括 tcp/udp/unix socket 等；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-t  ：仅列出 TCP 封包的联机；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-u  ：仅列出 UDP 封包的联机；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-l  ：仅列出有在 Listen (监听) 的服务之网络状态；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-p  ：列出 PID 与 Program 的檔名；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-c  ：可以配置几秒钟后自动升级一次，例如 -c 5 每五秒升级一次网络状态的显示；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列出目前的路由表状态，且以 IP 及 port number 显示</w:t>
            </w:r>
          </w:p>
          <w:p>
            <w:pPr/>
            <w:r>
              <w:drawing>
                <wp:inline distT="0" distB="0" distL="114300" distR="114300">
                  <wp:extent cx="5271135" cy="1049020"/>
                  <wp:effectExtent l="0" t="0" r="5715" b="177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49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秀出目前已经启动的网络服务</w:t>
            </w:r>
          </w:p>
          <w:p>
            <w:pPr/>
            <w:r>
              <w:drawing>
                <wp:inline distT="0" distB="0" distL="114300" distR="114300">
                  <wp:extent cx="5267960" cy="1819275"/>
                  <wp:effectExtent l="0" t="0" r="889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观察本机上头所有的网络联机状态</w:t>
            </w:r>
          </w:p>
          <w:p>
            <w:pPr/>
          </w:p>
          <w:p>
            <w:pPr/>
            <w:r>
              <w:drawing>
                <wp:inline distT="0" distB="0" distL="114300" distR="114300">
                  <wp:extent cx="5266055" cy="1960245"/>
                  <wp:effectExtent l="0" t="0" r="1079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96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n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slookup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nslookup命令是常用域名查询工具，就是查DNS信息用的命令。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nslookup4有两种工作模式，即“交互模式”和“非交互模式”。在“交互模式”下，用户可以向域名服务器查询各类主机、域名的信息，或者输出域名中 的主机列表。而在“非交互模式”下，用户可以针对一个主机或域名仅仅获取特定的名称或所需信息。 进入交互模式，直接输入nslookup命令，不加任何参数，则直接进入交互模式，此时nslookup会连接到默认的域名服务器（即/etc /resolv.conf的第一个dns地址）。或者输入nslookup -nameserver/ip。进入非交互模式，就直接输入nslookup 域名就可以了。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drawing>
                <wp:inline distT="0" distB="0" distL="114300" distR="114300">
                  <wp:extent cx="5271770" cy="2395220"/>
                  <wp:effectExtent l="0" t="0" r="508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39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drawing>
                <wp:inline distT="0" distB="0" distL="114300" distR="114300">
                  <wp:extent cx="5273675" cy="3557905"/>
                  <wp:effectExtent l="0" t="0" r="3175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57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h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ostname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instrText xml:space="preserve"> HYPERLINK "http://www.chinabyte.com/keyword/Linux/" \t "/home/bool/Documents\\x/_blank" </w:instrTex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262626" w:themeColor="text1" w:themeShade="80"/>
                <w:sz w:val="24"/>
                <w:szCs w:val="24"/>
              </w:rPr>
              <w:t>Linux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instrText xml:space="preserve"> HYPERLINK "http://soft.chinabyte.com/os/" \t "/home/bool/Documents\\x/_blank" </w:instrTex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262626" w:themeColor="text1" w:themeShade="80"/>
                <w:sz w:val="24"/>
                <w:szCs w:val="24"/>
              </w:rPr>
              <w:t>操作系统</w:t>
            </w:r>
            <w:r>
              <w:rPr>
                <w:rFonts w:ascii="宋体" w:hAnsi="宋体" w:eastAsia="宋体" w:cs="宋体"/>
                <w:color w:val="262626" w:themeColor="text1" w:themeShade="8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的hostname是一个kernel变量，可以通过hostname命令来查看本机的hostname。也可以直接cat /proc/sys/kernel/hostname查看。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不带参数时显示主机名。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格式：hostname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带上-i参数时显示ip地址。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格式：hostname -i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带上-f参数时显示全域名（FQDN，Fully Qualified Domain Name）。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格式：hostname -f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修改主机名时，后面跟上新的主机名即可。（注意此方法立即生效，但不会永久保存，详见后面的示例）。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格式：hostname newhostname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drawing>
                <wp:inline distT="0" distB="0" distL="114300" distR="114300">
                  <wp:extent cx="5273675" cy="2919095"/>
                  <wp:effectExtent l="0" t="0" r="3175" b="146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19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oute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两部主机之间一定要有路由才能够互通 TCP/IP 的协议，否则就无法进行联机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一般来说，只要有网络接口，该接口就会产生一个路由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route [-nee]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route add [-net|-host] [网域或主机] netmask [mask] [gw|dev]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route del [-net|-host] [网域或主机] netmask [mask] [gw|dev]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-n  ：不要使用通讯协议或主机名，直接使用 IP 或 port number；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-ee ：使用更详细的信息来显示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添加 (add) 与删除 (del) 路由的相关参数：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-net    ：表示后面接的路由为一个网域；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-host   ：表示后面接的为连接到单部主机的路由；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netmask ：与网域有关，可以配置 netmask 决定网域的大小；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gw      ：gateway 的简写，后续接的是 IP 的数值喔，与 dev 不同；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 xml:space="preserve">   dev     ：如果只是要指定由那一块网络卡联机出去，则使用这个配置，后面接 eth0 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单纯的观察路由状态</w:t>
            </w:r>
          </w:p>
          <w:p>
            <w:pPr/>
            <w:r>
              <w:drawing>
                <wp:inline distT="0" distB="0" distL="114300" distR="114300">
                  <wp:extent cx="5266690" cy="1181100"/>
                  <wp:effectExtent l="0" t="0" r="1016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路由的添加与删除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Sudo route del -net 169.254.0.0 netmask 255.255.0.0 dev wlan0</w:t>
            </w:r>
          </w:p>
          <w:p>
            <w:pPr/>
            <w:r>
              <w:drawing>
                <wp:inline distT="0" distB="0" distL="114300" distR="114300">
                  <wp:extent cx="5269230" cy="2419350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添加路由器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sudo route </w:t>
            </w:r>
            <w:r>
              <w:rPr>
                <w:rFonts w:hint="default"/>
              </w:rPr>
              <w:t>add</w:t>
            </w:r>
            <w:r>
              <w:rPr>
                <w:rFonts w:hint="eastAsia"/>
              </w:rPr>
              <w:t xml:space="preserve"> -net 169.254.0.0 netmask 255.255.0.0 dev wlan0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设置默认路由，注意只设置一个就够了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lang w:val="en-US"/>
              </w:rPr>
            </w:pPr>
            <w:r>
              <w:t>route add default gw 10.214.48.0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</w:tr>
      <w:tr>
        <w:trPr>
          <w:trHeight w:val="4101" w:hRule="atLeast"/>
        </w:trPr>
        <w:tc>
          <w:tcPr>
            <w:tcW w:w="8511" w:type="dxa"/>
            <w:vAlign w:val="top"/>
          </w:tcPr>
          <w:p>
            <w:pPr>
              <w:numPr>
                <w:ilvl w:val="0"/>
                <w:numId w:val="0"/>
              </w:numPr>
              <w:tabs>
                <w:tab w:val="clear" w:pos="720"/>
              </w:tabs>
              <w:ind w:leftChars="0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实验总结与心得</w:t>
            </w:r>
          </w:p>
          <w:p>
            <w:pPr>
              <w:rPr>
                <w:rFonts w:hint="eastAsia" w:ascii="微软雅黑" w:hAnsi="微软雅黑" w:eastAsia="微软雅黑"/>
                <w:sz w:val="24"/>
              </w:rPr>
            </w:pPr>
            <w:r>
              <w:rPr>
                <w:rFonts w:hint="default" w:ascii="微软雅黑" w:hAnsi="微软雅黑" w:eastAsia="微软雅黑"/>
                <w:sz w:val="24"/>
              </w:rPr>
              <w:t xml:space="preserve">   </w:t>
            </w:r>
            <w:r>
              <w:rPr>
                <w:rFonts w:hint="default" w:ascii="微软雅黑" w:hAnsi="微软雅黑" w:eastAsia="微软雅黑"/>
                <w:sz w:val="24"/>
              </w:rPr>
              <w:t>每一个指令都是一个强大软件，包含着许多参数，要想一一详细的叙述所有的参数在短短的几页内是不可能的。我只有挑选最重要最常用的几条验证一下。</w:t>
            </w:r>
            <w:bookmarkStart w:id="0" w:name="_GoBack"/>
            <w:bookmarkEnd w:id="0"/>
          </w:p>
        </w:tc>
      </w:tr>
    </w:tbl>
    <w:p>
      <w:pPr>
        <w:rPr>
          <w:rFonts w:hint="eastAsia"/>
        </w:rPr>
      </w:pPr>
    </w:p>
    <w:p>
      <w:pPr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Georgia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Georgia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modern"/>
    <w:pitch w:val="default"/>
    <w:sig w:usb0="00007A87" w:usb1="80000000" w:usb2="00000008" w:usb3="00000000" w:csb0="400001FF" w:csb1="FFFF0000"/>
  </w:font>
  <w:font w:name="黑体">
    <w:altName w:val="WenQuanYi Micro Hei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roman"/>
    <w:pitch w:val="default"/>
    <w:sig w:usb0="00007A87" w:usb1="80000000" w:usb2="00000008" w:usb3="00000000" w:csb0="400001FF" w:csb1="FFFF0000"/>
  </w:font>
  <w:font w:name="华文行楷">
    <w:altName w:val="WenQuanYi Micro Hei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altName w:val="WenQuanYi Micro Hei"/>
    <w:panose1 w:val="020B0503020204020204"/>
    <w:charset w:val="00"/>
    <w:family w:val="modern"/>
    <w:pitch w:val="default"/>
    <w:sig w:usb0="00000000" w:usb1="00000000" w:usb2="00000016" w:usb3="00000000" w:csb0="0004001F" w:csb1="00000000"/>
  </w:font>
  <w:font w:name="WenQuanYi Micro Hei">
    <w:panose1 w:val="020B0606030804020204"/>
    <w:charset w:val="86"/>
    <w:family w:val="modern"/>
    <w:pitch w:val="default"/>
    <w:sig w:usb0="E10002EF" w:usb1="6BDFFCFB" w:usb2="00800036" w:usb3="00000000" w:csb0="603E019F" w:csb1="DFD70000"/>
  </w:font>
  <w:font w:name="WenQuanYi Micro Hei">
    <w:panose1 w:val="020B0606030804020204"/>
    <w:charset w:val="86"/>
    <w:family w:val="roman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微软雅黑">
    <w:altName w:val="WenQuanYi Micro Hei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WenQuanYi Micro Hei">
    <w:panose1 w:val="020B0606030804020204"/>
    <w:charset w:val="86"/>
    <w:family w:val="swiss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黑体">
    <w:altName w:val="WenQuanYi Micro Hei"/>
    <w:panose1 w:val="02010609060101010101"/>
    <w:charset w:val="00"/>
    <w:family w:val="swiss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swiss"/>
    <w:pitch w:val="default"/>
    <w:sig w:usb0="00007A87" w:usb1="80000000" w:usb2="00000008" w:usb3="00000000" w:csb0="400001FF" w:csb1="FFFF0000"/>
  </w:font>
  <w:font w:name="微软雅黑">
    <w:altName w:val="WenQuanYi Micro Hei"/>
    <w:panose1 w:val="020B0503020204020204"/>
    <w:charset w:val="00"/>
    <w:family w:val="decorative"/>
    <w:pitch w:val="default"/>
    <w:sig w:usb0="00000000" w:usb1="00000000" w:usb2="00000016" w:usb3="00000000" w:csb0="0004001F" w:csb1="00000000"/>
  </w:font>
  <w:font w:name="WenQuanYi Micro Hei">
    <w:panose1 w:val="020B0606030804020204"/>
    <w:charset w:val="86"/>
    <w:family w:val="decorative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roman"/>
    <w:pitch w:val="default"/>
    <w:sig w:usb0="00007A87" w:usb1="80000000" w:usb2="00000008" w:usb3="00000000" w:csb0="400001FF" w:csb1="FFFF0000"/>
  </w:font>
  <w:font w:name="黑体">
    <w:altName w:val="WenQuanYi Micro Hei"/>
    <w:panose1 w:val="02010609060101010101"/>
    <w:charset w:val="00"/>
    <w:family w:val="decorative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decorative"/>
    <w:pitch w:val="default"/>
    <w:sig w:usb0="00007A87" w:usb1="80000000" w:usb2="00000008" w:usb3="00000000" w:csb0="400001FF" w:csb1="FFFF0000"/>
  </w:font>
  <w:font w:name="微软雅黑">
    <w:altName w:val="WenQuanYi Micro Hei"/>
    <w:panose1 w:val="020B0503020204020204"/>
    <w:charset w:val="00"/>
    <w:family w:val="roman"/>
    <w:pitch w:val="default"/>
    <w:sig w:usb0="00000000" w:usb1="00000000" w:usb2="00000016" w:usb3="00000000" w:csb0="0004001F" w:csb1="00000000"/>
  </w:font>
  <w:font w:name="华文行楷">
    <w:altName w:val="WenQuanYi Micro Hei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WenQuanYi Micro Hei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68784286">
    <w:nsid w:val="45AA3B9E"/>
    <w:multiLevelType w:val="multilevel"/>
    <w:tmpl w:val="45AA3B9E"/>
    <w:lvl w:ilvl="0" w:tentative="1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3028341">
    <w:nsid w:val="57340A75"/>
    <w:multiLevelType w:val="multilevel"/>
    <w:tmpl w:val="57340A7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68784286"/>
  </w:num>
  <w:num w:numId="2">
    <w:abstractNumId w:val="146302834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EF8997"/>
    <w:rsid w:val="53FC481C"/>
    <w:rsid w:val="53FFC8A2"/>
    <w:rsid w:val="755F3728"/>
    <w:rsid w:val="7F5DC53D"/>
    <w:rsid w:val="7FFF31AF"/>
    <w:rsid w:val="DABF50CD"/>
    <w:rsid w:val="FBDF201E"/>
    <w:rsid w:val="FDEF899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2016-05-10T08:50:00Z</dcterms:created>
  <dc:creator>bool</dc:creator>
  <cp:lastModifiedBy>bool</cp:lastModifiedBy>
  <dcterms:modified xsi:type="dcterms:W3CDTF">2016-05-12T12:42:49Z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