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93" w:line="2682" w:lineRule="exact"/>
        <w:rPr/>
      </w:pPr>
      <w:r>
        <w:rPr>
          <w:position w:val="-53"/>
        </w:rPr>
        <w:pict>
          <v:shape id="_x0000_s2" style="mso-position-vertical-relative:line;mso-position-horizontal-relative:char;width:961.35pt;height:134.1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1" w:right="221"/>
                    <w:spacing w:before="100" w:line="339" w:lineRule="auto"/>
                    <w:rPr>
                      <w:rFonts w:ascii="SimHei" w:hAnsi="SimHei" w:eastAsia="SimHei" w:cs="SimHei"/>
                      <w:sz w:val="31"/>
                      <w:szCs w:val="31"/>
                    </w:rPr>
                  </w:pP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1"/>
                    </w:rPr>
                    <w:t>核心提示：马步鱼俗称大棒鱼，体细长。略呈圆柱形，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1"/>
                    </w:rPr>
                    <w:t>一般体长17-24厘米、体重50-100克。上颌呈三角状片。长与宽相等，下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0"/>
                    </w:rPr>
                    <w:t>颌延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5"/>
                    </w:rPr>
                    <w:t>长成状。牙细小、体被细小圆鳞，背面正中线具较宽的翠绿色纵带。背鳍与鳍相对，均位于体后方，胸鳍位高、黄色，尾鳍叉形，</w:t>
                  </w:r>
                </w:p>
                <w:p>
                  <w:pPr>
                    <w:ind w:left="231" w:right="769"/>
                    <w:spacing w:before="12" w:line="339" w:lineRule="auto"/>
                    <w:rPr>
                      <w:rFonts w:ascii="SimHei" w:hAnsi="SimHei" w:eastAsia="SimHei" w:cs="SimHei"/>
                      <w:sz w:val="31"/>
                      <w:szCs w:val="31"/>
                    </w:rPr>
                  </w:pP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6"/>
                    </w:rPr>
                    <w:t>呈浅绿色，下叶略长于上叶。属于海杂鱼。因其生长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5"/>
                    </w:rPr>
                    <w:t>周期短，世代更新快，资源易于补充，故常保持一定的渔获量。市场销价较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3"/>
                    </w:rPr>
                    <w:t>低，受消费者欢迎。鲜食以油煎食之味佳，亦可加工成咸干品.肌肉含有丰富的蛋白质和脂肪等。</w:t>
                  </w:r>
                </w:p>
              </w:txbxContent>
            </v:textbox>
          </v:shape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07"/>
        <w:spacing w:before="101" w:line="216" w:lineRule="auto"/>
        <w:rPr/>
      </w:pPr>
      <w:r>
        <w:rPr>
          <w:spacing w:val="11"/>
        </w:rPr>
        <w:t>马步鱼俗称大棒鱼，体细长。略呈圆柱形，</w:t>
      </w:r>
      <w:r>
        <w:rPr>
          <w:spacing w:val="101"/>
        </w:rPr>
        <w:t xml:space="preserve"> </w:t>
      </w:r>
      <w:r>
        <w:rPr>
          <w:spacing w:val="11"/>
        </w:rPr>
        <w:t>一般体长17-24厘米、体重50-100克</w:t>
      </w:r>
      <w:r>
        <w:rPr>
          <w:spacing w:val="10"/>
        </w:rPr>
        <w:t>。上颌呈三角状片。长与宽相等，下颌延长成</w:t>
      </w:r>
    </w:p>
    <w:p>
      <w:pPr>
        <w:pStyle w:val="BodyText"/>
        <w:ind w:left="64" w:right="312"/>
        <w:spacing w:before="146" w:line="302" w:lineRule="auto"/>
        <w:rPr/>
      </w:pPr>
      <w:r>
        <w:rPr>
          <w:spacing w:val="15"/>
        </w:rPr>
        <w:t>状。牙细小、体被细小圆鳞，背面正中线具较宽的翠绿色纵带。背鳍与鳍相对，均位于体后方，胸鳍位高、黄色，尾鳍叉形，呈</w:t>
      </w:r>
      <w:r>
        <w:rPr>
          <w:spacing w:val="14"/>
        </w:rPr>
        <w:t>浅绿</w:t>
      </w:r>
      <w:r>
        <w:rPr/>
        <w:t xml:space="preserve"> </w:t>
      </w:r>
      <w:r>
        <w:rPr>
          <w:spacing w:val="15"/>
        </w:rPr>
        <w:t>色，下叶略长于上叶。分布于北太平洋西部。我国只产于黄海和渤海、多集中于浅海河口处，有时也进入淡水江河。辽宁，山东</w:t>
      </w:r>
      <w:r>
        <w:rPr>
          <w:spacing w:val="14"/>
        </w:rPr>
        <w:t>等沿</w:t>
      </w:r>
      <w:r>
        <w:rPr/>
        <w:t xml:space="preserve"> </w:t>
      </w:r>
      <w:r>
        <w:rPr>
          <w:spacing w:val="14"/>
        </w:rPr>
        <w:t>海一带分布广泛，是北部的主要经济鱼种，加工成的马步鱼片、鱼干，深受日本、韩国人民喜爱。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64" w:right="232" w:firstLine="640"/>
        <w:spacing w:before="101" w:line="296" w:lineRule="auto"/>
        <w:jc w:val="both"/>
        <w:rPr/>
      </w:pPr>
      <w:r>
        <w:rPr>
          <w:spacing w:val="11"/>
        </w:rPr>
        <w:t>经济价值：属于海杂鱼。因其生长周期短，世代更新快，资源易于补充，故常保持一定的渔获量。市场</w:t>
      </w:r>
      <w:r>
        <w:rPr>
          <w:spacing w:val="10"/>
        </w:rPr>
        <w:t>销价较低，受消费者欢迎。</w:t>
      </w:r>
      <w:r>
        <w:rPr/>
        <w:t xml:space="preserve"> </w:t>
      </w:r>
      <w:r>
        <w:rPr>
          <w:spacing w:val="14"/>
        </w:rPr>
        <w:t>鲜食以油煎食之味佳，亦可加工成咸干品.肌肉含有丰</w:t>
      </w:r>
      <w:r>
        <w:rPr>
          <w:spacing w:val="13"/>
        </w:rPr>
        <w:t>富的蛋白质和脂肪等。鲜肉入药具有滋阴、补气、解毒之功效，主治阴虚内热、</w:t>
      </w:r>
      <w:r>
        <w:rPr/>
        <w:t xml:space="preserve"> </w:t>
      </w:r>
      <w:r>
        <w:rPr>
          <w:spacing w:val="16"/>
        </w:rPr>
        <w:t>盗汗、五心烦热(结核肺),久溃疡疮，不易收口等症。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7" w:lineRule="auto"/>
        <w:rPr/>
      </w:pPr>
      <w:r>
        <w:rPr>
          <w:b/>
          <w:bCs/>
          <w:spacing w:val="20"/>
        </w:rPr>
        <w:t>加工工艺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01、</w:t>
      </w:r>
      <w:r>
        <w:rPr>
          <w:rFonts w:ascii="SimSun" w:hAnsi="SimSun" w:eastAsia="SimSun" w:cs="SimSun"/>
          <w:spacing w:val="-70"/>
        </w:rPr>
        <w:t xml:space="preserve"> </w:t>
      </w:r>
      <w:r>
        <w:rPr>
          <w:b/>
          <w:bCs/>
          <w:spacing w:val="8"/>
        </w:rPr>
        <w:t>工艺流程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102" w:line="224" w:lineRule="auto"/>
        <w:rPr/>
      </w:pPr>
      <w:r>
        <w:rPr>
          <w:spacing w:val="16"/>
        </w:rPr>
        <w:t>原料鱼→冰海水处理→分选→选级→剖片→清洗</w:t>
      </w:r>
      <w:r>
        <w:rPr>
          <w:spacing w:val="15"/>
        </w:rPr>
        <w:t>→控水→选级→摆盘→速冻→包装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4" w:lineRule="auto"/>
        <w:rPr/>
      </w:pPr>
      <w:r>
        <w:rPr>
          <w:rFonts w:ascii="SimSun" w:hAnsi="SimSun" w:eastAsia="SimSun" w:cs="SimSun"/>
          <w:b/>
          <w:bCs/>
          <w:spacing w:val="11"/>
        </w:rPr>
        <w:t>02、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b/>
          <w:bCs/>
          <w:spacing w:val="11"/>
        </w:rPr>
        <w:t>操作流程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rPr/>
      </w:pPr>
      <w:r>
        <w:rPr>
          <w:rFonts w:ascii="SimSun" w:hAnsi="SimSun" w:eastAsia="SimSun" w:cs="SimSun"/>
          <w:b/>
          <w:bCs/>
          <w:spacing w:val="-7"/>
        </w:rPr>
        <w:t>1、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b/>
          <w:bCs/>
          <w:spacing w:val="-7"/>
        </w:rPr>
        <w:t>原料：</w:t>
      </w:r>
    </w:p>
    <w:p>
      <w:pPr>
        <w:pStyle w:val="BodyText"/>
        <w:ind w:left="705"/>
        <w:spacing w:before="139" w:line="216" w:lineRule="auto"/>
        <w:rPr/>
      </w:pPr>
      <w:r>
        <w:rPr>
          <w:spacing w:val="15"/>
        </w:rPr>
        <w:t>原料必须是新鲜、外观透明的，鱼体坚硬，鱼最</w:t>
      </w:r>
      <w:r>
        <w:rPr>
          <w:spacing w:val="14"/>
        </w:rPr>
        <w:t>略带红斑，鱼体没有机械伤，鱼肚无任何破损异物。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2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2、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2"/>
        </w:rPr>
        <w:t>冰海水处理：</w:t>
      </w:r>
    </w:p>
    <w:p>
      <w:pPr>
        <w:pStyle w:val="BodyText"/>
        <w:ind w:left="705"/>
        <w:spacing w:before="183" w:line="225" w:lineRule="auto"/>
        <w:rPr/>
      </w:pPr>
      <w:r>
        <w:rPr>
          <w:spacing w:val="14"/>
        </w:rPr>
        <w:t>原料鱼放入冰海水里处理。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3、</w:t>
      </w:r>
      <w:r>
        <w:rPr>
          <w:b/>
          <w:bCs/>
          <w:spacing w:val="6"/>
        </w:rPr>
        <w:t>分选：</w:t>
      </w:r>
    </w:p>
    <w:p>
      <w:pPr>
        <w:pStyle w:val="BodyText"/>
        <w:ind w:left="705"/>
        <w:spacing w:before="191" w:line="226" w:lineRule="auto"/>
        <w:rPr/>
      </w:pPr>
      <w:r>
        <w:rPr>
          <w:spacing w:val="16"/>
        </w:rPr>
        <w:t>把加工的鱼选出准备加工。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4、</w:t>
      </w:r>
      <w:r>
        <w:rPr>
          <w:b/>
          <w:bCs/>
          <w:spacing w:val="6"/>
        </w:rPr>
        <w:t>选级：</w:t>
      </w:r>
    </w:p>
    <w:p>
      <w:pPr>
        <w:pStyle w:val="BodyText"/>
        <w:ind w:left="705"/>
        <w:spacing w:before="157" w:line="224" w:lineRule="auto"/>
        <w:rPr/>
      </w:pPr>
      <w:r>
        <w:rPr>
          <w:spacing w:val="12"/>
        </w:rPr>
        <w:t>选出各种规格鱼。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5、</w:t>
      </w:r>
      <w:r>
        <w:rPr>
          <w:b/>
          <w:bCs/>
          <w:spacing w:val="6"/>
        </w:rPr>
        <w:t>剖片：</w:t>
      </w:r>
    </w:p>
    <w:p>
      <w:pPr>
        <w:pStyle w:val="BodyText"/>
        <w:ind w:left="705"/>
        <w:spacing w:before="155" w:line="216" w:lineRule="auto"/>
        <w:rPr/>
      </w:pPr>
      <w:r>
        <w:rPr>
          <w:spacing w:val="15"/>
        </w:rPr>
        <w:t>把头背开必须保证内部完整，不能有任何破损，鱼肉光滑，鱼体完</w:t>
      </w:r>
      <w:r>
        <w:rPr>
          <w:spacing w:val="14"/>
        </w:rPr>
        <w:t>整。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6、</w:t>
      </w:r>
      <w:r>
        <w:rPr>
          <w:b/>
          <w:bCs/>
          <w:spacing w:val="6"/>
        </w:rPr>
        <w:t>清洗：</w:t>
      </w:r>
    </w:p>
    <w:p>
      <w:pPr>
        <w:pStyle w:val="BodyText"/>
        <w:ind w:left="705"/>
        <w:spacing w:before="155" w:line="216" w:lineRule="auto"/>
        <w:rPr/>
      </w:pPr>
      <w:r>
        <w:rPr>
          <w:spacing w:val="15"/>
        </w:rPr>
        <w:t>用刀去掉内脏，洗清黑模，保证肉完整，再用清洗。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2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12"/>
        </w:rPr>
        <w:t>7、</w:t>
      </w:r>
      <w:r>
        <w:rPr>
          <w:b/>
          <w:bCs/>
          <w:spacing w:val="12"/>
        </w:rPr>
        <w:t>控水：</w:t>
      </w:r>
    </w:p>
    <w:p>
      <w:pPr>
        <w:pStyle w:val="BodyText"/>
        <w:ind w:left="705"/>
        <w:spacing w:before="169" w:line="216" w:lineRule="auto"/>
        <w:rPr/>
      </w:pPr>
      <w:r>
        <w:rPr>
          <w:spacing w:val="12"/>
        </w:rPr>
        <w:t>洗清后鱼片装入带网得筐中，控水20分钟左右。(不</w:t>
      </w:r>
      <w:r>
        <w:rPr>
          <w:spacing w:val="11"/>
        </w:rPr>
        <w:t>能有血水)。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8、</w:t>
      </w:r>
      <w:r>
        <w:rPr>
          <w:rFonts w:ascii="SimSun" w:hAnsi="SimSun" w:eastAsia="SimSun" w:cs="SimSun"/>
          <w:spacing w:val="-90"/>
        </w:rPr>
        <w:t xml:space="preserve"> </w:t>
      </w:r>
      <w:r>
        <w:rPr>
          <w:b/>
          <w:bCs/>
          <w:spacing w:val="-1"/>
        </w:rPr>
        <w:t>选级：</w:t>
      </w:r>
    </w:p>
    <w:p>
      <w:pPr>
        <w:pStyle w:val="BodyText"/>
        <w:ind w:left="705"/>
        <w:spacing w:before="194" w:line="224" w:lineRule="auto"/>
        <w:rPr/>
      </w:pPr>
      <w:r>
        <w:rPr>
          <w:spacing w:val="16"/>
        </w:rPr>
        <w:t>控好水的鱼片选出各种规格。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12"/>
        </w:rPr>
        <w:t>9、</w:t>
      </w:r>
      <w:r>
        <w:rPr>
          <w:b/>
          <w:bCs/>
          <w:spacing w:val="12"/>
        </w:rPr>
        <w:t>摆盘：</w:t>
      </w:r>
    </w:p>
    <w:p>
      <w:pPr>
        <w:pStyle w:val="BodyText"/>
        <w:ind w:left="705"/>
        <w:spacing w:before="177" w:line="216" w:lineRule="auto"/>
        <w:rPr/>
      </w:pPr>
      <w:r>
        <w:rPr>
          <w:spacing w:val="17"/>
        </w:rPr>
        <w:t>每盘8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17"/>
        </w:rPr>
        <w:t>, </w:t>
      </w:r>
      <w:r>
        <w:rPr>
          <w:spacing w:val="17"/>
        </w:rPr>
        <w:t>每层加塑料纸，注意不能有头发、杂</w:t>
      </w:r>
      <w:r>
        <w:rPr>
          <w:spacing w:val="16"/>
        </w:rPr>
        <w:t>质。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-6"/>
        </w:rPr>
        <w:t>10、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b/>
          <w:bCs/>
          <w:spacing w:val="-6"/>
        </w:rPr>
        <w:t>速冻：</w:t>
      </w:r>
    </w:p>
    <w:p>
      <w:pPr>
        <w:pStyle w:val="BodyText"/>
        <w:ind w:left="705"/>
        <w:spacing w:before="135" w:line="225" w:lineRule="auto"/>
        <w:rPr/>
      </w:pPr>
      <w:r>
        <w:rPr>
          <w:spacing w:val="15"/>
        </w:rPr>
        <w:t>摆盘后的鱼片尽可能最短时间内速冻。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101" w:line="228" w:lineRule="auto"/>
        <w:outlineLvl w:val="1"/>
        <w:rPr/>
      </w:pPr>
      <w:r>
        <w:rPr>
          <w:rFonts w:ascii="SimSun" w:hAnsi="SimSun" w:eastAsia="SimSun" w:cs="SimSun"/>
          <w:b/>
          <w:bCs/>
          <w:spacing w:val="-9"/>
        </w:rPr>
        <w:t>11、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b/>
          <w:bCs/>
          <w:spacing w:val="-9"/>
        </w:rPr>
        <w:t>包装：</w:t>
      </w:r>
    </w:p>
    <w:p>
      <w:pPr>
        <w:pStyle w:val="BodyText"/>
        <w:ind w:left="705"/>
        <w:spacing w:before="169" w:line="216" w:lineRule="auto"/>
        <w:rPr/>
      </w:pPr>
      <w:r>
        <w:rPr>
          <w:spacing w:val="15"/>
        </w:rPr>
        <w:t>每块必须有塑料袋和垫板，箱外标注规格号以及日期。</w:t>
      </w:r>
    </w:p>
    <w:sectPr>
      <w:headerReference w:type="default" r:id="rId1"/>
      <w:pgSz w:w="20007" w:h="31680"/>
      <w:pgMar w:top="1" w:right="426" w:bottom="0" w:left="35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2025-08-15T10:25:48</vt:filetime>
  </property>
  <property fmtid="{D5CDD505-2E9C-101B-9397-08002B2CF9AE}" pid="4" name="UsrData">
    <vt:lpwstr>689e9aa8918830001fa5a893wl</vt:lpwstr>
  </property>
</Properties>
</file>