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7DB1625A">
      <w:pPr>
        <w:spacing w:after="500" w:before="1100"/>
      </w:pPr>
      <w:r>
        <w:rPr>
          <w:rFonts w:ascii="Aptos" w:cs="Aptos" w:eastAsia="Microsoft YaHei" w:hAnsi="Aptos"/>
          <w:b/>
          <w:bCs/>
          <w:color w:val="C43D0A"/>
          <w:sz w:val="24"/>
          <w:szCs w:val="24"/>
        </w:rPr>
        <w:t xml:space="preserve">知产公司</w:t>
      </w:r>
    </w:p>
    <w:p w14:paraId="59327232">
      <w:pPr>
        <w:pStyle w:val="Title"/>
        <w:spacing w:after="260" w:line="560"/>
      </w:pPr>
      <w:r>
        <w:rPr>
          <w:rFonts w:ascii="Aptos" w:cs="Aptos" w:eastAsia="Microsoft YaHei" w:hAnsi="Aptos"/>
          <w:b/>
          <w:bCs/>
          <w:color w:val="24221F"/>
          <w:sz w:val="46"/>
          <w:szCs w:val="46"/>
        </w:rPr>
        <w:t xml:space="preserve">产品理念、业务逻辑与产品逻辑</w:t>
      </w:r>
    </w:p>
    <w:p w14:paraId="7E1F2DDE">
      <w:pPr>
        <w:spacing w:after="700"/>
      </w:pPr>
      <w:r>
        <w:rPr>
          <w:rFonts w:ascii="Aptos" w:cs="Aptos" w:eastAsia="Microsoft YaHei" w:hAnsi="Aptos"/>
          <w:color w:val="716C63"/>
          <w:sz w:val="25"/>
          <w:szCs w:val="25"/>
        </w:rPr>
        <w:t>公司化拟人设计 × Agent 协同闭环 × 三层使用模式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8CF" w:sz="4"/>
              <w:left w:val="single" w:color="C43D0A" w:sz="12"/>
              <w:bottom w:val="single" w:color="DDD8CF" w:sz="4"/>
              <w:right w:val="single" w:color="DDD8CF" w:sz="4"/>
            </w:tcBorders>
            <w:shd w:fill="F8EEE7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 w14:paraId="4F2A2422">
            <w:pPr>
              <w:spacing w:after="70"/>
            </w:pPr>
            <w:r>
              <w:rPr>
                <w:rFonts w:ascii="Aptos" w:cs="Aptos" w:eastAsia="Microsoft YaHei" w:hAnsi="Aptos"/>
                <w:b/>
                <w:bCs/>
                <w:color w:val="24221F"/>
                <w:sz w:val="21"/>
                <w:szCs w:val="21"/>
              </w:rPr>
              <w:t xml:space="preserve">核心定义</w:t>
            </w:r>
          </w:p>
          <w:p w14:paraId="63874AB0">
            <w:pPr>
              <w:spacing w:after="0" w:line="320"/>
            </w:pPr>
            <w:r>
              <w:rPr>
                <w:rFonts w:ascii="Aptos" w:cs="Aptos" w:eastAsia="Microsoft YaHei" w:hAnsi="Aptos"/>
                <w:color w:val="37342F"/>
                <w:sz w:val="21"/>
                <w:szCs w:val="21"/>
              </w:rPr>
              <w:t xml:space="preserve">为没有专职 IP 团队的中小企业，提供一家可理解、可协作、可追责的虚拟知产公司。用户通过一名知产负责人提出业务目标，公司内不同部门与专家在统一事实、权限和质量体系下完成工作，并与代理所专业人员协同交付。</w:t>
            </w:r>
          </w:p>
        </w:tc>
      </w:tr>
    </w:tbl>
    <w:p w14:paraId="36740CAA">
      <w:pPr>
        <w:spacing w:after="90" w:before="900"/>
      </w:pPr>
      <w:r>
        <w:rPr>
          <w:rFonts w:ascii="Aptos" w:cs="Aptos" w:eastAsia="Microsoft YaHei" w:hAnsi="Aptos"/>
          <w:color w:val="716C63"/>
          <w:sz w:val="20"/>
          <w:szCs w:val="20"/>
        </w:rPr>
        <w:t>产品共识文档 · V0.5</w:t>
      </w:r>
    </w:p>
    <w:p w14:paraId="7189051E">
      <w:pPr>
        <w:spacing w:after="40"/>
      </w:pPr>
      <w:r>
        <w:rPr>
          <w:rFonts w:ascii="Aptos" w:cs="Aptos" w:eastAsia="Microsoft YaHei" w:hAnsi="Aptos"/>
          <w:color w:val="716C63"/>
          <w:sz w:val="20"/>
          <w:szCs w:val="20"/>
        </w:rPr>
        <w:t xml:space="preserve">2026 年 10 月 24 日</w:t>
      </w:r>
    </w:p>
    <w:p w14:paraId="622A86FE">
      <w:pPr>
        <w:spacing w:after="140" w:line="330"/>
      </w:pPr>
      <w:r>
        <w:br w:type="page"/>
      </w:r>
    </w:p>
    <w:p w14:paraId="60E8944E">
      <w:pPr>
        <w:spacing w:after="180"/>
      </w:pPr>
      <w:r>
        <w:rPr>
          <w:rFonts w:ascii="Aptos" w:cs="Aptos" w:eastAsia="Microsoft YaHei" w:hAnsi="Aptos"/>
          <w:b/>
          <w:bCs/>
          <w:color w:val="24221F"/>
          <w:sz w:val="30"/>
          <w:szCs w:val="30"/>
        </w:rPr>
        <w:t xml:space="preserve">目录</w:t>
      </w:r>
    </w:p>
    <w:p w14:paraId="1E6B5BB4">
      <w:pPr>
        <w:spacing w:after="140" w:line="330"/>
        <w:jc w:val="left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目录页码可在 Word／WPS 中更新域后刷新。</w:t>
      </w:r>
    </w:p>
    <w:sdt xmlns:w="http://schemas.openxmlformats.org/wordprocessingml/2006/main">
      <w:sdtPr>
        <w:alias w:val="目录"/>
      </w:sdtPr>
      <w:sdtContent>
        <w:p w14:paraId="757FA2A8">
          <w:r>
            <w:fldChar w:fldCharType="begin" w:dirty="true"/>
            <w:instrText xml:space="preserve"> TOC \o "1-3" \h \z \u </w:instrText>
            <w:fldChar w:fldCharType="separate"/>
          </w:r>
        </w:p>
        <w:p w14:paraId="7DC2AC3E">
          <w:pPr>
            <w:tabs>
              <w:tab w:val="right" w:leader="dot" w:pos="9000"/>
            </w:tabs>
            <w:ind w:left="0"/>
          </w:pPr>
          <w:r>
            <w:t>一、本次讨论形成的产品共识</w:t>
          </w:r>
          <w:r>
            <w:tab/>
          </w:r>
          <w:r>
            <w:t>3</w:t>
          </w:r>
        </w:p>
        <w:p w14:paraId="792B9FAE">
          <w:pPr>
            <w:tabs>
              <w:tab w:val="right" w:leader="dot" w:pos="9000"/>
            </w:tabs>
            <w:ind w:left="0"/>
          </w:pPr>
          <w:r>
            <w:t>二、产品理念：一家公司，一个负责人，多个专业部门</w:t>
          </w:r>
          <w:r>
            <w:tab/>
          </w:r>
          <w:r>
            <w:t>4</w:t>
          </w:r>
        </w:p>
        <w:p w14:paraId="6ECD1332">
          <w:pPr>
            <w:tabs>
              <w:tab w:val="right" w:leader="dot" w:pos="9000"/>
            </w:tabs>
            <w:ind w:left="0"/>
          </w:pPr>
          <w:r>
            <w:t>三、业务逻辑：两条主线、一个资产底座、多种业务对象</w:t>
          </w:r>
          <w:r>
            <w:tab/>
          </w:r>
          <w:r>
            <w:t>5</w:t>
          </w:r>
        </w:p>
        <w:p w14:paraId="3C1538EE">
          <w:pPr>
            <w:tabs>
              <w:tab w:val="right" w:leader="dot" w:pos="9000"/>
            </w:tabs>
            <w:ind w:left="0"/>
          </w:pPr>
          <w:r>
            <w:t>四、产品逻辑：统一入口、双端协同、受控接力</w:t>
          </w:r>
          <w:r>
            <w:tab/>
          </w:r>
          <w:r>
            <w:t>7</w:t>
          </w:r>
        </w:p>
        <w:p w14:paraId="42015744">
          <w:pPr>
            <w:tabs>
              <w:tab w:val="right" w:leader="dot" w:pos="9000"/>
            </w:tabs>
            <w:ind w:left="0"/>
          </w:pPr>
          <w:r>
            <w:t>五、MVP 与能力演进</w:t>
          </w:r>
          <w:r>
            <w:tab/>
          </w:r>
          <w:r>
            <w:t>14</w:t>
          </w:r>
        </w:p>
        <w:p w14:paraId="521B225A">
          <w:pPr>
            <w:tabs>
              <w:tab w:val="right" w:leader="dot" w:pos="9000"/>
            </w:tabs>
            <w:ind w:left="0"/>
          </w:pPr>
          <w:r>
            <w:t>六、对现有原型的调整要求</w:t>
          </w:r>
          <w:r>
            <w:tab/>
          </w:r>
          <w:r>
            <w:t>15</w:t>
          </w:r>
        </w:p>
        <w:p w14:paraId="34BFA436">
          <w:pPr>
            <w:tabs>
              <w:tab w:val="right" w:leader="dot" w:pos="9000"/>
            </w:tabs>
            <w:ind w:left="0"/>
          </w:pPr>
          <w:r>
            <w:t>七、产品原则与待继续讨论事项</w:t>
          </w:r>
          <w:r>
            <w:tab/>
          </w:r>
          <w:r>
            <w:t>17</w:t>
          </w:r>
        </w:p>
        <w:p w14:paraId="47622E94">
          <w:r>
            <w:fldChar w:fldCharType="end"/>
          </w:r>
        </w:p>
      </w:sdtContent>
    </w:sdt>
    <w:p w14:paraId="335154FA">
      <w:pPr>
        <w:spacing w:after="140" w:line="330"/>
      </w:pPr>
      <w:r>
        <w:br w:type="page"/>
      </w:r>
    </w:p>
    <w:p w14:paraId="20ED1BE4">
      <w:pPr>
        <w:pStyle w:val="Heading1"/>
        <w:keepNext/>
        <w:spacing w:after="180" w:before="360"/>
      </w:pPr>
      <w:r>
        <w:rPr>
          <w:rFonts w:ascii="Aptos" w:cs="Aptos" w:eastAsia="Microsoft YaHei" w:hAnsi="Aptos"/>
          <w:b/>
          <w:bCs/>
          <w:color w:val="24221F"/>
          <w:sz w:val="30"/>
          <w:szCs w:val="30"/>
        </w:rPr>
        <w:t xml:space="preserve">一、本次讨论形成的产品共识</w:t>
      </w:r>
    </w:p>
    <w:p w14:paraId="6F5A6570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本次讨论不是否定“公司—部门—专家”的拟人化设计，而是在保留其专业感与可理解性的基础上，解决小白用户需要理解过多部门、业务范围过宽以及底层对象与权限不够清晰的问题。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600"/>
        <w:gridCol w:w="2600"/>
      </w:tblGrid>
      <w:tr>
        <w:trPr>
          <w:tblHeader/>
        </w:trPr>
        <w:tc>
          <w:tcPr>
            <w:tcW w:type="dxa" w:w="15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06839B6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议题</w:t>
            </w:r>
          </w:p>
        </w:tc>
        <w:tc>
          <w:tcPr>
            <w:tcW w:type="dxa" w:w="25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979E3A2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保留的价值</w:t>
            </w:r>
          </w:p>
        </w:tc>
        <w:tc>
          <w:tcPr>
            <w:tcW w:type="dxa" w:w="26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01EE450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需要调整的地方</w:t>
            </w:r>
          </w:p>
        </w:tc>
        <w:tc>
          <w:tcPr>
            <w:tcW w:type="dxa" w:w="26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D88F740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形成的共识</w:t>
            </w:r>
          </w:p>
        </w:tc>
      </w:tr>
      <w:tr>
        <w:tc>
          <w:tcPr>
            <w:tcW w:type="dxa" w:w="1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926379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公司化拟人设计</w:t>
            </w:r>
          </w:p>
        </w:tc>
        <w:tc>
          <w:tcPr>
            <w:tcW w:type="dxa" w:w="2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9B1146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降低 Agent 理解成本，形成专业组织与信任感</w:t>
            </w:r>
          </w:p>
        </w:tc>
        <w:tc>
          <w:tcPr>
            <w:tcW w:type="dxa" w:w="2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F41F47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十个部门全部暴露会增加学习成本</w:t>
            </w:r>
          </w:p>
        </w:tc>
        <w:tc>
          <w:tcPr>
            <w:tcW w:type="dxa" w:w="2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019326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保留公司、部门、专家；增加统一知产负责人</w:t>
            </w:r>
          </w:p>
        </w:tc>
      </w:tr>
      <w:tr>
        <w:tc>
          <w:tcPr>
            <w:tcW w:type="dxa" w:w="1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E7E151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全生命周期</w:t>
            </w:r>
          </w:p>
        </w:tc>
        <w:tc>
          <w:tcPr>
            <w:tcW w:type="dxa" w:w="2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7BBB53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形成长期产品地图，覆盖研发与代理所协同</w:t>
            </w:r>
          </w:p>
        </w:tc>
        <w:tc>
          <w:tcPr>
            <w:tcW w:type="dxa" w:w="26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A3F4DD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首版全做会导致范围失控、能力浅化</w:t>
            </w:r>
          </w:p>
        </w:tc>
        <w:tc>
          <w:tcPr>
            <w:tcW w:type="dxa" w:w="26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FC7467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全生命周期作为蓝图，核心申请链路作为 MVP</w:t>
            </w:r>
          </w:p>
        </w:tc>
      </w:tr>
      <w:tr>
        <w:tc>
          <w:tcPr>
            <w:tcW w:type="dxa" w:w="1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D5B9B5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双角色工作台</w:t>
            </w:r>
          </w:p>
        </w:tc>
        <w:tc>
          <w:tcPr>
            <w:tcW w:type="dxa" w:w="2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8F5325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符合企业与代理所不同工作目标</w:t>
            </w:r>
          </w:p>
        </w:tc>
        <w:tc>
          <w:tcPr>
            <w:tcW w:type="dxa" w:w="2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6F1CBA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研发端直接采用高三栏密度仍偏复杂</w:t>
            </w:r>
          </w:p>
        </w:tc>
        <w:tc>
          <w:tcPr>
            <w:tcW w:type="dxa" w:w="2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B21C4E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企业默认简版，代理所默认专业三栏</w:t>
            </w:r>
          </w:p>
        </w:tc>
      </w:tr>
      <w:tr>
        <w:tc>
          <w:tcPr>
            <w:tcW w:type="dxa" w:w="1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8B3D8F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项目与上下文接力</w:t>
            </w:r>
          </w:p>
        </w:tc>
        <w:tc>
          <w:tcPr>
            <w:tcW w:type="dxa" w:w="2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C9CC55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避免重复输入、版本分散和协同断点</w:t>
            </w:r>
          </w:p>
        </w:tc>
        <w:tc>
          <w:tcPr>
            <w:tcW w:type="dxa" w:w="26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D29A02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单一项目对象和全量共享不够准确</w:t>
            </w:r>
          </w:p>
        </w:tc>
        <w:tc>
          <w:tcPr>
            <w:tcW w:type="dxa" w:w="26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E9DC9C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多对象、独立状态、分权共享、交付快照</w:t>
            </w:r>
          </w:p>
        </w:tc>
      </w:tr>
    </w:tbl>
    <w:p w14:paraId="7300201C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1.1 最终产品表达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8CF" w:sz="4"/>
              <w:left w:val="single" w:color="C43D0A" w:sz="12"/>
              <w:bottom w:val="single" w:color="DDD8CF" w:sz="4"/>
              <w:right w:val="single" w:color="DDD8CF" w:sz="4"/>
            </w:tcBorders>
            <w:shd w:fill="F8EEE7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 w14:paraId="6CCC4D74">
            <w:pPr>
              <w:spacing w:after="70"/>
            </w:pPr>
            <w:r>
              <w:rPr>
                <w:rFonts w:ascii="Aptos" w:cs="Aptos" w:eastAsia="Microsoft YaHei" w:hAnsi="Aptos"/>
                <w:b/>
                <w:bCs/>
                <w:color w:val="24221F"/>
                <w:sz w:val="21"/>
                <w:szCs w:val="21"/>
              </w:rPr>
              <w:t xml:space="preserve">一句话版本</w:t>
            </w:r>
          </w:p>
          <w:p w14:paraId="11D58A1E">
            <w:pPr>
              <w:spacing w:after="0" w:line="320"/>
            </w:pPr>
            <w:r>
              <w:rPr>
                <w:rFonts w:ascii="Aptos" w:cs="Aptos" w:eastAsia="Microsoft YaHei" w:hAnsi="Aptos"/>
                <w:color w:val="37342F"/>
                <w:sz w:val="21"/>
                <w:szCs w:val="21"/>
              </w:rPr>
              <w:t>一家公司承接完整能力，一个负责人持续接受委托并组织工作，多个部门按节点交付；助手、项目、专业三种模式共享同一业务底座，用户在协同与文书双工作区中完成补充、纠偏、确认和接力。</w:t>
            </w:r>
          </w:p>
        </w:tc>
      </w:tr>
    </w:tbl>
    <w:p w14:paraId="5CA479BE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1.2 不再采用的极端方案</w:t>
      </w:r>
    </w:p>
    <w:p w14:paraId="43E696F8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 xml:space="preserve">不采用：</w:t>
      </w:r>
      <w:r>
        <w:rPr>
          <w:rFonts w:ascii="Aptos" w:cs="Aptos" w:eastAsia="Microsoft YaHei" w:hAnsi="Aptos"/>
          <w:color w:val="37342F"/>
          <w:sz w:val="21"/>
          <w:szCs w:val="21"/>
        </w:rPr>
        <w:t xml:space="preserve">只有公司、部门、专家，没有统一负责人：用户仍需自己判断该找谁。</w:t>
      </w:r>
    </w:p>
    <w:p w14:paraId="43E8CD64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 xml:space="preserve">也不采用：</w:t>
      </w:r>
      <w:r>
        <w:rPr>
          <w:rFonts w:ascii="Aptos" w:cs="Aptos" w:eastAsia="Microsoft YaHei" w:hAnsi="Aptos"/>
          <w:color w:val="37342F"/>
          <w:sz w:val="21"/>
          <w:szCs w:val="21"/>
        </w:rPr>
        <w:t xml:space="preserve">只保留一个聊天助手，隐藏全部组织结构：虽简单，但专业分工、复核关系与能力可信度难以体现。</w:t>
      </w:r>
    </w:p>
    <w:p w14:paraId="6E20973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 xml:space="preserve">采用：</w:t>
      </w:r>
      <w:r>
        <w:rPr>
          <w:rFonts w:ascii="Aptos" w:cs="Aptos" w:eastAsia="Microsoft YaHei" w:hAnsi="Aptos"/>
          <w:color w:val="37342F"/>
          <w:sz w:val="21"/>
          <w:szCs w:val="21"/>
        </w:rPr>
        <w:t xml:space="preserve">负责人统一入口，组织结构按需可见；简单任务不展示复杂过程，专业任务可以查看部门、专家、依据与版本。</w:t>
      </w:r>
    </w:p>
    <w:p w14:paraId="61FBF2DC">
      <w:pPr>
        <w:pStyle w:val="Heading1"/>
        <w:keepNext/>
        <w:spacing w:after="180" w:before="360"/>
      </w:pPr>
      <w:r>
        <w:rPr>
          <w:rFonts w:ascii="Aptos" w:cs="Aptos" w:eastAsia="Microsoft YaHei" w:hAnsi="Aptos"/>
          <w:b/>
          <w:bCs/>
          <w:color w:val="24221F"/>
          <w:sz w:val="30"/>
          <w:szCs w:val="30"/>
        </w:rPr>
        <w:t xml:space="preserve">二、产品理念：一家公司，一个负责人，多个专业部门</w:t>
      </w:r>
    </w:p>
    <w:p w14:paraId="4DB9DEA4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2.1 公司化设计的真实价值</w:t>
      </w:r>
    </w:p>
    <w:p w14:paraId="6BB2F4A8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公司化不是视觉包装，也不是把多个 Agent 换成人类职称。它应当成为用户理解产品能力、责任关系和工作方式的一套稳定语言。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800"/>
      </w:tblGrid>
      <w:tr>
        <w:trPr>
          <w:tblHeader/>
        </w:trPr>
        <w:tc>
          <w:tcPr>
            <w:tcW w:type="dxa" w:w="16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60CA3EC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拟人化概念</w:t>
            </w:r>
          </w:p>
        </w:tc>
        <w:tc>
          <w:tcPr>
            <w:tcW w:type="dxa" w:w="28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CA748A4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用户如何理解</w:t>
            </w:r>
          </w:p>
        </w:tc>
        <w:tc>
          <w:tcPr>
            <w:tcW w:type="dxa" w:w="48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276558E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产品中的真实含义</w:t>
            </w:r>
          </w:p>
        </w:tc>
      </w:tr>
      <w:tr>
        <w:tc>
          <w:tcPr>
            <w:tcW w:type="dxa" w:w="1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D267F2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公司</w:t>
            </w:r>
          </w:p>
        </w:tc>
        <w:tc>
          <w:tcPr>
            <w:tcW w:type="dxa" w:w="28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D31563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这里具备完整知产服务能力</w:t>
            </w:r>
          </w:p>
        </w:tc>
        <w:tc>
          <w:tcPr>
            <w:tcW w:type="dxa" w:w="48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B1A949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能力集合、项目制度、权限体系、质量体系与长期资产沉淀</w:t>
            </w:r>
          </w:p>
        </w:tc>
      </w:tr>
      <w:tr>
        <w:tc>
          <w:tcPr>
            <w:tcW w:type="dxa" w:w="16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1BFA6C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知产负责人</w:t>
            </w:r>
          </w:p>
        </w:tc>
        <w:tc>
          <w:tcPr>
            <w:tcW w:type="dxa" w:w="28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38BF6C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我只需要找这个人，他会组织并跟进</w:t>
            </w:r>
          </w:p>
        </w:tc>
        <w:tc>
          <w:tcPr>
            <w:tcW w:type="dxa" w:w="48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53D232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统一需求入口、任务路由、计划管理、异常升级与统一汇报</w:t>
            </w:r>
          </w:p>
        </w:tc>
      </w:tr>
      <w:tr>
        <w:tc>
          <w:tcPr>
            <w:tcW w:type="dxa" w:w="1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A29652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部门</w:t>
            </w:r>
          </w:p>
        </w:tc>
        <w:tc>
          <w:tcPr>
            <w:tcW w:type="dxa" w:w="28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A50A1D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不同专业工作由相应团队完成</w:t>
            </w:r>
          </w:p>
        </w:tc>
        <w:tc>
          <w:tcPr>
            <w:tcW w:type="dxa" w:w="48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22E8BE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预置 SOP、输入输出、工具能力、交付标准和质检规则</w:t>
            </w:r>
          </w:p>
        </w:tc>
      </w:tr>
      <w:tr>
        <w:tc>
          <w:tcPr>
            <w:tcW w:type="dxa" w:w="16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656D6C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专家</w:t>
            </w:r>
          </w:p>
        </w:tc>
        <w:tc>
          <w:tcPr>
            <w:tcW w:type="dxa" w:w="28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9D5D57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某项专业判断由擅长的人处理</w:t>
            </w:r>
          </w:p>
        </w:tc>
        <w:tc>
          <w:tcPr>
            <w:tcW w:type="dxa" w:w="48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E7A316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AI 专业角色或真实人员；身份必须明确，不能虚构真人资质</w:t>
            </w:r>
          </w:p>
        </w:tc>
      </w:tr>
      <w:tr>
        <w:tc>
          <w:tcPr>
            <w:tcW w:type="dxa" w:w="1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1D4DAA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交办／接力／会签／交付</w:t>
            </w:r>
          </w:p>
        </w:tc>
        <w:tc>
          <w:tcPr>
            <w:tcW w:type="dxa" w:w="28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AD12F3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像真实公司一样推进工作</w:t>
            </w:r>
          </w:p>
        </w:tc>
        <w:tc>
          <w:tcPr>
            <w:tcW w:type="dxa" w:w="48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FA7818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任务创建、条件交接、人工决策和版本化正式交付</w:t>
            </w:r>
          </w:p>
        </w:tc>
      </w:tr>
    </w:tbl>
    <w:p w14:paraId="702B2FCC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2.2 知产负责人的定位</w:t>
      </w:r>
    </w:p>
    <w:p w14:paraId="0BAB795E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知产负责人是公司的前台收口，而不是替代所有部门的新“万能 Agent”。其核心职责是理解业务目标、组织专业工作、控制项目节奏，并把专业问题翻译成用户能够判断的事项。</w:t>
      </w:r>
    </w:p>
    <w:p w14:paraId="3ED8A536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 xml:space="preserve">① </w:t>
      </w:r>
      <w:r>
        <w:rPr>
          <w:rFonts w:ascii="Aptos" w:cs="Aptos" w:eastAsia="Microsoft YaHei" w:hAnsi="Aptos"/>
          <w:color w:val="37342F"/>
          <w:sz w:val="21"/>
          <w:szCs w:val="21"/>
        </w:rPr>
        <w:t xml:space="preserve">理解需求：从技术想法、产品上市、OA 通知或资产管理需求中识别业务目标。</w:t>
      </w:r>
    </w:p>
    <w:p w14:paraId="10478AE8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 xml:space="preserve">② </w:t>
      </w:r>
      <w:r>
        <w:rPr>
          <w:rFonts w:ascii="Aptos" w:cs="Aptos" w:eastAsia="Microsoft YaHei" w:hAnsi="Aptos"/>
          <w:color w:val="37342F"/>
          <w:sz w:val="21"/>
          <w:szCs w:val="21"/>
        </w:rPr>
        <w:t xml:space="preserve">制定路径：根据对象、阶段、风险与期限推荐节点，而非固定执行全部流程。</w:t>
      </w:r>
    </w:p>
    <w:p w14:paraId="0EECBE5E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 xml:space="preserve">③ </w:t>
      </w:r>
      <w:r>
        <w:rPr>
          <w:rFonts w:ascii="Aptos" w:cs="Aptos" w:eastAsia="Microsoft YaHei" w:hAnsi="Aptos"/>
          <w:color w:val="37342F"/>
          <w:sz w:val="21"/>
          <w:szCs w:val="21"/>
        </w:rPr>
        <w:t xml:space="preserve">组织部门：调用适当部门，控制并行、回退、重开与交接条件。</w:t>
      </w:r>
    </w:p>
    <w:p w14:paraId="55FA7512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 xml:space="preserve">④ </w:t>
      </w:r>
      <w:r>
        <w:rPr>
          <w:rFonts w:ascii="Aptos" w:cs="Aptos" w:eastAsia="Microsoft YaHei" w:hAnsi="Aptos"/>
          <w:color w:val="37342F"/>
          <w:sz w:val="21"/>
          <w:szCs w:val="21"/>
        </w:rPr>
        <w:t xml:space="preserve">统一汇报：告诉用户正在做什么、为什么做、已经产出什么、需要确认什么。</w:t>
      </w:r>
    </w:p>
    <w:p w14:paraId="5F26BC54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 xml:space="preserve">⑤ </w:t>
      </w:r>
      <w:r>
        <w:rPr>
          <w:rFonts w:ascii="Aptos" w:cs="Aptos" w:eastAsia="Microsoft YaHei" w:hAnsi="Aptos"/>
          <w:color w:val="37342F"/>
          <w:sz w:val="21"/>
          <w:szCs w:val="21"/>
        </w:rPr>
        <w:t xml:space="preserve">异常升级：遇到事实冲突、证据不足、高风险或专业责任事项时，转交真实人员。</w:t>
      </w:r>
    </w:p>
    <w:p w14:paraId="379A5F9A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2.3 专业感来自真实分工，不来自角色数量</w:t>
      </w:r>
    </w:p>
    <w:p w14:paraId="6B4A60D6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部门与专家应在展示专业分工、检索依据、复核关系、交付责任和自定义能力时出现。</w:t>
      </w:r>
    </w:p>
    <w:p w14:paraId="7C78EE4C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日常推进由负责人统一表达，避免多个专家连续发消息形成“群聊轰炸”。</w:t>
      </w:r>
    </w:p>
    <w:p w14:paraId="36D52E16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AI 专家与真实代理师、企业人员必须明确区分；不得用拟人化暗示 AI 具有法定资质。</w:t>
      </w:r>
    </w:p>
    <w:p w14:paraId="3934C50E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代理所端采用“项目组长／专业团队”的表达，保留专业工作方式，不强行套用面向小白的公司化话术。</w:t>
      </w:r>
    </w:p>
    <w:p w14:paraId="3E78BBC0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2.4 推荐产品语言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000"/>
      </w:tblGrid>
      <w:tr>
        <w:trPr>
          <w:tblHeader/>
        </w:trPr>
        <w:tc>
          <w:tcPr>
            <w:tcW w:type="dxa" w:w="22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F5B36A8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前台用户语言</w:t>
            </w:r>
          </w:p>
        </w:tc>
        <w:tc>
          <w:tcPr>
            <w:tcW w:type="dxa" w:w="40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CE6F132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后台技术含义</w:t>
            </w:r>
          </w:p>
        </w:tc>
        <w:tc>
          <w:tcPr>
            <w:tcW w:type="dxa" w:w="30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AC29064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展示原则</w:t>
            </w:r>
          </w:p>
        </w:tc>
      </w:tr>
      <w:tr>
        <w:tc>
          <w:tcPr>
            <w:tcW w:type="dxa" w:w="2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D5A7AB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告诉知产负责人</w:t>
            </w:r>
          </w:p>
        </w:tc>
        <w:tc>
          <w:tcPr>
            <w:tcW w:type="dxa" w:w="4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D1B06C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Intent 识别、对象识别、任务路由</w:t>
            </w:r>
          </w:p>
        </w:tc>
        <w:tc>
          <w:tcPr>
            <w:tcW w:type="dxa" w:w="3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CAEFE1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默认入口</w:t>
            </w:r>
          </w:p>
        </w:tc>
      </w:tr>
      <w:tr>
        <w:tc>
          <w:tcPr>
            <w:tcW w:type="dxa" w:w="2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E59B89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公司正在推进</w:t>
            </w:r>
          </w:p>
        </w:tc>
        <w:tc>
          <w:tcPr>
            <w:tcW w:type="dxa" w:w="4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AFEF01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多任务编排、状态与进度聚合</w:t>
            </w:r>
          </w:p>
        </w:tc>
        <w:tc>
          <w:tcPr>
            <w:tcW w:type="dxa" w:w="3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4B29C7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默认可见</w:t>
            </w:r>
          </w:p>
        </w:tc>
      </w:tr>
      <w:tr>
        <w:tc>
          <w:tcPr>
            <w:tcW w:type="dxa" w:w="2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19C108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查看专业过程</w:t>
            </w:r>
          </w:p>
        </w:tc>
        <w:tc>
          <w:tcPr>
            <w:tcW w:type="dxa" w:w="4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4B8DB9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部门、专家、工具调用与质检记录</w:t>
            </w:r>
          </w:p>
        </w:tc>
        <w:tc>
          <w:tcPr>
            <w:tcW w:type="dxa" w:w="3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6F727E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按需展开</w:t>
            </w:r>
          </w:p>
        </w:tc>
      </w:tr>
      <w:tr>
        <w:tc>
          <w:tcPr>
            <w:tcW w:type="dxa" w:w="2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B2EF60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需要你确认</w:t>
            </w:r>
          </w:p>
        </w:tc>
        <w:tc>
          <w:tcPr>
            <w:tcW w:type="dxa" w:w="4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33820E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Human-in-the-loop 决策点</w:t>
            </w:r>
          </w:p>
        </w:tc>
        <w:tc>
          <w:tcPr>
            <w:tcW w:type="dxa" w:w="3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606739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强提醒、不可跳过</w:t>
            </w:r>
          </w:p>
        </w:tc>
      </w:tr>
      <w:tr>
        <w:tc>
          <w:tcPr>
            <w:tcW w:type="dxa" w:w="2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B38D6C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交给下一部门</w:t>
            </w:r>
          </w:p>
        </w:tc>
        <w:tc>
          <w:tcPr>
            <w:tcW w:type="dxa" w:w="4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3E8071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满足准入条件后的上下文与交付物交接</w:t>
            </w:r>
          </w:p>
        </w:tc>
        <w:tc>
          <w:tcPr>
            <w:tcW w:type="dxa" w:w="3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B91163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说明交接内容</w:t>
            </w:r>
          </w:p>
        </w:tc>
      </w:tr>
      <w:tr>
        <w:tc>
          <w:tcPr>
            <w:tcW w:type="dxa" w:w="2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C64691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正式交付</w:t>
            </w:r>
          </w:p>
        </w:tc>
        <w:tc>
          <w:tcPr>
            <w:tcW w:type="dxa" w:w="4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F82157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权限受控的版本快照与确认记录</w:t>
            </w:r>
          </w:p>
        </w:tc>
        <w:tc>
          <w:tcPr>
            <w:tcW w:type="dxa" w:w="3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30BEFA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形成审计记录</w:t>
            </w:r>
          </w:p>
        </w:tc>
      </w:tr>
    </w:tbl>
    <w:p w14:paraId="47D72B76">
      <w:pPr>
        <w:pStyle w:val="Heading1"/>
        <w:keepNext/>
        <w:spacing w:after="180" w:before="360"/>
      </w:pPr>
      <w:r>
        <w:rPr>
          <w:rFonts w:ascii="Aptos" w:cs="Aptos" w:eastAsia="Microsoft YaHei" w:hAnsi="Aptos"/>
          <w:b/>
          <w:bCs/>
          <w:color w:val="24221F"/>
          <w:sz w:val="30"/>
          <w:szCs w:val="30"/>
        </w:rPr>
        <w:t xml:space="preserve">三、业务逻辑：两条主线、一个资产底座、多种业务对象</w:t>
      </w:r>
    </w:p>
    <w:p w14:paraId="1C9311D6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3.1 权利形成主线</w:t>
      </w:r>
    </w:p>
    <w:p w14:paraId="47A7297A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创新启发 → 专利挖掘 → 布局策略 → 技术交底 → 可专利性检索 → 申请文件 → 质量审查 → 申请与审查 → OA 答复／复审 → 授权登记 → 维持与运营。</w:t>
      </w:r>
    </w:p>
    <w:p w14:paraId="08B2A07E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该主线允许回退、并行和条件分支。例如检索后返回挖掘，交底撰写中返回技术事实补充，OA 阶段重新评估分案。系统不能把“当前节点”理解为不可改变的顺序进度条。</w:t>
      </w:r>
    </w:p>
    <w:p w14:paraId="556E393C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3.2 风险防控主线</w:t>
      </w:r>
    </w:p>
    <w:p w14:paraId="3EBC75F8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研发立项、产品上市、参展、出海或技术方案变更时，按业务事件触发：产品技术拆解 → FTO 检索 → 有效权利要求比对 → 风险分级 → 规避设计／无效评估／许可 → 变更后的复核。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8CF" w:sz="4"/>
              <w:left w:val="single" w:color="C43D0A" w:sz="12"/>
              <w:bottom w:val="single" w:color="DDD8CF" w:sz="4"/>
              <w:right w:val="single" w:color="DDD8CF" w:sz="4"/>
            </w:tcBorders>
            <w:shd w:fill="F8EEE7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 w14:paraId="7D167AAC">
            <w:pPr>
              <w:spacing w:after="70"/>
            </w:pPr>
            <w:r>
              <w:rPr>
                <w:rFonts w:ascii="Aptos" w:cs="Aptos" w:eastAsia="Microsoft YaHei" w:hAnsi="Aptos"/>
                <w:b/>
                <w:bCs/>
                <w:color w:val="24221F"/>
                <w:sz w:val="21"/>
                <w:szCs w:val="21"/>
              </w:rPr>
              <w:t xml:space="preserve">必须保持的边界</w:t>
            </w:r>
          </w:p>
          <w:p w14:paraId="34191F02">
            <w:pPr>
              <w:spacing w:after="0" w:line="320"/>
            </w:pPr>
            <w:r>
              <w:rPr>
                <w:rFonts w:ascii="Aptos" w:cs="Aptos" w:eastAsia="Microsoft YaHei" w:hAnsi="Aptos"/>
                <w:color w:val="37342F"/>
                <w:sz w:val="21"/>
                <w:szCs w:val="21"/>
              </w:rPr>
              <w:t xml:space="preserve">可专利性检索回答“自己的方案能否获得专利”；FTO 回答“特定产品、在特定地区和时间实施，是否可能落入他人权利要求”。两者可以共享部分文献与事实，但目的、对象、检索范围和判断逻辑不同。</w:t>
            </w:r>
          </w:p>
        </w:tc>
      </w:tr>
    </w:tbl>
    <w:p w14:paraId="1944DF8E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3.3 资产底座</w:t>
      </w:r>
    </w:p>
    <w:p w14:paraId="1CCE85E2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申请案件授权后进入资产体系，与技术方案、产品、市场、竞争对手、法律状态、年费、许可、维权和无效风险建立关系。资产运营不是生命周期的终点，而会反向影响布局、维持、研发和竞品监控。</w:t>
      </w:r>
    </w:p>
    <w:p w14:paraId="75D7C080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3.4 业务对象模型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400"/>
      </w:tblGrid>
      <w:tr>
        <w:trPr>
          <w:tblHeader/>
        </w:trPr>
        <w:tc>
          <w:tcPr>
            <w:tcW w:type="dxa" w:w="17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D551FC4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对象</w:t>
            </w:r>
          </w:p>
        </w:tc>
        <w:tc>
          <w:tcPr>
            <w:tcW w:type="dxa" w:w="31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7A2EF5E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核心问题</w:t>
            </w:r>
          </w:p>
        </w:tc>
        <w:tc>
          <w:tcPr>
            <w:tcW w:type="dxa" w:w="44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B69C280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典型关系与状态</w:t>
            </w:r>
          </w:p>
        </w:tc>
      </w:tr>
      <w:tr>
        <w:tc>
          <w:tcPr>
            <w:tcW w:type="dxa" w:w="17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693F2B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研发项目</w:t>
            </w:r>
          </w:p>
        </w:tc>
        <w:tc>
          <w:tcPr>
            <w:tcW w:type="dxa" w:w="31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747A9C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为什么研发、形成哪些技术成果</w:t>
            </w:r>
          </w:p>
        </w:tc>
        <w:tc>
          <w:tcPr>
            <w:tcW w:type="dxa" w:w="44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AEA1BD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关联产品、技术方案、人员；研发中／验证中／结项</w:t>
            </w:r>
          </w:p>
        </w:tc>
      </w:tr>
      <w:tr>
        <w:tc>
          <w:tcPr>
            <w:tcW w:type="dxa" w:w="17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ED3696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技术方案／专利点</w:t>
            </w:r>
          </w:p>
        </w:tc>
        <w:tc>
          <w:tcPr>
            <w:tcW w:type="dxa" w:w="31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424192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具体保护什么、是否值得申请</w:t>
            </w:r>
          </w:p>
        </w:tc>
        <w:tc>
          <w:tcPr>
            <w:tcW w:type="dxa" w:w="44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9B5621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可生成多个申请案件；待评估／拟申请／暂缓／放弃</w:t>
            </w:r>
          </w:p>
        </w:tc>
      </w:tr>
      <w:tr>
        <w:tc>
          <w:tcPr>
            <w:tcW w:type="dxa" w:w="17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6DD639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申请案件</w:t>
            </w:r>
          </w:p>
        </w:tc>
        <w:tc>
          <w:tcPr>
            <w:tcW w:type="dxa" w:w="31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7C3FF0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一件具体申请当前处于什么法律与工作流程</w:t>
            </w:r>
          </w:p>
        </w:tc>
        <w:tc>
          <w:tcPr>
            <w:tcW w:type="dxa" w:w="44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D0CB6E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独立期限与版本；撰写／质检／实审／OA／授权等</w:t>
            </w:r>
          </w:p>
        </w:tc>
      </w:tr>
      <w:tr>
        <w:tc>
          <w:tcPr>
            <w:tcW w:type="dxa" w:w="17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880A49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产品与实施方案</w:t>
            </w:r>
          </w:p>
        </w:tc>
        <w:tc>
          <w:tcPr>
            <w:tcW w:type="dxa" w:w="31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2237DF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什么产品、版本、地区和上市时间需要风险判断</w:t>
            </w:r>
          </w:p>
        </w:tc>
        <w:tc>
          <w:tcPr>
            <w:tcW w:type="dxa" w:w="44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81E351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FTO 的对象；方案冻结／变更／上市／停产</w:t>
            </w:r>
          </w:p>
        </w:tc>
      </w:tr>
      <w:tr>
        <w:tc>
          <w:tcPr>
            <w:tcW w:type="dxa" w:w="17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2A4BF6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专利资产</w:t>
            </w:r>
          </w:p>
        </w:tc>
        <w:tc>
          <w:tcPr>
            <w:tcW w:type="dxa" w:w="31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23FFB8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授权权利如何维持、组合和运营</w:t>
            </w:r>
          </w:p>
        </w:tc>
        <w:tc>
          <w:tcPr>
            <w:tcW w:type="dxa" w:w="44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3A53AF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关联产品与价值；有效／待年费／许可／失效等</w:t>
            </w:r>
          </w:p>
        </w:tc>
      </w:tr>
      <w:tr>
        <w:tc>
          <w:tcPr>
            <w:tcW w:type="dxa" w:w="17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904A06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文献与证据</w:t>
            </w:r>
          </w:p>
        </w:tc>
        <w:tc>
          <w:tcPr>
            <w:tcW w:type="dxa" w:w="31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C3A064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结论依据是什么、来源是否可靠</w:t>
            </w:r>
          </w:p>
        </w:tc>
        <w:tc>
          <w:tcPr>
            <w:tcW w:type="dxa" w:w="44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E9F1E0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被检索、比对、OA 与 FTO 以不同方式使用</w:t>
            </w:r>
          </w:p>
        </w:tc>
      </w:tr>
      <w:tr>
        <w:tc>
          <w:tcPr>
            <w:tcW w:type="dxa" w:w="17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EB37BA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任务、期限与决策</w:t>
            </w:r>
          </w:p>
        </w:tc>
        <w:tc>
          <w:tcPr>
            <w:tcW w:type="dxa" w:w="31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87128E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谁应在何时完成或确认什么</w:t>
            </w:r>
          </w:p>
        </w:tc>
        <w:tc>
          <w:tcPr>
            <w:tcW w:type="dxa" w:w="44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121D48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贯穿所有对象，必须记录责任人与审计轨迹</w:t>
            </w:r>
          </w:p>
        </w:tc>
      </w:tr>
    </w:tbl>
    <w:p w14:paraId="25B90AF4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3.5 独立状态机与事件驱动</w:t>
      </w:r>
    </w:p>
    <w:p w14:paraId="4B62933A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项目状态、申请案件状态、产品风险状态分别管理，不能用一个项目阶段覆盖全部对象。</w:t>
      </w:r>
    </w:p>
    <w:p w14:paraId="51CADD2E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节点进入和退出必须有条件。例如交底书事实未确认，不应直接进入正式申请文件定稿。</w:t>
      </w:r>
    </w:p>
    <w:p w14:paraId="04853246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新产品上市、收到官方通知书、产品方案变更、权利失效等事件可以自动创建任务或重开流程。</w:t>
      </w:r>
    </w:p>
    <w:p w14:paraId="14DF6768">
      <w:pPr>
        <w:pStyle w:val="Heading1"/>
        <w:keepNext/>
        <w:spacing w:after="180" w:before="360"/>
      </w:pPr>
      <w:r>
        <w:rPr>
          <w:rFonts w:ascii="Aptos" w:cs="Aptos" w:eastAsia="Microsoft YaHei" w:hAnsi="Aptos"/>
          <w:b/>
          <w:bCs/>
          <w:color w:val="24221F"/>
          <w:sz w:val="30"/>
          <w:szCs w:val="30"/>
        </w:rPr>
        <w:t xml:space="preserve">四、产品逻辑：统一入口、双端协同、受控接力</w:t>
      </w:r>
    </w:p>
    <w:p w14:paraId="646DCF12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4.1 一个入口、两类工作台、三类空间、四套机制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3D19274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结构</w:t>
            </w:r>
          </w:p>
        </w:tc>
        <w:tc>
          <w:tcPr>
            <w:tcW w:type="dxa" w:w="72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26F3C5C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设计</w:t>
            </w:r>
          </w:p>
        </w:tc>
      </w:tr>
      <w:tr>
        <w:tc>
          <w:tcPr>
            <w:tcW w:type="dxa" w:w="2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5E4900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一个入口</w:t>
            </w:r>
          </w:p>
        </w:tc>
        <w:tc>
          <w:tcPr>
            <w:tcW w:type="dxa" w:w="7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E8165B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知产负责人接收所有业务目标，用户不需要先选部门或 Agent</w:t>
            </w:r>
          </w:p>
        </w:tc>
      </w:tr>
      <w:tr>
        <w:tc>
          <w:tcPr>
            <w:tcW w:type="dxa" w:w="2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E3D4B0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两类工作台</w:t>
            </w:r>
          </w:p>
        </w:tc>
        <w:tc>
          <w:tcPr>
            <w:tcW w:type="dxa" w:w="7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32915A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企业研发以事项、事实与决策为中心；代理所以期限、卷宗、文书、证据与交付为中心</w:t>
            </w:r>
          </w:p>
        </w:tc>
      </w:tr>
      <w:tr>
        <w:tc>
          <w:tcPr>
            <w:tcW w:type="dxa" w:w="2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411D38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三类空间</w:t>
            </w:r>
          </w:p>
        </w:tc>
        <w:tc>
          <w:tcPr>
            <w:tcW w:type="dxa" w:w="7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C5847D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企业私有、代理所私有、双方共享；跨空间共享必须明确授权</w:t>
            </w:r>
          </w:p>
        </w:tc>
      </w:tr>
      <w:tr>
        <w:tc>
          <w:tcPr>
            <w:tcW w:type="dxa" w:w="2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B3F938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四套机制</w:t>
            </w:r>
          </w:p>
        </w:tc>
        <w:tc>
          <w:tcPr>
            <w:tcW w:type="dxa" w:w="7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E13750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部门接力、证据溯源、版本管理、人工决策</w:t>
            </w:r>
          </w:p>
        </w:tc>
      </w:tr>
      <w:tr>
        <w:tc>
          <w:tcPr>
            <w:tcW w:type="dxa" w:w="2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B455C7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多种对象</w:t>
            </w:r>
          </w:p>
        </w:tc>
        <w:tc>
          <w:tcPr>
            <w:tcW w:type="dxa" w:w="7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FD2A6D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研发项目、专利点、申请案件、产品、专利资产分别建模并建立关系</w:t>
            </w:r>
          </w:p>
        </w:tc>
      </w:tr>
    </w:tbl>
    <w:p w14:paraId="2FBFF1AE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4.2 端到端工作闭环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200"/>
      </w:tblGrid>
      <w:tr>
        <w:trPr>
          <w:tblHeader/>
        </w:trPr>
        <w:tc>
          <w:tcPr>
            <w:tcW w:type="dxa" w:w="15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09FEA6E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步骤</w:t>
            </w:r>
          </w:p>
        </w:tc>
        <w:tc>
          <w:tcPr>
            <w:tcW w:type="dxa" w:w="45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444AF2C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系统行为</w:t>
            </w:r>
          </w:p>
        </w:tc>
        <w:tc>
          <w:tcPr>
            <w:tcW w:type="dxa" w:w="32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5CF3F98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用户感知</w:t>
            </w:r>
          </w:p>
        </w:tc>
      </w:tr>
      <w:tr>
        <w:tc>
          <w:tcPr>
            <w:tcW w:type="dxa" w:w="1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94C847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1. 提出目标</w:t>
            </w:r>
          </w:p>
        </w:tc>
        <w:tc>
          <w:tcPr>
            <w:tcW w:type="dxa" w:w="4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F2A5B2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识别业务对象、目标、时间、地区和限制</w:t>
            </w:r>
          </w:p>
        </w:tc>
        <w:tc>
          <w:tcPr>
            <w:tcW w:type="dxa" w:w="3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FCE098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直接告诉负责人要做什么</w:t>
            </w:r>
          </w:p>
        </w:tc>
      </w:tr>
      <w:tr>
        <w:tc>
          <w:tcPr>
            <w:tcW w:type="dxa" w:w="1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97F733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2. 形成计划</w:t>
            </w:r>
          </w:p>
        </w:tc>
        <w:tc>
          <w:tcPr>
            <w:tcW w:type="dxa" w:w="4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7DCE7B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推荐路径、负责部门、交付物与决策点</w:t>
            </w:r>
          </w:p>
        </w:tc>
        <w:tc>
          <w:tcPr>
            <w:tcW w:type="dxa" w:w="3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44EE36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知道公司将如何推进</w:t>
            </w:r>
          </w:p>
        </w:tc>
      </w:tr>
      <w:tr>
        <w:tc>
          <w:tcPr>
            <w:tcW w:type="dxa" w:w="1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2B5F8A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3. 部门执行</w:t>
            </w:r>
          </w:p>
        </w:tc>
        <w:tc>
          <w:tcPr>
            <w:tcW w:type="dxa" w:w="4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A64B3D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检索、追问、比对、撰写、质检，保存依据与版本</w:t>
            </w:r>
          </w:p>
        </w:tc>
        <w:tc>
          <w:tcPr>
            <w:tcW w:type="dxa" w:w="3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3E2391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看到整体进展，不必关注每次调用</w:t>
            </w:r>
          </w:p>
        </w:tc>
      </w:tr>
      <w:tr>
        <w:tc>
          <w:tcPr>
            <w:tcW w:type="dxa" w:w="1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79B19D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4. 人工确认</w:t>
            </w:r>
          </w:p>
        </w:tc>
        <w:tc>
          <w:tcPr>
            <w:tcW w:type="dxa" w:w="4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599258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对事实、策略、范围、风险与递交设置确认门</w:t>
            </w:r>
          </w:p>
        </w:tc>
        <w:tc>
          <w:tcPr>
            <w:tcW w:type="dxa" w:w="3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99FAEC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只处理必须由其判断的事项</w:t>
            </w:r>
          </w:p>
        </w:tc>
      </w:tr>
      <w:tr>
        <w:tc>
          <w:tcPr>
            <w:tcW w:type="dxa" w:w="1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296243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5. 受控接力</w:t>
            </w:r>
          </w:p>
        </w:tc>
        <w:tc>
          <w:tcPr>
            <w:tcW w:type="dxa" w:w="4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541F6E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校验准入条件，继承权限内的上下文和已验收交付物</w:t>
            </w:r>
          </w:p>
        </w:tc>
        <w:tc>
          <w:tcPr>
            <w:tcW w:type="dxa" w:w="3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BF48A0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知道谁在接手、接手了什么</w:t>
            </w:r>
          </w:p>
        </w:tc>
      </w:tr>
      <w:tr>
        <w:tc>
          <w:tcPr>
            <w:tcW w:type="dxa" w:w="1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6A60BE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6. 正式交付</w:t>
            </w:r>
          </w:p>
        </w:tc>
        <w:tc>
          <w:tcPr>
            <w:tcW w:type="dxa" w:w="4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7D444C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形成双方共享的版本快照、意见与确认记录</w:t>
            </w:r>
          </w:p>
        </w:tc>
        <w:tc>
          <w:tcPr>
            <w:tcW w:type="dxa" w:w="3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17DCB9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获得可审阅、可追踪的交付物</w:t>
            </w:r>
          </w:p>
        </w:tc>
      </w:tr>
      <w:tr>
        <w:tc>
          <w:tcPr>
            <w:tcW w:type="dxa" w:w="1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963BFC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7. 持续管理</w:t>
            </w:r>
          </w:p>
        </w:tc>
        <w:tc>
          <w:tcPr>
            <w:tcW w:type="dxa" w:w="4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93FC8A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期限、官方事件、产品变更与资产事件触发后续任务</w:t>
            </w:r>
          </w:p>
        </w:tc>
        <w:tc>
          <w:tcPr>
            <w:tcW w:type="dxa" w:w="3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52F7F5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项目不会止步于一次性文档生成</w:t>
            </w:r>
          </w:p>
        </w:tc>
      </w:tr>
    </w:tbl>
    <w:p w14:paraId="305DB536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4.3 双角色界面原则</w:t>
      </w:r>
    </w:p>
    <w:p w14:paraId="6C04CB38">
      <w:pPr>
        <w:pStyle w:val="Heading3"/>
        <w:keepNext/>
        <w:spacing w:after="100" w:before="220"/>
      </w:pPr>
      <w:r>
        <w:rPr>
          <w:rFonts w:ascii="Aptos" w:cs="Aptos" w:eastAsia="Microsoft YaHei" w:hAnsi="Aptos"/>
          <w:b/>
          <w:bCs/>
          <w:color w:val="C43D0A"/>
          <w:sz w:val="22"/>
          <w:szCs w:val="22"/>
        </w:rPr>
        <w:t xml:space="preserve">企业研发端：默认简单，专业过程按需展开</w:t>
      </w:r>
    </w:p>
    <w:p w14:paraId="2FC08F26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首页优先呈现全公司待办、跨项目进展、最近交付与下一期限；详细部门任务进入具体项目查看。</w:t>
      </w:r>
    </w:p>
    <w:p w14:paraId="6D1B8CC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文档页默认突出正文、待确认标记和负责人解释，文件树与专家过程可以折叠。</w:t>
      </w:r>
    </w:p>
    <w:p w14:paraId="01F6208A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专业版可以保留 Cursor 式三栏，但不作为小白首次使用的唯一形态。</w:t>
      </w:r>
    </w:p>
    <w:p w14:paraId="696FAC72">
      <w:pPr>
        <w:pStyle w:val="Heading3"/>
        <w:keepNext/>
        <w:spacing w:after="100" w:before="220"/>
      </w:pPr>
      <w:r>
        <w:rPr>
          <w:rFonts w:ascii="Aptos" w:cs="Aptos" w:eastAsia="Microsoft YaHei" w:hAnsi="Aptos"/>
          <w:b/>
          <w:bCs/>
          <w:color w:val="C43D0A"/>
          <w:sz w:val="22"/>
          <w:szCs w:val="22"/>
        </w:rPr>
        <w:t xml:space="preserve">代理所端：专业生产与质量控制优先</w:t>
      </w:r>
    </w:p>
    <w:p w14:paraId="45ADB60C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默认采用左侧卷宗、中间文书、右侧专业任务／证据／协同的三栏工作台。</w:t>
      </w:r>
    </w:p>
    <w:p w14:paraId="4E66068E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工作队列优先按法定期限、内部期限、客户等待和交付风险排序。</w:t>
      </w:r>
    </w:p>
    <w:p w14:paraId="3A68EB3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内部策略讨论与质检底稿默认位于代理所私有空间，正式交付经复核后共享。</w:t>
      </w:r>
    </w:p>
    <w:p w14:paraId="5A4BABD6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4.4 权限与交付快照</w:t>
      </w:r>
    </w:p>
    <w:p w14:paraId="54B5E59E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“继承全部上下文”应修正为“在权限范围内继承完成本节点所需的事实、证据、版本与决策”。跨企业和代理所边界时，不默认共享全部内部过程。</w:t>
      </w:r>
    </w:p>
    <w:p w14:paraId="0F5DE43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企业私有：未公开研发资料、成本、市场计划及不希望外发的信息。</w:t>
      </w:r>
    </w:p>
    <w:p w14:paraId="601F90CA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代理所私有：内部策略讨论、工作底稿、交叉质检和人员安排。</w:t>
      </w:r>
    </w:p>
    <w:p w14:paraId="72A38D3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双方共享：确认后的技术材料、正式交付物、待决策事项与确认记录。</w:t>
      </w:r>
    </w:p>
    <w:p w14:paraId="6316DACE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正式交付：绑定具体版本、交付人、时间、可见范围和客户确认结果。</w:t>
      </w:r>
    </w:p>
    <w:p w14:paraId="2CAD2586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4.5 两轴分层：身份维度 × 使用深度</w:t>
      </w:r>
    </w:p>
    <w:p w14:paraId="0E0B01BE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>身份决定数据范围、责任与默认工作台，使用深度决定可见能力和信息密度。企业研发、代理所与管理员是身份维度；助手、项目、专业是模式维度。身份不等于熟练程度：代理师也可以只用助手，企业 IP 顾问也可以进入专业模式。</w:t>
      </w:r>
    </w:p>
    <w:p w14:paraId="4098BFC4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助手、项目、专业是同一产品的三种使用深度，不是面向三类用户的三套产品。</w:t>
      </w:r>
    </w:p>
    <w:p w14:paraId="62446392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界面使用“助手｜项目｜专业”，不使用“小白模式”等带有能力评判的名称；用户可随任务复杂度随时切换。</w:t>
      </w:r>
    </w:p>
    <w:p w14:paraId="0E0B01C0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4.6 三种模式的界面范围与能力边界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600"/>
        <w:gridCol w:w="2600"/>
      </w:tblGrid>
      <w:tr>
        <w:trPr>
          <w:tblHeader/>
        </w:trPr>
        <w:tc>
          <w:tcPr>
            <w:tcW w:type="dxa" w:w="15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3CC72AA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>模式</w:t>
            </w:r>
          </w:p>
        </w:tc>
        <w:tc>
          <w:tcPr>
            <w:tcW w:type="dxa" w:w="25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B117376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>用户主要看到</w:t>
            </w:r>
          </w:p>
        </w:tc>
        <w:tc>
          <w:tcPr>
            <w:tcW w:type="dxa" w:w="26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B9BD708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>用户可以做什么</w:t>
            </w:r>
          </w:p>
        </w:tc>
        <w:tc>
          <w:tcPr>
            <w:tcW w:type="dxa" w:w="26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FAAEA20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>系统在后台做什么</w:t>
            </w:r>
          </w:p>
        </w:tc>
      </w:tr>
      <w:tr>
        <w:tc>
          <w:tcPr>
            <w:tcW w:type="dxa" w:w="1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C7A62A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助手</w:t>
            </w:r>
          </w:p>
        </w:tc>
        <w:tc>
          <w:tcPr>
            <w:tcW w:type="dxa" w:w="2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DAC247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顾言、当前事项、待确认与交付物</w:t>
            </w:r>
          </w:p>
        </w:tc>
        <w:tc>
          <w:tcPr>
            <w:tcW w:type="dxa" w:w="2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F42802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用自然语言提出目标、补充事实、确认决策</w:t>
            </w:r>
          </w:p>
        </w:tc>
        <w:tc>
          <w:tcPr>
            <w:tcW w:type="dxa" w:w="2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4D1228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自动建档、路由部门、维护版本并统一汇报</w:t>
            </w:r>
          </w:p>
        </w:tc>
      </w:tr>
      <w:tr>
        <w:tc>
          <w:tcPr>
            <w:tcW w:type="dxa" w:w="1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292F3B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项目</w:t>
            </w:r>
          </w:p>
        </w:tc>
        <w:tc>
          <w:tcPr>
            <w:tcW w:type="dxa" w:w="2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C193B4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项目与对象、路径、部门、预设专家和工作台</w:t>
            </w:r>
          </w:p>
        </w:tc>
        <w:tc>
          <w:tcPr>
            <w:tcW w:type="dxa" w:w="26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421AA6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新建项目、调整路径、选择部门、替换或添加预设专家</w:t>
            </w:r>
          </w:p>
        </w:tc>
        <w:tc>
          <w:tcPr>
            <w:tcW w:type="dxa" w:w="26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E797DD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推荐优先，保留对象状态、权限与接力规则</w:t>
            </w:r>
          </w:p>
        </w:tc>
      </w:tr>
      <w:tr>
        <w:tc>
          <w:tcPr>
            <w:tcW w:type="dxa" w:w="1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34F5A3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专业</w:t>
            </w:r>
          </w:p>
        </w:tc>
        <w:tc>
          <w:tcPr>
            <w:tcW w:type="dxa" w:w="2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7DF558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部门模板、专家、Skill、提示词、MCP、测试与发布</w:t>
            </w:r>
          </w:p>
        </w:tc>
        <w:tc>
          <w:tcPr>
            <w:tcW w:type="dxa" w:w="2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098BFC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自定义能力、组装部门、试运行、发布和回滚</w:t>
            </w:r>
          </w:p>
        </w:tc>
        <w:tc>
          <w:tcPr>
            <w:tcW w:type="dxa" w:w="2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EC1794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执行模板权限、版本隔离、凭据管理与审计</w:t>
            </w:r>
          </w:p>
        </w:tc>
      </w:tr>
    </w:tbl>
    <w:p w14:paraId="52269714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>助手模式不等于“没有项目”。系统仍在后台建立研发项目、申请案件或产品风险对象，只是不要求初级用户先理解对象模型和部门结构。项目模式坚持推荐优先，用户决定“谁来做什么”，不必从空白流程开始搭建。</w:t>
      </w:r>
    </w:p>
    <w:p w14:paraId="6ACBF44C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4.7 三模式共享同一业务底座</w:t>
      </w:r>
    </w:p>
    <w:p w14:paraId="5B921C8C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>模式切换只改变可见能力、操作入口与信息密度，不改变事实、权限和责任。三种模式必须共享同一项目、案件、文书、证据、版本、确认记录和交付快照。</w:t>
      </w:r>
    </w:p>
    <w:p w14:paraId="2EC0931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助手模式创建的交底书，在项目模式中应进入同一研发项目，而不是生成另一个副本。</w:t>
      </w:r>
    </w:p>
    <w:p w14:paraId="3BF59CE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项目模式确认的部门与专家，在助手模式中由顾言继续协调，无需重新交办。</w:t>
      </w:r>
    </w:p>
    <w:p w14:paraId="031DCCF2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专业模式发布的模板只影响后续选用该版本的任务；进行中的项目仍保留原配置与历史版本。</w:t>
      </w:r>
    </w:p>
    <w:p w14:paraId="15644D52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从专业模式返回助手模式，只隐藏配置细节，不撤销已发布的权限、复核与人工确认要求。</w:t>
      </w:r>
    </w:p>
    <w:p w14:paraId="560431C2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4.8 专业模式的五类配置对象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1C7FEC4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>配置对象</w:t>
            </w:r>
          </w:p>
        </w:tc>
        <w:tc>
          <w:tcPr>
            <w:tcW w:type="dxa" w:w="72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4D3886A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>应承担的责任</w:t>
            </w:r>
          </w:p>
        </w:tc>
      </w:tr>
      <w:tr>
        <w:tc>
          <w:tcPr>
            <w:tcW w:type="dxa" w:w="2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84026C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专家</w:t>
            </w:r>
          </w:p>
        </w:tc>
        <w:tc>
          <w:tcPr>
            <w:tcW w:type="dxa" w:w="7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1F3EE2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定义职责、主责或协作关系、责任边界、异常升级与交付责任。</w:t>
            </w:r>
          </w:p>
        </w:tc>
      </w:tr>
      <w:tr>
        <w:tc>
          <w:tcPr>
            <w:tcW w:type="dxa" w:w="2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D8F1ED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Skill</w:t>
            </w:r>
          </w:p>
        </w:tc>
        <w:tc>
          <w:tcPr>
            <w:tcW w:type="dxa" w:w="7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5E6C47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提供可复用的方法、流程、模板、规则与示例，不等于专家本身。</w:t>
            </w:r>
          </w:p>
        </w:tc>
      </w:tr>
      <w:tr>
        <w:tc>
          <w:tcPr>
            <w:tcW w:type="dxa" w:w="2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C7BE3E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提示词</w:t>
            </w:r>
          </w:p>
        </w:tc>
        <w:tc>
          <w:tcPr>
            <w:tcW w:type="dxa" w:w="7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1919B7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约束行为、判断原则和表达要求；不得写入密钥或易变的项目业务数据。</w:t>
            </w:r>
          </w:p>
        </w:tc>
      </w:tr>
      <w:tr>
        <w:tc>
          <w:tcPr>
            <w:tcW w:type="dxa" w:w="2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088DCF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MCP</w:t>
            </w:r>
          </w:p>
        </w:tc>
        <w:tc>
          <w:tcPr>
            <w:tcW w:type="dxa" w:w="7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90C641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连接外部数据与工具；按任务授予最小权限，并记录读取、写入和交付动作。</w:t>
            </w:r>
          </w:p>
        </w:tc>
      </w:tr>
      <w:tr>
        <w:tc>
          <w:tcPr>
            <w:tcW w:type="dxa" w:w="2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0658D2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部门</w:t>
            </w:r>
          </w:p>
        </w:tc>
        <w:tc>
          <w:tcPr>
            <w:tcW w:type="dxa" w:w="7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18B461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组织专家分工、节点接力、交叉复核、验收标准、输入输出和权限机制。</w:t>
            </w:r>
          </w:p>
        </w:tc>
      </w:tr>
    </w:tbl>
    <w:p w14:paraId="33D7CC9E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4.9 专业配置的测试、发布与权限治理</w:t>
      </w:r>
    </w:p>
    <w:p w14:paraId="2A5C3782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>专业模式第一版优先采用结构化配置页，不急于实现复杂 Agent 节点拖拽画布。先把职责、规则、连接、测试与版本关系做清楚，再评估是否需要可视化编排。</w:t>
      </w:r>
    </w:p>
    <w:p w14:paraId="4547F1F6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模板来源清晰：区分个人草稿、团队模板与组织正式模板，显示创建人、来源、适用范围和当前版本。</w:t>
      </w:r>
    </w:p>
    <w:p w14:paraId="78DF56A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发布前必须试运行：使用代表性样例验证输入读取、专家接力、输出结构、权限边界与人工升级。</w:t>
      </w:r>
    </w:p>
    <w:p w14:paraId="6CF3D3B6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版本可回滚：新版本默认不追溯修改进行中的项目；回滚也需生成预览并保留审计记录。</w:t>
      </w:r>
    </w:p>
    <w:p w14:paraId="7A1EE148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MCP 凭据由管理员统一管理，部门和专家只获得必要权限，不能把访问密钥写进提示词。</w:t>
      </w:r>
    </w:p>
    <w:p w14:paraId="118B1C96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专业配置不能绕过人工责任：技术事实、保护范围、风险接受、正式交付与法定责任事项仍由相应真实人员确认。</w:t>
      </w:r>
    </w:p>
    <w:p w14:paraId="3956E218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4.10 Agent 主交互：持续委托，而非一次性路由</w:t>
      </w:r>
    </w:p>
    <w:p w14:paraId="49A62E1E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>知产负责人不能只在首页识别意图并跳转页面，而要对同一业务目标持续负责：理解目标 → 提出计划 → 组织部门 → 展示执行 → 请求补充 → 形成交付 → 请求确认 → 推进或退回。用户可以在任何一步追问依据、调整目标、增减专家、暂停节点或退回任务。</w:t>
      </w:r>
    </w:p>
    <w:p w14:paraId="6A430F6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对话是持续指挥入口，任务与交付物是工作主体；首页既不能退化为项目仪表盘，也不能变成脱离业务对象的纯聊天窗口。</w:t>
      </w:r>
    </w:p>
    <w:p w14:paraId="5E6F3C06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顾言统一收口汇报，部门与专家在节点内可见；不展示模型原始思维过程，只展示任务、动作摘要、依据、版本和产出。</w:t>
      </w:r>
    </w:p>
    <w:p w14:paraId="23A78A4A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用户指令必须继承当前项目、节点、文书和选中内容的上下文，不能每次都重新开始一段无状态聊天。</w:t>
      </w:r>
    </w:p>
    <w:p w14:paraId="29B5011E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4.11 每个业务节点的统一工作契约</w:t>
      </w:r>
    </w:p>
    <w:p w14:paraId="03AD5278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>交底书、申请文件、OA、FTO 等节点可以具有不同专业步骤，但对用户应采用同一套可理解结构，使“哪个部门、哪些专家、怎样工作、如何确认、如何接力”始终可见。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B0E7C02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>节点要素</w:t>
            </w:r>
          </w:p>
        </w:tc>
        <w:tc>
          <w:tcPr>
            <w:tcW w:type="dxa" w:w="72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1A6BF56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>必须向用户说明的内容</w:t>
            </w:r>
          </w:p>
        </w:tc>
      </w:tr>
      <w:tr>
        <w:tc>
          <w:tcPr>
            <w:tcW w:type="dxa" w:w="2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B7B748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节点目标</w:t>
            </w:r>
          </w:p>
        </w:tc>
        <w:tc>
          <w:tcPr>
            <w:tcW w:type="dxa" w:w="7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A2DE41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为什么执行本节点，解决什么业务问题，完成标准是什么。</w:t>
            </w:r>
          </w:p>
        </w:tc>
      </w:tr>
      <w:tr>
        <w:tc>
          <w:tcPr>
            <w:tcW w:type="dxa" w:w="2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7D60F2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负责部门</w:t>
            </w:r>
          </w:p>
        </w:tc>
        <w:tc>
          <w:tcPr>
            <w:tcW w:type="dxa" w:w="7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525A56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哪个部门对节点交付负责，当前处于什么状态。</w:t>
            </w:r>
          </w:p>
        </w:tc>
      </w:tr>
      <w:tr>
        <w:tc>
          <w:tcPr>
            <w:tcW w:type="dxa" w:w="2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9F66B6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参与专家</w:t>
            </w:r>
          </w:p>
        </w:tc>
        <w:tc>
          <w:tcPr>
            <w:tcW w:type="dxa" w:w="7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860B7C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主责、协作、交叉核查和真实人员复核分别由谁承担。</w:t>
            </w:r>
          </w:p>
        </w:tc>
      </w:tr>
      <w:tr>
        <w:tc>
          <w:tcPr>
            <w:tcW w:type="dxa" w:w="2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42CF39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输入依据</w:t>
            </w:r>
          </w:p>
        </w:tc>
        <w:tc>
          <w:tcPr>
            <w:tcW w:type="dxa" w:w="7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A996D9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读取哪些事实、证据、历史版本和已确认决策。</w:t>
            </w:r>
          </w:p>
        </w:tc>
      </w:tr>
      <w:tr>
        <w:tc>
          <w:tcPr>
            <w:tcW w:type="dxa" w:w="2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F92335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工作计划</w:t>
            </w:r>
          </w:p>
        </w:tc>
        <w:tc>
          <w:tcPr>
            <w:tcW w:type="dxa" w:w="7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1B0DCD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准备按什么步骤完成，用户能否调整顺序、专家和执行范围。</w:t>
            </w:r>
          </w:p>
        </w:tc>
      </w:tr>
      <w:tr>
        <w:tc>
          <w:tcPr>
            <w:tcW w:type="dxa" w:w="2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A430F6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实时任务</w:t>
            </w:r>
          </w:p>
        </w:tc>
        <w:tc>
          <w:tcPr>
            <w:tcW w:type="dxa" w:w="7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7753CA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每位专家正在做什么、是否阻塞、已形成什么中间产出。</w:t>
            </w:r>
          </w:p>
        </w:tc>
      </w:tr>
      <w:tr>
        <w:tc>
          <w:tcPr>
            <w:tcW w:type="dxa" w:w="2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BB175E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节点交付物</w:t>
            </w:r>
          </w:p>
        </w:tc>
        <w:tc>
          <w:tcPr>
            <w:tcW w:type="dxa" w:w="7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7B644E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最终形成什么文书、清单、报告或决策包，并绑定版本。</w:t>
            </w:r>
          </w:p>
        </w:tc>
      </w:tr>
      <w:tr>
        <w:tc>
          <w:tcPr>
            <w:tcW w:type="dxa" w:w="2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84BB98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人工确认点</w:t>
            </w:r>
          </w:p>
        </w:tc>
        <w:tc>
          <w:tcPr>
            <w:tcW w:type="dxa" w:w="7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A47B4E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需要谁确认什么、依据在哪里、确认或退回后分别发生什么。</w:t>
            </w:r>
          </w:p>
        </w:tc>
      </w:tr>
      <w:tr>
        <w:tc>
          <w:tcPr>
            <w:tcW w:type="dxa" w:w="2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8EF88A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接力条件</w:t>
            </w:r>
          </w:p>
        </w:tc>
        <w:tc>
          <w:tcPr>
            <w:tcW w:type="dxa" w:w="7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D0AD0D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下一部门继承哪些必要内容，是否生成交付快照及权限记录。</w:t>
            </w:r>
          </w:p>
        </w:tc>
      </w:tr>
    </w:tbl>
    <w:p w14:paraId="67B449B0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4.12 四类确认机制与流程分支</w:t>
      </w:r>
    </w:p>
    <w:p w14:paraId="1A15C8DA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>确认是 Agent 流程控制点，不是通用弹窗。每个确认请求都应关联发起人、业务原因、依据、文书位置、具体版本、影响与后续动作。</w:t>
      </w:r>
    </w:p>
    <w:p w14:paraId="4FF1C7F4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技术事实确认：由研发人员确认技术效果、测试条件、实施方式和实际量产方案；可确认、修改或标记暂时无法确认。</w:t>
      </w:r>
    </w:p>
    <w:p w14:paraId="4E6FEADC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专业复核：由代理师核查保护范围、修改依据、证据使用和专业策略；可通过、退回部门或添加复核意见。</w:t>
      </w:r>
    </w:p>
    <w:p w14:paraId="0C3F0754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商业与风险决策：由企业负责人选择申请组合、保护策略、风险接受或资源优先级；必须说明选项影响。</w:t>
      </w:r>
    </w:p>
    <w:p w14:paraId="7B521D7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对外交付与递交确认：绑定文书版本、交付人、接收对象、可见范围与确认记录，确认后才允许进入对外动作。</w:t>
      </w:r>
    </w:p>
    <w:p w14:paraId="5F9DFEF4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退回必须形成新的工作任务和版本，确认通过才触发下一节点或部门接力；两种分支均保留审计记录。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4.13 六类页面各自承担一种职责</w:t>
      </w:r>
    </w:p>
    <w:p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>官网、登录、应用首页与项目工作区不是同一页面的不同皮肤。应把首次理解、身份进入、全公司组织和具体执行分开，使用户在每个页面只完成一类主要任务。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200"/>
      </w:tblGrid>
      <w:tr>
        <w:trPr>
          <w:tblHeader/>
        </w:trPr>
        <w:tc>
          <w:tcPr>
            <w:tcW w:type="dxa" w:w="15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页面</w:t>
            </w:r>
          </w:p>
        </w:tc>
        <w:tc>
          <w:tcPr>
            <w:tcW w:type="dxa" w:w="45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核心任务</w:t>
            </w:r>
          </w:p>
        </w:tc>
        <w:tc>
          <w:tcPr>
            <w:tcW w:type="dxa" w:w="32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不应承担的内容</w:t>
            </w:r>
          </w:p>
        </w:tc>
      </w:tr>
      <w:tr>
        <w:tc>
          <w:tcPr>
            <w:tcW w:type="dxa" w:w="1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官方宣传页</w:t>
            </w:r>
          </w:p>
        </w:tc>
        <w:tc>
          <w:tcPr>
            <w:tcW w:type="dxa" w:w="4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解释“一家虚拟知产公司”如何接受委托、组织部门、形成可信交付，并促成体验或登录。</w:t>
            </w:r>
          </w:p>
        </w:tc>
        <w:tc>
          <w:tcPr>
            <w:tcW w:type="dxa" w:w="3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不承担真实项目待办、复杂功能导航和全部专业配置。</w:t>
            </w:r>
          </w:p>
        </w:tc>
      </w:tr>
      <w:tr>
        <w:tc>
          <w:tcPr>
            <w:tcW w:type="dxa" w:w="1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登录页</w:t>
            </w:r>
          </w:p>
        </w:tc>
        <w:tc>
          <w:tcPr>
            <w:tcW w:type="dxa" w:w="4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验证身份，进入企业或代理所对应空间；原型可提供明确标注的演示身份。</w:t>
            </w:r>
          </w:p>
        </w:tc>
        <w:tc>
          <w:tcPr>
            <w:tcW w:type="dxa" w:w="3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不重复产品宣传，不把角色切换伪装成真实权限。</w:t>
            </w:r>
          </w:p>
        </w:tc>
      </w:tr>
      <w:tr>
        <w:tc>
          <w:tcPr>
            <w:tcW w:type="dxa" w:w="1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应用首页</w:t>
            </w:r>
          </w:p>
        </w:tc>
        <w:tc>
          <w:tcPr>
            <w:tcW w:type="dxa" w:w="4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统一接受委托，排列全公司待办，汇总跨项目进展和最近交付。</w:t>
            </w:r>
          </w:p>
        </w:tc>
        <w:tc>
          <w:tcPr>
            <w:tcW w:type="dxa" w:w="3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不复制完整专家任务、项目对话和节点确认面板。</w:t>
            </w:r>
          </w:p>
        </w:tc>
      </w:tr>
      <w:tr>
        <w:tc>
          <w:tcPr>
            <w:tcW w:type="dxa" w:w="1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协同工作区</w:t>
            </w:r>
          </w:p>
        </w:tc>
        <w:tc>
          <w:tcPr>
            <w:tcW w:type="dxa" w:w="4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围绕一个项目和一个节点展示计划、部门、专家、任务、依据、确认与接力。</w:t>
            </w:r>
          </w:p>
        </w:tc>
        <w:tc>
          <w:tcPr>
            <w:tcW w:type="dxa" w:w="3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不承担跨项目经营管理。</w:t>
            </w:r>
          </w:p>
        </w:tc>
      </w:tr>
      <w:tr>
        <w:tc>
          <w:tcPr>
            <w:tcW w:type="dxa" w:w="1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文书工作区</w:t>
            </w:r>
          </w:p>
        </w:tc>
        <w:tc>
          <w:tcPr>
            <w:tcW w:type="dxa" w:w="4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处理正文、证据、批注、修改和版本，并与当前节点和确认记录联动。</w:t>
            </w:r>
          </w:p>
        </w:tc>
        <w:tc>
          <w:tcPr>
            <w:tcW w:type="dxa" w:w="3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不替代项目计划与流程控制。</w:t>
            </w:r>
          </w:p>
        </w:tc>
      </w:tr>
      <w:tr>
        <w:tc>
          <w:tcPr>
            <w:tcW w:type="dxa" w:w="1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专业工作室</w:t>
            </w:r>
          </w:p>
        </w:tc>
        <w:tc>
          <w:tcPr>
            <w:tcW w:type="dxa" w:w="4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配置专家、Skill、提示词、MCP 和部门模板，完成测试、发布与回滚。</w:t>
            </w:r>
          </w:p>
        </w:tc>
        <w:tc>
          <w:tcPr>
            <w:tcW w:type="dxa" w:w="3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不作为普通用户理解产品价值的前提。</w:t>
            </w:r>
          </w:p>
        </w:tc>
      </w:tr>
    </w:tbl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4.14 应用首页：组织整家公司，而非复制项目工作区</w:t>
      </w:r>
    </w:p>
    <w:p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>应用首页回答“我的整家知产公司现在怎样、我接下来要处理什么”。它以跨项目视角组织工作，不围绕单一重点项目展开完整执行过程。默认信息顺序如下。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① 顾言与统一委托入口：接受新目标，也能继续指挥已有工作；输入后识别是新委托还是现有项目指令。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② 现在需要我处理：按期限、流程阻塞和影响排序，聚合技术事实、专业复核、商业风险与对外交付确认。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③ 公司正在推进：以项目或案件卡片汇总当前节点、负责部门、下一交付和阻塞，不展开每位专家的完整任务。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④ 最近形成的交付：展示交付物、版本、复核状态、待确认关系与所属项目，可一键定位原文。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⑤ 还可以交办什么：按研发成果、产品上市、审查意见和资产管理提供业务目标入口，而不是部门功能清单。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⑥ 部门地图与专业配置：退到第二层，供项目模式和专业模式按需进入。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4.15 一个顾言入口，明确识别指令上下文</w:t>
      </w:r>
    </w:p>
    <w:p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>首页只保留一个主要顾言输入框。未选择项目时，默认表示新委托或全公司指令；从项目卡片进入协同工作区后，项目内输入才表示当前节点指令。不得在同页并排两个含义相近的“交给顾言”输入框。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新委托：识别业务目标和对象，给出计划、负责部门、交付物与确认点，经用户确认后建档执行。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已有工作：可先选择项目或根据明确名称匹配；存在歧义时追问，不把指令写入错误项目。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项目内指令：自动继承项目、节点、文书、选中内容与版本上下文，用于补充、纠偏、暂停或追问依据。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4.16 首次使用与返回用户采用不同首页状态</w:t>
      </w:r>
    </w:p>
    <w:p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>首次用户没有项目、待办和交付时，不展示虚构的工作进度。首页仍由顾言收口，但核心变为“从第一件知产工作开始”，用业务目标示例和所需材料说明降低启动成本。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首次空状态：顾言说明能做什么，提供“整理研发成果”“上市前排查风险”“处理审查意见”等入口；提交后先给计划，不自动假设事实。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首次引导：只要求当前目标必需的信息，显示将创建的业务对象、负责部门和首次交付，避免一次性要求配置全部部门。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返回用户：恢复真实待办、跨项目进展和最近交付；空状态不再占据主体，统一委托入口保持可见。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原型边界：可用明确标注的演示数据预览返回用户状态，也可切换首次空状态；二者不能混写为真实账户数据。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4.17 官网以一次部门接力证明价值，登录只负责进入</w:t>
      </w:r>
    </w:p>
    <w:p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>官网首版采用一个完整单页。核心不是罗列十个部门，而是用“研发成果 → 交底书部 → 企业确认事实 → 申请文件部 → 代理师复核 → 版本化交付”的一次接力，证明持续委托、可见执行和可信交付。随后再解释两条业务主线、双端协同、三种使用深度与权限机制。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官网结构：价值主张 → 用户困难 → 部门接力演示 → 权利形成与风险防控 → 企业端与代理所端 → 三种使用深度 → 可信机制 → 体验或登录。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宣传边界：不使用“全自动申请”“保证授权”“替代代理师”等承诺；明确 AI 起草与辅助判断、真实人员专业复核、用户关键确认。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登录边界：真实产品应验证账户、组织与权限；静态原型只提供演示身份选择和返回官网，不宣称已经实现真实登录、租户隔离或云端持久化。</w:t>
      </w:r>
    </w:p>
    <w:p w14:paraId="2CAD2584">
      <w:pPr>
        <w:pStyle w:val="Heading1"/>
        <w:keepNext/>
        <w:spacing w:after="180" w:before="360"/>
      </w:pPr>
      <w:r>
        <w:rPr>
          <w:rFonts w:ascii="Aptos" w:cs="Aptos" w:eastAsia="Microsoft YaHei" w:hAnsi="Aptos"/>
          <w:b/>
          <w:bCs/>
          <w:color w:val="24221F"/>
          <w:sz w:val="30"/>
          <w:szCs w:val="30"/>
        </w:rPr>
        <w:t xml:space="preserve">五、MVP 与能力演进</w:t>
      </w:r>
    </w:p>
    <w:p w14:paraId="2842C4CC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5.1 首版核心：先证明协同生产效率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8CF" w:sz="4"/>
              <w:left w:val="single" w:color="C43D0A" w:sz="12"/>
              <w:bottom w:val="single" w:color="DDD8CF" w:sz="4"/>
              <w:right w:val="single" w:color="DDD8CF" w:sz="4"/>
            </w:tcBorders>
            <w:shd w:fill="F8EEE7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 w14:paraId="683B4DD6">
            <w:pPr>
              <w:spacing w:after="70"/>
            </w:pPr>
            <w:r>
              <w:rPr>
                <w:rFonts w:ascii="Aptos" w:cs="Aptos" w:eastAsia="Microsoft YaHei" w:hAnsi="Aptos"/>
                <w:b/>
                <w:bCs/>
                <w:color w:val="24221F"/>
                <w:sz w:val="21"/>
                <w:szCs w:val="21"/>
              </w:rPr>
              <w:t xml:space="preserve">MVP 主链路</w:t>
            </w:r>
          </w:p>
          <w:p w14:paraId="62446390">
            <w:pPr>
              <w:spacing w:after="0" w:line="320"/>
            </w:pPr>
            <w:r>
              <w:rPr>
                <w:rFonts w:ascii="Aptos" w:cs="Aptos" w:eastAsia="Microsoft YaHei" w:hAnsi="Aptos"/>
                <w:color w:val="37342F"/>
                <w:sz w:val="21"/>
                <w:szCs w:val="21"/>
              </w:rPr>
              <w:t xml:space="preserve">研发输入 → 技术追问 → 技术交底书 → 可专利性检索 → 申请文件 → 质量审查 → 代理师复核 → 企业确认；同时以 OA 答复验证第二个高价值文书场景。</w:t>
            </w:r>
          </w:p>
        </w:tc>
      </w:tr>
    </w:tbl>
    <w:p w14:paraId="23A78A48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首版需要证明的不是“能调用多少 Agent”，而是能否减少技术事实遗漏、降低重复沟通、控制文书版本、提升代理师复核效率，并让研发人员清楚知道下一步。</w:t>
      </w:r>
    </w:p>
    <w:p w14:paraId="73CC72A8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5.2 分阶段能力路线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2800"/>
      </w:tblGrid>
      <w:tr>
        <w:trPr>
          <w:tblHeader/>
        </w:trPr>
        <w:tc>
          <w:tcPr>
            <w:tcW w:type="dxa" w:w="19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B117374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阶段</w:t>
            </w:r>
          </w:p>
        </w:tc>
        <w:tc>
          <w:tcPr>
            <w:tcW w:type="dxa" w:w="45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B9BD706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重点能力</w:t>
            </w:r>
          </w:p>
        </w:tc>
        <w:tc>
          <w:tcPr>
            <w:tcW w:type="dxa" w:w="28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FAAEA1E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暂不追求</w:t>
            </w:r>
          </w:p>
        </w:tc>
      </w:tr>
      <w:tr>
        <w:tc>
          <w:tcPr>
            <w:tcW w:type="dxa" w:w="19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C7A62A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MVP：申请生产闭环</w:t>
            </w:r>
          </w:p>
        </w:tc>
        <w:tc>
          <w:tcPr>
            <w:tcW w:type="dxa" w:w="4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DAC247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官网与登录、首次空状态、跨项目公司首页、顾言持续协同、节点计划与专家任务、交底书、检索证据、申请文件、质检、版本、双工作区、人工确认与部门接力</w:t>
            </w:r>
          </w:p>
        </w:tc>
        <w:tc>
          <w:tcPr>
            <w:tcW w:type="dxa" w:w="28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F42802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全节点自动化、复杂组合优化、自动法律判断</w:t>
            </w:r>
          </w:p>
        </w:tc>
      </w:tr>
      <w:tr>
        <w:tc>
          <w:tcPr>
            <w:tcW w:type="dxa" w:w="19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4D1228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第二阶段：研发前端</w:t>
            </w:r>
          </w:p>
        </w:tc>
        <w:tc>
          <w:tcPr>
            <w:tcW w:type="dxa" w:w="45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292F3A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创新启发、专利挖掘、布局策略、研发项目联动、申请组合管理</w:t>
            </w:r>
          </w:p>
        </w:tc>
        <w:tc>
          <w:tcPr>
            <w:tcW w:type="dxa" w:w="28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C193B4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以生成数量替代挖掘质量</w:t>
            </w:r>
          </w:p>
        </w:tc>
      </w:tr>
      <w:tr>
        <w:tc>
          <w:tcPr>
            <w:tcW w:type="dxa" w:w="19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421AA5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第三阶段：风险与资产</w:t>
            </w:r>
          </w:p>
        </w:tc>
        <w:tc>
          <w:tcPr>
            <w:tcW w:type="dxa" w:w="45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E797DD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FTO、规避设计协同、竞品监控、年费与资产运营</w:t>
            </w:r>
          </w:p>
        </w:tc>
        <w:tc>
          <w:tcPr>
            <w:tcW w:type="dxa" w:w="28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34F5A3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无人工复核的高风险结论、无数据基础的运营承诺</w:t>
            </w:r>
          </w:p>
        </w:tc>
      </w:tr>
    </w:tbl>
    <w:p w14:paraId="07DF5586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5.3 首版评价指标</w:t>
      </w:r>
    </w:p>
    <w:p w14:paraId="7803308A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首次交底材料形成所需时间，以及研发需要补充信息的轮次。</w:t>
      </w:r>
    </w:p>
    <w:p w14:paraId="6EC17944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技术事实确认率、证据可追溯率、文书版本冲突次数。</w:t>
      </w:r>
    </w:p>
    <w:p w14:paraId="52269712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代理师复核耗时、退回原因分布、正式交付一次通过率。</w:t>
      </w:r>
    </w:p>
    <w:p w14:paraId="6ACBF44A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待确认事项处理时长、期限逾期数、用户对下一步的理解程度。</w:t>
      </w:r>
    </w:p>
    <w:p w14:paraId="5B921C8A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不把 Agent 数量、生成字数或专利生成数量作为核心成功指标。</w:t>
      </w:r>
    </w:p>
    <w:p w14:paraId="2EC0930E">
      <w:pPr>
        <w:pStyle w:val="Heading1"/>
        <w:keepNext/>
        <w:spacing w:after="180" w:before="360"/>
      </w:pPr>
      <w:r>
        <w:rPr>
          <w:rFonts w:ascii="Aptos" w:cs="Aptos" w:eastAsia="Microsoft YaHei" w:hAnsi="Aptos"/>
          <w:b/>
          <w:bCs/>
          <w:color w:val="24221F"/>
          <w:sz w:val="30"/>
          <w:szCs w:val="30"/>
        </w:rPr>
        <w:t xml:space="preserve">六、对现有原型的调整要求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600"/>
      </w:tblGrid>
      <w:tr>
        <w:trPr>
          <w:tblHeader/>
        </w:trPr>
        <w:tc>
          <w:tcPr>
            <w:tcW w:type="dxa" w:w="12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BF59CDE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优先级</w:t>
            </w:r>
          </w:p>
        </w:tc>
        <w:tc>
          <w:tcPr>
            <w:tcW w:type="dxa" w:w="24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31DCCF0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调整项</w:t>
            </w:r>
          </w:p>
        </w:tc>
        <w:tc>
          <w:tcPr>
            <w:tcW w:type="dxa" w:w="56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5644D50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具体要求</w:t>
            </w:r>
          </w:p>
        </w:tc>
      </w:tr>
      <w:tr>
        <w:tc>
          <w:tcPr>
            <w:tcW w:type="dxa" w:w="1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60431C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1C7FEC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增加知产负责人</w:t>
            </w:r>
          </w:p>
        </w:tc>
        <w:tc>
          <w:tcPr>
            <w:tcW w:type="dxa" w:w="5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4D3886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首页与项目内设置统一入口；负责人能解释计划、进度、待办与风险</w:t>
            </w:r>
          </w:p>
        </w:tc>
      </w:tr>
      <w:tr>
        <w:tc>
          <w:tcPr>
            <w:tcW w:type="dxa" w:w="1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84026C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1F3EE1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企业端渐进式披露</w:t>
            </w:r>
          </w:p>
        </w:tc>
        <w:tc>
          <w:tcPr>
            <w:tcW w:type="dxa" w:w="56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D8F1ED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默认简化三栏信息密度；专业过程与部门专家按需展开</w:t>
            </w:r>
          </w:p>
        </w:tc>
      </w:tr>
      <w:tr>
        <w:tc>
          <w:tcPr>
            <w:tcW w:type="dxa" w:w="1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5E6C47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C7BE3D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修正权限表达</w:t>
            </w:r>
          </w:p>
        </w:tc>
        <w:tc>
          <w:tcPr>
            <w:tcW w:type="dxa" w:w="5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1919B7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将“全部上下文自动交接”改为按权限继承；对外采用交付快照</w:t>
            </w:r>
          </w:p>
        </w:tc>
      </w:tr>
      <w:tr>
        <w:tc>
          <w:tcPr>
            <w:tcW w:type="dxa" w:w="1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088DCF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90C641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拆分对象与状态</w:t>
            </w:r>
          </w:p>
        </w:tc>
        <w:tc>
          <w:tcPr>
            <w:tcW w:type="dxa" w:w="56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0658D2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研发项目、申请案件、FTO 产品和资产不再共用一个阶段字段</w:t>
            </w:r>
          </w:p>
        </w:tc>
      </w:tr>
      <w:tr>
        <w:tc>
          <w:tcPr>
            <w:tcW w:type="dxa" w:w="1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18B461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3D7CC9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部门退到合适层级</w:t>
            </w:r>
          </w:p>
        </w:tc>
        <w:tc>
          <w:tcPr>
            <w:tcW w:type="dxa" w:w="5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A5C378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保留部门与专家页面，但日常任务由负责人自动路由</w:t>
            </w:r>
          </w:p>
        </w:tc>
      </w:tr>
      <w:tr>
        <w:tc>
          <w:tcPr>
            <w:tcW w:type="dxa" w:w="1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547F1F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8DF569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保留代理所专业三栏</w:t>
            </w:r>
          </w:p>
        </w:tc>
        <w:tc>
          <w:tcPr>
            <w:tcW w:type="dxa" w:w="56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CF3D3B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强化卷宗、证据、文书、期限、内部质检与客户交付</w:t>
            </w:r>
          </w:p>
        </w:tc>
      </w:tr>
      <w:tr>
        <w:tc>
          <w:tcPr>
            <w:tcW w:type="dxa" w:w="12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A1EE14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18B1C9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完善人工决策点</w:t>
            </w:r>
          </w:p>
        </w:tc>
        <w:tc>
          <w:tcPr>
            <w:tcW w:type="dxa" w:w="56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956E21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明确确认主体、确认内容、依据、影响和审计记录</w:t>
            </w:r>
          </w:p>
        </w:tc>
      </w:tr>
      <w:tr>
        <w:tc>
          <w:tcPr>
            <w:tcW w:type="dxa" w:w="12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9A62E1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1D1860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体现全生命周期蓝图</w:t>
            </w:r>
          </w:p>
        </w:tc>
        <w:tc>
          <w:tcPr>
            <w:tcW w:type="dxa" w:w="56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E6F3C04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保留创新、挖掘、布局、FTO 与运营入口，但按阶段标注能力深度</w:t>
            </w:r>
          </w:p>
        </w:tc>
      </w:tr>
    </w:tbl>
    <w:p w14:paraId="23A78A46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6.1 首页建议的新信息层级</w:t>
      </w:r>
    </w:p>
    <w:p w14:paraId="29B5011C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第一层：顾言与统一委托——新目标与全公司指令只从一个主入口进入。</w:t>
      </w:r>
    </w:p>
    <w:p w14:paraId="03AD5276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第二层：现在需要我处理——跨项目聚合补充、确认、风险与期限。</w:t>
      </w:r>
    </w:p>
    <w:p w14:paraId="1B0E7C0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第三层：公司正在推进——展示跨项目节点、负责部门、下一交付与阻塞摘要。</w:t>
      </w:r>
    </w:p>
    <w:p w14:paraId="01A6BF54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第四层：最近交付与可继续交办的业务目标；完整部门地图和专业配置退到第二层。</w:t>
      </w:r>
    </w:p>
    <w:p w14:paraId="2B7B747E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6.2 部门与专家仍然必须保留</w:t>
      </w:r>
    </w:p>
    <w:p w14:paraId="0A2DE40E">
      <w:pPr>
        <w:spacing w:after="140" w:line="330"/>
        <w:ind w:firstLine="446"/>
      </w:pPr>
      <w:r>
        <w:rPr>
          <w:rFonts w:ascii="Aptos" w:cs="Aptos" w:eastAsia="Microsoft YaHei" w:hAnsi="Aptos"/>
          <w:color w:val="37342F"/>
          <w:sz w:val="21"/>
          <w:szCs w:val="21"/>
        </w:rPr>
        <w:t xml:space="preserve">部门退到合适层级不等于删除。它是体现专业分工、配置交付规则、选择复核专家、查看责任关系的重要页面，也是产品从“通用聊天助手”走向“专业组织系统”的关键差异。</w:t>
      </w:r>
    </w:p>
    <w:p w14:paraId="67D32D36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6.3 原型中的三层模式落地</w:t>
      </w:r>
    </w:p>
    <w:p w14:paraId="485B722A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助手模式默认隐藏侧边导航和完整部门地图，以顾言、当前事项、待确认和交付物为主；进入具体文书工作时自动承接为项目工作台。</w:t>
      </w:r>
    </w:p>
    <w:p w14:paraId="6CFAED2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项目模式保留项目与业务对象、部门与专家、资产和协同入口，支持新建项目、选择部门、添加预设或自定义专家。</w:t>
      </w:r>
    </w:p>
    <w:p w14:paraId="41187D54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专业模式新增专业工作室，以部门组成、专家定义、Skill、提示词、MCP、测试与发布六个结构化页签组织配置。</w:t>
      </w:r>
    </w:p>
    <w:p w14:paraId="58719884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顶部提供“助手｜项目｜专业”切换；身份切换与模式切换相互独立，切换后继续使用同一演示项目、文书和确认记录。</w:t>
      </w:r>
    </w:p>
    <w:p w14:paraId="0E01670A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6.4 第二轮纠偏：从管理后台转为 Agent 工作现场</w:t>
      </w:r>
    </w:p>
    <w:p w14:paraId="7C1E877E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首页以“正在发生的工作”为主体：顾言持续协同、当前部门与专家任务、最新动作与产出、待确认事项；项目属性、资产和部门地图退到第二层。</w:t>
      </w:r>
    </w:p>
    <w:p w14:paraId="5D80EDC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助手输入后形成可调整的工作计划，而不是仅推荐部门并跳转；顾言应支持连续追问、补充、暂停和纠偏。</w:t>
      </w:r>
    </w:p>
    <w:p w14:paraId="6A3AE3F2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项目工作区采用“协同工作／文书工作”双视图。协同视图负责计划、分工、任务、对话和确认；文书视图负责正文、证据、批注和版本。</w:t>
      </w:r>
    </w:p>
    <w:p w14:paraId="0E372CBE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协同视图默认呈现实点路径、当前部门、主责与协作专家、执行状态、阻塞原因和下一动作；不得用“部门工作中”替代真实任务信息。</w:t>
      </w:r>
    </w:p>
    <w:p w14:paraId="17740888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文书与协同共享当前节点和版本。用户可从任务定位文书，也可从选中段落发起专家处理或事实确认。</w:t>
      </w:r>
    </w:p>
    <w:p w14:paraId="517E9B6C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专业工作室明确定位为后台模板配置，不成为普通用户理解产品价值的前提，也不掩盖首页与项目内 Agent 交互不足。</w:t>
      </w:r>
    </w:p>
    <w:p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6.5 第三轮纠偏：分开官网、登录、公司首页与项目执行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新增独立官方宣传页和登录／演示身份入口；官网解释价值与建立信任，登录进入对应空间，应用首页不再承担首次产品教育。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企业应用首页改为跨项目公司工作组织，顺序为统一委托、需要我处理、正在推进、最近交付、可交办目标；删除首页完整专家任务和项目内指令输入。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协同工作区保留详细计划、部门、专家、连续指令和确认接力，成为唯一完整的单项目执行现场；文书工作区继续负责文本与版本。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增加首次使用空状态，并与演示数据驱动的返回用户首页明确区分；项目模式、专业模式和代理所端继续共享同一业务底座。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color w:val="37342F"/>
          <w:sz w:val="21"/>
          <w:szCs w:val="21"/>
        </w:rPr>
        <w:t>原型中的角色切换、登录和项目数据均为演示，不代表真实账户、权限、数据库或官方递交能力已经接入。</w:t>
      </w:r>
    </w:p>
    <w:p w14:paraId="37D60F2A">
      <w:pPr>
        <w:pStyle w:val="Heading1"/>
        <w:keepNext/>
        <w:spacing w:after="180" w:before="360"/>
      </w:pPr>
      <w:r>
        <w:rPr>
          <w:rFonts w:ascii="Aptos" w:cs="Aptos" w:eastAsia="Microsoft YaHei" w:hAnsi="Aptos"/>
          <w:b/>
          <w:bCs/>
          <w:color w:val="24221F"/>
          <w:sz w:val="30"/>
          <w:szCs w:val="30"/>
        </w:rPr>
        <w:t xml:space="preserve">七、产品原则与待继续讨论事项</w:t>
      </w:r>
    </w:p>
    <w:p w14:paraId="5525A56A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>7.1 固化八条产品原则</w:t>
      </w:r>
    </w:p>
    <w:p w14:paraId="19F66B64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 xml:space="preserve">原则一：</w:t>
      </w:r>
      <w:r>
        <w:rPr>
          <w:rFonts w:ascii="Aptos" w:cs="Aptos" w:eastAsia="Microsoft YaHei" w:hAnsi="Aptos"/>
          <w:color w:val="37342F"/>
          <w:sz w:val="21"/>
          <w:szCs w:val="21"/>
        </w:rPr>
        <w:t xml:space="preserve">拟人化用于降低理解成本，不用于隐藏系统真实能力与限制。</w:t>
      </w:r>
    </w:p>
    <w:p w14:paraId="0860B7C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 xml:space="preserve">原则二：</w:t>
      </w:r>
      <w:r>
        <w:rPr>
          <w:rFonts w:ascii="Aptos" w:cs="Aptos" w:eastAsia="Microsoft YaHei" w:hAnsi="Aptos"/>
          <w:color w:val="37342F"/>
          <w:sz w:val="21"/>
          <w:szCs w:val="21"/>
        </w:rPr>
        <w:t xml:space="preserve">一个负责人对用户，多个部门在后台协作；组织结构按需可见。</w:t>
      </w:r>
    </w:p>
    <w:p w14:paraId="742CF39A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 xml:space="preserve">原则三：</w:t>
      </w:r>
      <w:r>
        <w:rPr>
          <w:rFonts w:ascii="Aptos" w:cs="Aptos" w:eastAsia="Microsoft YaHei" w:hAnsi="Aptos"/>
          <w:color w:val="37342F"/>
          <w:sz w:val="21"/>
          <w:szCs w:val="21"/>
        </w:rPr>
        <w:t xml:space="preserve">对象、状态、权限和版本先于流程自动化，避免在错误数据模型上扩展。</w:t>
      </w:r>
    </w:p>
    <w:p w14:paraId="2A996D9C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 xml:space="preserve">原则四：</w:t>
      </w:r>
      <w:r>
        <w:rPr>
          <w:rFonts w:ascii="Aptos" w:cs="Aptos" w:eastAsia="Microsoft YaHei" w:hAnsi="Aptos"/>
          <w:color w:val="37342F"/>
          <w:sz w:val="21"/>
          <w:szCs w:val="21"/>
        </w:rPr>
        <w:t xml:space="preserve">AI 负责生成与辅助判断，真实人员负责关键事实、专业策略和法定责任事项。</w:t>
      </w:r>
    </w:p>
    <w:p w14:paraId="0F923350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 xml:space="preserve">原则五：</w:t>
      </w:r>
      <w:r>
        <w:rPr>
          <w:rFonts w:ascii="Aptos" w:cs="Aptos" w:eastAsia="Microsoft YaHei" w:hAnsi="Aptos"/>
          <w:color w:val="37342F"/>
          <w:sz w:val="21"/>
          <w:szCs w:val="21"/>
        </w:rPr>
        <w:t xml:space="preserve">全生命周期是长期地图，核心申请闭环是首版价值验证。</w:t>
      </w:r>
    </w:p>
    <w:p w14:paraId="08495A42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>原则六：</w:t>
      </w:r>
      <w:r>
        <w:rPr>
          <w:rFonts w:ascii="Aptos" w:cs="Aptos" w:eastAsia="Microsoft YaHei" w:hAnsi="Aptos"/>
          <w:color w:val="37342F"/>
          <w:sz w:val="21"/>
          <w:szCs w:val="21"/>
        </w:rPr>
        <w:t>使用深度可以分层，业务对象、版本、权限与责任不能分层割裂。</w:t>
      </w:r>
    </w:p>
    <w:p w14:paraId="4A5CA078"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>原则七：</w:t>
      </w:r>
      <w:r>
        <w:rPr>
          <w:rFonts w:ascii="Aptos" w:cs="Aptos" w:eastAsia="Microsoft YaHei" w:hAnsi="Aptos"/>
          <w:color w:val="37342F"/>
          <w:sz w:val="21"/>
          <w:szCs w:val="21"/>
        </w:rPr>
        <w:t>Agent 的专业感来自可持续委托、可见执行和可信交付，不来自部门数量、角色名称或配置后台。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ptos" w:cs="Aptos" w:eastAsia="Microsoft YaHei" w:hAnsi="Aptos"/>
          <w:b/>
          <w:bCs/>
          <w:color w:val="24221F"/>
          <w:sz w:val="21"/>
          <w:szCs w:val="21"/>
        </w:rPr>
        <w:t>原则八：官网负责理解，登录负责进入，首页负责组织整家公司，项目工作区负责具体执行；页面职责不互相复制。</w:t>
      </w:r>
    </w:p>
    <w:p w14:paraId="21B0DCD8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7.2 下一轮建议讨论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400"/>
      </w:tblGrid>
      <w:tr>
        <w:trPr>
          <w:tblHeader/>
        </w:trPr>
        <w:tc>
          <w:tcPr>
            <w:tcW w:type="dxa" w:w="18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A430F5E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议题</w:t>
            </w:r>
          </w:p>
        </w:tc>
        <w:tc>
          <w:tcPr>
            <w:tcW w:type="dxa" w:w="40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7753CAA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建议默认方向</w:t>
            </w:r>
          </w:p>
        </w:tc>
        <w:tc>
          <w:tcPr>
            <w:tcW w:type="dxa" w:w="3400"/>
            <w:shd w:fill="24221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BB175E0">
            <w:pPr>
              <w:spacing w:after="0" w:line="280"/>
            </w:pPr>
            <w:r>
              <w:rPr>
                <w:rFonts w:ascii="Aptos" w:cs="Aptos" w:eastAsia="Microsoft YaHei" w:hAnsi="Aptos"/>
                <w:b/>
                <w:bCs/>
                <w:color w:val="FEFEFC"/>
                <w:sz w:val="19"/>
                <w:szCs w:val="19"/>
              </w:rPr>
              <w:t xml:space="preserve">需要进一步确认</w:t>
            </w:r>
          </w:p>
        </w:tc>
      </w:tr>
      <w:tr>
        <w:tc>
          <w:tcPr>
            <w:tcW w:type="dxa" w:w="18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7B644E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统一角色命名</w:t>
            </w:r>
          </w:p>
        </w:tc>
        <w:tc>
          <w:tcPr>
            <w:tcW w:type="dxa" w:w="4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84BB98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企业端使用“知产负责人”，代理所端使用“项目组长”</w:t>
            </w:r>
          </w:p>
        </w:tc>
        <w:tc>
          <w:tcPr>
            <w:tcW w:type="dxa" w:w="34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A47B4E0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是否采用更具品牌感的角色名称</w:t>
            </w:r>
          </w:p>
        </w:tc>
      </w:tr>
      <w:tr>
        <w:tc>
          <w:tcPr>
            <w:tcW w:type="dxa" w:w="18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8EF88AC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负责人主动程度</w:t>
            </w:r>
          </w:p>
        </w:tc>
        <w:tc>
          <w:tcPr>
            <w:tcW w:type="dxa" w:w="4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2D0AD0D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主动提醒与建议，但不替用户做关键决策</w:t>
            </w:r>
          </w:p>
        </w:tc>
        <w:tc>
          <w:tcPr>
            <w:tcW w:type="dxa" w:w="34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7B449A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哪些事项可自动执行、哪些必须每次授权</w:t>
            </w:r>
          </w:p>
        </w:tc>
      </w:tr>
      <w:tr>
        <w:tc>
          <w:tcPr>
            <w:tcW w:type="dxa" w:w="18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1A15C8D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自定义专家</w:t>
            </w:r>
          </w:p>
        </w:tc>
        <w:tc>
          <w:tcPr>
            <w:tcW w:type="dxa" w:w="4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FF1C7F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项目模式通过职责模板添加专家；专业模式开放 Skill、提示词与 MCP</w:t>
            </w:r>
          </w:p>
        </w:tc>
        <w:tc>
          <w:tcPr>
            <w:tcW w:type="dxa" w:w="34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4E6FEADA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>企业、代理所与管理员的模板发布权限和审核机制</w:t>
            </w:r>
          </w:p>
        </w:tc>
      </w:tr>
      <w:tr>
        <w:tc>
          <w:tcPr>
            <w:tcW w:type="dxa" w:w="18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0C3F075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代理所商业模式</w:t>
            </w:r>
          </w:p>
        </w:tc>
        <w:tc>
          <w:tcPr>
            <w:tcW w:type="dxa" w:w="40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7B521D6E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支持企业自有代理所与平台匹配服务两种可能</w:t>
            </w:r>
          </w:p>
        </w:tc>
        <w:tc>
          <w:tcPr>
            <w:tcW w:type="dxa" w:w="3400"/>
            <w:shd w:fill="F6F4E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F9DFEF2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首版服务关系、计费与责任边界</w:t>
            </w:r>
          </w:p>
        </w:tc>
      </w:tr>
      <w:tr>
        <w:tc>
          <w:tcPr>
            <w:tcW w:type="dxa" w:w="18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5C237B0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数据与保密</w:t>
            </w:r>
          </w:p>
        </w:tc>
        <w:tc>
          <w:tcPr>
            <w:tcW w:type="dxa" w:w="40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3F0F87B6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默认租户隔离、空间权限、版本审计与交付授权</w:t>
            </w:r>
          </w:p>
        </w:tc>
        <w:tc>
          <w:tcPr>
            <w:tcW w:type="dxa" w:w="3400"/>
            <w:shd w:fill="FEFEF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 w14:paraId="6C0AF508">
            <w:pPr>
              <w:spacing w:after="0" w:line="300"/>
            </w:pPr>
            <w:r>
              <w:rPr>
                <w:rFonts w:ascii="Aptos" w:cs="Aptos" w:eastAsia="Microsoft YaHei" w:hAnsi="Aptos"/>
                <w:color w:val="37342F"/>
                <w:sz w:val="19"/>
                <w:szCs w:val="19"/>
              </w:rPr>
              <w:t xml:space="preserve">私有化、数据保留、模型训练退出等要求</w:t>
            </w:r>
          </w:p>
        </w:tc>
      </w:tr>
    </w:tbl>
    <w:p w14:paraId="56CFE6EC">
      <w:pPr>
        <w:pStyle w:val="Heading2"/>
        <w:keepNext/>
        <w:spacing w:after="130" w:before="280"/>
      </w:pPr>
      <w:r>
        <w:rPr>
          <w:rFonts w:ascii="Aptos" w:cs="Aptos" w:eastAsia="Microsoft YaHei" w:hAnsi="Aptos"/>
          <w:b/>
          <w:bCs/>
          <w:color w:val="24221F"/>
          <w:sz w:val="25"/>
          <w:szCs w:val="25"/>
        </w:rPr>
        <w:t xml:space="preserve">7.3 当前结论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8CF" w:sz="4"/>
              <w:left w:val="single" w:color="C43D0A" w:sz="12"/>
              <w:bottom w:val="single" w:color="DDD8CF" w:sz="4"/>
              <w:right w:val="single" w:color="DDD8CF" w:sz="4"/>
            </w:tcBorders>
            <w:shd w:fill="F8EEE7" w:val="clear"/>
            <w:tcMar>
              <w:top w:type="dxa" w:w="170"/>
              <w:left w:type="dxa" w:w="210"/>
              <w:bottom w:type="dxa" w:w="170"/>
              <w:right w:type="dxa" w:w="210"/>
            </w:tcMar>
          </w:tcPr>
          <w:p w14:paraId="59D88414">
            <w:pPr>
              <w:spacing w:after="70"/>
            </w:pPr>
            <w:r>
              <w:rPr>
                <w:rFonts w:ascii="Aptos" w:cs="Aptos" w:eastAsia="Microsoft YaHei" w:hAnsi="Aptos"/>
                <w:b/>
                <w:bCs/>
                <w:color w:val="24221F"/>
                <w:sz w:val="21"/>
                <w:szCs w:val="21"/>
              </w:rPr>
              <w:t xml:space="preserve">产品理念定稿建议</w:t>
            </w:r>
          </w:p>
          <w:p w14:paraId="0AEAC76A">
            <w:pPr>
              <w:spacing w:after="0" w:line="320"/>
            </w:pPr>
            <w:r>
              <w:rPr>
                <w:rFonts w:ascii="Aptos" w:cs="Aptos" w:eastAsia="Microsoft YaHei" w:hAnsi="Aptos"/>
                <w:color w:val="37342F"/>
                <w:sz w:val="21"/>
                <w:szCs w:val="21"/>
              </w:rPr>
              <w:t>保留公司化拟人设计，以知产负责人持续接受委托，以部门和专家完成有计划的节点工作；以官网、登录、应用首页和双工作区形成清晰页面分工；以三种使用深度控制信息密度；以多对象、权限、版本和人工责任构成可信底座。评价产品的首要标准不是管理信息是否齐全，而是用户能否理解并进入这家虚拟知产公司，把目标交给 Agent，看懂并控制执行过程，最终获得可复核、可确认、可继续接力的交付物。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06B64C"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 w14:paraId="33347B64"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38B01B8">
    <w:pPr>
      <w:spacing w:after="0"/>
      <w:jc w:val="center"/>
    </w:pPr>
    <w:r>
      <w:rPr>
        <w:rFonts w:ascii="Aptos" w:cs="Aptos" w:eastAsia="Microsoft YaHei" w:hAnsi="Aptos"/>
        <w:color w:val="716C63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AA52CE"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 w14:paraId="517E727A"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w14:paraId="55EF2FA8">
    <w:pPr>
      <w:pBdr>
        <w:bottom w:val="single" w:color="DDD8CF" w:sz="4" w:space="6"/>
      </w:pBdr>
      <w:spacing w:after="0"/>
      <w:jc w:val="right"/>
    </w:pPr>
    <w:r>
      <w:rPr>
        <w:rFonts w:ascii="Aptos" w:cs="Aptos" w:eastAsia="Microsoft YaHei" w:hAnsi="Aptos"/>
        <w:color w:val="716C63"/>
        <w:sz w:val="17"/>
        <w:szCs w:val="17"/>
      </w:rPr>
      <w:t>知产公司 · 产品共识文档 V0.4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知产公司产品理念、业务逻辑与产品逻辑</dc:title>
  <dc:creator>知产公司产品设计</dc:creator>
  <dc:description>公司化拟人设计与统一知产负责人融合后的产品共识文档</dc:description>
  <cp:lastModifiedBy>Un-named</cp:lastModifiedBy>
  <cp:revision>1</cp:revision>
  <dcterms:created xsi:type="dcterms:W3CDTF">2026-10-24T01:20:34.302Z</dcterms:created>
  <dcterms:modified xsi:type="dcterms:W3CDTF">2026-10-24T01:20:34.302Z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