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7D26" w14:textId="313E90D0" w:rsidR="00305E8B" w:rsidRPr="00305E8B" w:rsidRDefault="00305E8B" w:rsidP="00305E8B">
      <w:r w:rsidRPr="00305E8B">
        <w:rPr>
          <w:b/>
          <w:bCs/>
        </w:rPr>
        <w:t>Automated Covariate-Model Building for Population PK</w:t>
      </w:r>
      <w:r>
        <w:rPr>
          <w:b/>
          <w:bCs/>
        </w:rPr>
        <w:t>: the nlmixr2 eco</w:t>
      </w:r>
      <w:r w:rsidR="00E55413">
        <w:rPr>
          <w:b/>
          <w:bCs/>
        </w:rPr>
        <w:t>system Vs. NONMEM</w:t>
      </w:r>
    </w:p>
    <w:p w14:paraId="3065C353" w14:textId="5F6808C9" w:rsidR="00A40E93" w:rsidRDefault="00A40E93" w:rsidP="00305E8B">
      <w:r>
        <w:t xml:space="preserve">Yaping Liu, </w:t>
      </w:r>
      <w:r w:rsidR="0078729C">
        <w:t>Matt Fidler, Justin Wi</w:t>
      </w:r>
      <w:r w:rsidR="00996991">
        <w:t>lkins</w:t>
      </w:r>
    </w:p>
    <w:p w14:paraId="21E7AB80" w14:textId="7A259DC7" w:rsidR="00AA1D9D" w:rsidRDefault="007F12E2" w:rsidP="007F12E2">
      <w:r w:rsidRPr="007F12E2">
        <w:rPr>
          <w:b/>
          <w:bCs/>
        </w:rPr>
        <w:t xml:space="preserve">Background: </w:t>
      </w:r>
      <w:r w:rsidRPr="007F12E2">
        <w:t>Automated covariate model building is an important step in population pharmacokinetic</w:t>
      </w:r>
      <w:r w:rsidR="004B4C3F">
        <w:t xml:space="preserve"> (</w:t>
      </w:r>
      <w:proofErr w:type="spellStart"/>
      <w:r w:rsidR="004B4C3F">
        <w:t>PopPK</w:t>
      </w:r>
      <w:proofErr w:type="spellEnd"/>
      <w:r w:rsidR="004B4C3F">
        <w:t>)</w:t>
      </w:r>
      <w:r w:rsidRPr="007F12E2">
        <w:t xml:space="preserve"> analysis</w:t>
      </w:r>
      <w:r w:rsidR="009E6E48">
        <w:t>, identifying patient factor</w:t>
      </w:r>
      <w:r w:rsidRPr="007F12E2">
        <w:t xml:space="preserve">s that explain between-subject variability and support dose optimization, trial design, </w:t>
      </w:r>
      <w:r w:rsidR="003D4B16">
        <w:t>and</w:t>
      </w:r>
      <w:r w:rsidRPr="007F12E2">
        <w:t xml:space="preserve"> regulatory </w:t>
      </w:r>
      <w:r w:rsidR="00C9727E">
        <w:t>submission</w:t>
      </w:r>
      <w:r w:rsidRPr="007F12E2">
        <w:t xml:space="preserve">. </w:t>
      </w:r>
      <w:r w:rsidR="00AA1D9D" w:rsidRPr="00AA1D9D">
        <w:t>Stepwise covariate modeling</w:t>
      </w:r>
      <w:r w:rsidR="00AA1D9D">
        <w:t xml:space="preserve"> (SCM)</w:t>
      </w:r>
      <w:r w:rsidR="00AA1D9D" w:rsidRPr="00AA1D9D">
        <w:t xml:space="preserve"> using </w:t>
      </w:r>
      <w:proofErr w:type="spellStart"/>
      <w:r w:rsidR="00AA1D9D" w:rsidRPr="00AA1D9D">
        <w:t>PsN</w:t>
      </w:r>
      <w:proofErr w:type="spellEnd"/>
      <w:r w:rsidR="00AA1D9D" w:rsidRPr="00AA1D9D">
        <w:t xml:space="preserve">-NONMEM is </w:t>
      </w:r>
      <w:r w:rsidR="00C36A1F">
        <w:t xml:space="preserve">an </w:t>
      </w:r>
      <w:r w:rsidR="00AA1D9D">
        <w:t>industrial standard</w:t>
      </w:r>
      <w:r w:rsidR="00AA1D9D" w:rsidRPr="00AA1D9D">
        <w:t>, but it</w:t>
      </w:r>
      <w:r w:rsidR="00C413CD">
        <w:t xml:space="preserve"> is </w:t>
      </w:r>
      <w:r w:rsidR="00AA1D9D" w:rsidRPr="00AA1D9D">
        <w:t>computationally intensive and depends on commercial software</w:t>
      </w:r>
      <w:r w:rsidR="00A40240">
        <w:rPr>
          <w:rFonts w:ascii="Arial" w:hAnsi="Arial" w:cs="Arial"/>
          <w:color w:val="424242"/>
          <w:shd w:val="clear" w:color="auto" w:fill="FFFFFF"/>
        </w:rPr>
        <w:t xml:space="preserve">. </w:t>
      </w:r>
      <w:r w:rsidR="00A40240" w:rsidRPr="00A40240">
        <w:t>These limitations motivate</w:t>
      </w:r>
      <w:r w:rsidR="00C0039E">
        <w:t xml:space="preserve"> </w:t>
      </w:r>
      <w:r w:rsidR="00B14700">
        <w:t xml:space="preserve">the </w:t>
      </w:r>
      <w:r w:rsidR="00C0039E">
        <w:t>development</w:t>
      </w:r>
      <w:r w:rsidR="00A40240" w:rsidRPr="00A40240">
        <w:t xml:space="preserve"> of open-source</w:t>
      </w:r>
      <w:r w:rsidR="00BD589C">
        <w:t xml:space="preserve"> and</w:t>
      </w:r>
      <w:r w:rsidR="00A40240" w:rsidRPr="00A40240">
        <w:t xml:space="preserve"> faster alternatives, including nlmixr2-based SCM and variational autoencoders (VAE).</w:t>
      </w:r>
      <w:r w:rsidR="00BD589C">
        <w:t xml:space="preserve"> </w:t>
      </w:r>
      <w:r w:rsidR="007C1900" w:rsidRPr="007C1900">
        <w:t xml:space="preserve">This study </w:t>
      </w:r>
      <w:r w:rsidR="00BD589C">
        <w:t>assessed</w:t>
      </w:r>
      <w:r w:rsidR="007C1900" w:rsidRPr="007C1900">
        <w:t xml:space="preserve"> whether nlmixr2-based </w:t>
      </w:r>
      <w:r w:rsidR="00BD589C">
        <w:t>workflow</w:t>
      </w:r>
      <w:r w:rsidR="007C1900" w:rsidRPr="007C1900">
        <w:t xml:space="preserve"> can provide</w:t>
      </w:r>
      <w:r w:rsidR="009B395C">
        <w:t xml:space="preserve"> comparable</w:t>
      </w:r>
      <w:r w:rsidR="00CA23F1">
        <w:t xml:space="preserve"> covariate selection performance </w:t>
      </w:r>
      <w:r w:rsidR="007C1900" w:rsidRPr="007C1900">
        <w:t xml:space="preserve">relative to the </w:t>
      </w:r>
      <w:r w:rsidR="00CA23F1">
        <w:t xml:space="preserve">standard </w:t>
      </w:r>
      <w:r w:rsidR="007C1900" w:rsidRPr="007C1900">
        <w:t>NONMEM workflow.</w:t>
      </w:r>
    </w:p>
    <w:p w14:paraId="0F7F0B12" w14:textId="7E88A442" w:rsidR="007F12E2" w:rsidRPr="007F12E2" w:rsidRDefault="007F12E2" w:rsidP="00F33205">
      <w:r w:rsidRPr="00405783">
        <w:rPr>
          <w:b/>
          <w:bCs/>
        </w:rPr>
        <w:t>Methods:</w:t>
      </w:r>
      <w:r w:rsidRPr="007F12E2">
        <w:t xml:space="preserve"> </w:t>
      </w:r>
      <w:r w:rsidR="00BF62D4" w:rsidRPr="00BF62D4">
        <w:t>Three automated covariate-selection workflows were compared: nlmixr2-SCM, NONMEM-SCM, and nlmixr2-VAE.</w:t>
      </w:r>
      <w:r w:rsidR="00BF62D4">
        <w:t xml:space="preserve"> </w:t>
      </w:r>
      <w:r w:rsidRPr="007F12E2">
        <w:t>Virtual populations were simulated using NHANES-based covariates to preserve realistic covariate correlations</w:t>
      </w:r>
      <w:r w:rsidR="0004733F">
        <w:t xml:space="preserve"> and deliberately include</w:t>
      </w:r>
      <w:r w:rsidRPr="007F12E2">
        <w:t xml:space="preserve"> </w:t>
      </w:r>
      <w:r w:rsidR="00074793">
        <w:t xml:space="preserve">highly </w:t>
      </w:r>
      <w:r w:rsidR="0004733F">
        <w:t>colinear</w:t>
      </w:r>
      <w:r w:rsidR="006651A1">
        <w:t xml:space="preserve"> covariates (e.g., weight and BMI)</w:t>
      </w:r>
      <w:r w:rsidRPr="007F12E2">
        <w:t>. A</w:t>
      </w:r>
      <w:r w:rsidR="00B655F1">
        <w:t>n</w:t>
      </w:r>
      <w:r w:rsidRPr="007F12E2">
        <w:t xml:space="preserve"> </w:t>
      </w:r>
      <w:r w:rsidR="002A434F">
        <w:t xml:space="preserve">oral </w:t>
      </w:r>
      <w:r w:rsidRPr="007F12E2">
        <w:t>two-compartment</w:t>
      </w:r>
      <w:r w:rsidR="00FE29CE">
        <w:t xml:space="preserve"> </w:t>
      </w:r>
      <w:r w:rsidR="00B655F1">
        <w:t>linear</w:t>
      </w:r>
      <w:r w:rsidRPr="007F12E2">
        <w:t xml:space="preserve"> </w:t>
      </w:r>
      <w:r w:rsidR="00FE29CE">
        <w:t>PK</w:t>
      </w:r>
      <w:r w:rsidRPr="007F12E2">
        <w:t xml:space="preserve"> model</w:t>
      </w:r>
      <w:r w:rsidR="00FE29CE">
        <w:t xml:space="preserve"> with</w:t>
      </w:r>
      <w:r w:rsidR="002A434F">
        <w:t xml:space="preserve"> </w:t>
      </w:r>
      <w:r w:rsidR="006D7540">
        <w:t>known</w:t>
      </w:r>
      <w:r w:rsidR="002A434F">
        <w:t xml:space="preserve"> covariate effects</w:t>
      </w:r>
      <w:r w:rsidRPr="007F12E2">
        <w:t xml:space="preserve"> was used to generate datasets across three sample sizes: N = 40, 80, and 300. Sixteen covariate scenarios were designed from simple to complex, with 100 datasets per scenario and sample size. </w:t>
      </w:r>
      <w:r w:rsidR="00A97F5B" w:rsidRPr="00A97F5B">
        <w:t xml:space="preserve">Workflows were evaluated using both analytic </w:t>
      </w:r>
      <w:r w:rsidR="00A97F5B">
        <w:t xml:space="preserve">and ODE-based </w:t>
      </w:r>
      <w:r w:rsidR="00A97F5B" w:rsidRPr="00A97F5B">
        <w:t>parameterizations</w:t>
      </w:r>
      <w:r w:rsidR="00A97F5B">
        <w:t>.</w:t>
      </w:r>
      <w:r w:rsidR="00BB1A78" w:rsidRPr="00BB1A78">
        <w:t xml:space="preserve"> Performance metrics included convergence, exact-match power, </w:t>
      </w:r>
      <w:r w:rsidR="00BB1A78">
        <w:t xml:space="preserve">false </w:t>
      </w:r>
      <w:r w:rsidR="00BB1A78" w:rsidRPr="00BB1A78">
        <w:t xml:space="preserve">selection patterns, estimation accuracy, and runtime. Paired </w:t>
      </w:r>
      <w:r w:rsidR="00FE5F44">
        <w:t>mixed effects models</w:t>
      </w:r>
      <w:r w:rsidR="00BB1A78" w:rsidRPr="00BB1A78">
        <w:t xml:space="preserve"> were used for </w:t>
      </w:r>
      <w:r w:rsidR="00FE5F44">
        <w:t>statistical</w:t>
      </w:r>
      <w:r w:rsidR="00BB1A78" w:rsidRPr="00BB1A78">
        <w:t xml:space="preserve"> comparisons.</w:t>
      </w:r>
    </w:p>
    <w:p w14:paraId="2BB06FF2" w14:textId="285B9CA0" w:rsidR="00724B57" w:rsidRDefault="007F12E2" w:rsidP="007F12E2">
      <w:r w:rsidRPr="008F0289">
        <w:rPr>
          <w:b/>
          <w:bCs/>
        </w:rPr>
        <w:t>Results:</w:t>
      </w:r>
      <w:r w:rsidRPr="007F12E2">
        <w:t xml:space="preserve"> nlmixr2</w:t>
      </w:r>
      <w:r w:rsidR="00E16A19">
        <w:t>-</w:t>
      </w:r>
      <w:r w:rsidRPr="007F12E2">
        <w:t xml:space="preserve">SCM showed high reliability and exceeded NONMEM in convergence-related metrics. SCM power increased with sample size and decreased with scenario complexity, </w:t>
      </w:r>
      <w:r w:rsidR="00D00F17">
        <w:t>comparable between</w:t>
      </w:r>
      <w:r w:rsidRPr="007F12E2">
        <w:t xml:space="preserve"> nlmixr2 and NONMEM</w:t>
      </w:r>
      <w:r w:rsidR="00D00F17">
        <w:t>.</w:t>
      </w:r>
      <w:r w:rsidRPr="007F12E2">
        <w:t xml:space="preserve"> False selections </w:t>
      </w:r>
      <w:r w:rsidR="00374282">
        <w:t>occurred mainly in</w:t>
      </w:r>
      <w:r w:rsidRPr="007F12E2">
        <w:t xml:space="preserve"> small sample</w:t>
      </w:r>
      <w:r w:rsidR="00374282">
        <w:t>s</w:t>
      </w:r>
      <w:r w:rsidRPr="007F12E2">
        <w:t>, competing covariate shapes, and collinear covariates. Estimation accuracy was broadly comparable across</w:t>
      </w:r>
      <w:r w:rsidR="00BB0E96">
        <w:t xml:space="preserve"> workflows</w:t>
      </w:r>
      <w:r w:rsidRPr="007F12E2">
        <w:t xml:space="preserve">, while variance and covariance were harder to estimate than typical values or covariate effects. </w:t>
      </w:r>
      <w:r w:rsidR="00724B57">
        <w:t xml:space="preserve">The </w:t>
      </w:r>
      <w:r w:rsidR="00724B57" w:rsidRPr="00724B57">
        <w:t>nlmixr2 ODE-based SCM and VAE were significantly faster than NONMEM-SCM ODE workflows, by approximately 5-fold and 40-fold, respectively.</w:t>
      </w:r>
    </w:p>
    <w:p w14:paraId="2163C47B" w14:textId="02F512B0" w:rsidR="00DF1AF7" w:rsidRDefault="007F12E2" w:rsidP="007F12E2">
      <w:r w:rsidRPr="00D93555">
        <w:rPr>
          <w:b/>
          <w:bCs/>
        </w:rPr>
        <w:t>Conclusion:</w:t>
      </w:r>
      <w:r w:rsidRPr="007F12E2">
        <w:t xml:space="preserve"> Open-source nlmixr2 SCM is a reliable</w:t>
      </w:r>
      <w:r w:rsidR="00963488">
        <w:t>, accurate,</w:t>
      </w:r>
      <w:r w:rsidR="00724B57">
        <w:t xml:space="preserve"> and</w:t>
      </w:r>
      <w:r w:rsidRPr="007F12E2">
        <w:t xml:space="preserve"> efficient alternative to </w:t>
      </w:r>
      <w:proofErr w:type="spellStart"/>
      <w:r w:rsidRPr="007F12E2">
        <w:t>PsN</w:t>
      </w:r>
      <w:proofErr w:type="spellEnd"/>
      <w:r w:rsidRPr="007F12E2">
        <w:t xml:space="preserve">-NONMEM SCM. </w:t>
      </w:r>
      <w:r w:rsidR="00724B57" w:rsidRPr="00724B57">
        <w:t>VAE offers a promising high-speed screening approach, although traditional SCM remains stronger for exact covariate recovery in complex settings.</w:t>
      </w:r>
    </w:p>
    <w:p w14:paraId="762EBCAE" w14:textId="3CB87B34" w:rsidR="009A46BA" w:rsidRPr="006F53E1" w:rsidRDefault="00DF1AF7" w:rsidP="00620D17">
      <w:r>
        <w:br w:type="page"/>
      </w:r>
      <w:r w:rsidR="003301EF" w:rsidRPr="003301EF">
        <w:rPr>
          <w:b/>
          <w:bCs/>
        </w:rPr>
        <w:lastRenderedPageBreak/>
        <w:t xml:space="preserve">Abstract for the internship program </w:t>
      </w:r>
    </w:p>
    <w:p w14:paraId="403A1512" w14:textId="7B1077A8" w:rsidR="00620D17" w:rsidRDefault="00620D17" w:rsidP="00620D17">
      <w:r>
        <w:t xml:space="preserve">Automated covariate model building is a critical component of population pharmacokinetic analysis, enabling identification of patient factors that explain between-subject variability and inform dose optimization, trial design, and regulatory </w:t>
      </w:r>
      <w:r w:rsidR="00595AD9">
        <w:t>submission</w:t>
      </w:r>
      <w:r>
        <w:t>. Stepwise covariate modeling</w:t>
      </w:r>
      <w:r w:rsidR="00595AD9">
        <w:t xml:space="preserve"> (SCM)</w:t>
      </w:r>
      <w:r>
        <w:t xml:space="preserve"> with </w:t>
      </w:r>
      <w:proofErr w:type="spellStart"/>
      <w:r>
        <w:t>PsN</w:t>
      </w:r>
      <w:proofErr w:type="spellEnd"/>
      <w:r>
        <w:t>-NONMEM is widely used as an industry standard, but it is computationally intensive and relies on commercial software. These limitations motivate evaluation of open-source</w:t>
      </w:r>
      <w:r w:rsidR="006F59AB">
        <w:t xml:space="preserve"> and </w:t>
      </w:r>
      <w:r>
        <w:t>more efficient alternatives, including nlmixr2-based SCM and variational autoencoder</w:t>
      </w:r>
      <w:r w:rsidR="0034743D">
        <w:t xml:space="preserve"> methods</w:t>
      </w:r>
      <w:r>
        <w:t xml:space="preserve">. This project conducted a rigorous simulation-based benchmark of nlmixr2-SCM and VAE methods against NONMEM-SCM for covariate selection in a two-compartment linear </w:t>
      </w:r>
      <w:proofErr w:type="spellStart"/>
      <w:r>
        <w:t>PopPK</w:t>
      </w:r>
      <w:proofErr w:type="spellEnd"/>
      <w:r>
        <w:t xml:space="preserve"> model with a complex covariate space. Overall, the nlmixr2-based workflow achieved comparable covariate selection performance to the standard NONMEM approach while substantially reducing computational time.</w:t>
      </w:r>
      <w:r w:rsidR="005F74ED">
        <w:t xml:space="preserve"> </w:t>
      </w:r>
      <w:r w:rsidR="00C95687" w:rsidRPr="00C95687">
        <w:t>These findings support broader adoption of efficient open-source covariate-modeling workflows</w:t>
      </w:r>
      <w:r w:rsidR="00457F51">
        <w:t xml:space="preserve"> in nlmixr2</w:t>
      </w:r>
      <w:r w:rsidR="002835D1">
        <w:t xml:space="preserve"> that may</w:t>
      </w:r>
      <w:r w:rsidR="00C95687" w:rsidRPr="00C95687">
        <w:t xml:space="preserve"> accelerate PopPK analyses and improve evidence generation for dose</w:t>
      </w:r>
      <w:r w:rsidR="002835D1">
        <w:t xml:space="preserve"> optimization</w:t>
      </w:r>
      <w:r w:rsidR="00C95687" w:rsidRPr="00C95687">
        <w:t xml:space="preserve"> and drug development decision-making.</w:t>
      </w:r>
    </w:p>
    <w:p w14:paraId="0F472165" w14:textId="77777777" w:rsidR="00620D17" w:rsidRDefault="00620D17" w:rsidP="00620D17"/>
    <w:p w14:paraId="36D8C89A" w14:textId="77777777" w:rsidR="00620D17" w:rsidRDefault="00620D17" w:rsidP="00620D17"/>
    <w:p w14:paraId="35949C87" w14:textId="77777777" w:rsidR="00620D17" w:rsidRDefault="00620D17" w:rsidP="00620D17"/>
    <w:p w14:paraId="2145C60E" w14:textId="77777777" w:rsidR="00620D17" w:rsidRDefault="00620D17" w:rsidP="00620D17"/>
    <w:p w14:paraId="0CCBC6DA" w14:textId="77777777" w:rsidR="00620D17" w:rsidRDefault="00620D17" w:rsidP="00620D17"/>
    <w:p w14:paraId="009862C7" w14:textId="77777777" w:rsidR="00620D17" w:rsidRDefault="00620D17" w:rsidP="00620D17"/>
    <w:p w14:paraId="71122E01" w14:textId="77777777" w:rsidR="00620D17" w:rsidRDefault="00620D17" w:rsidP="00620D17"/>
    <w:p w14:paraId="5EC9BC3E" w14:textId="77777777" w:rsidR="00DF1AF7" w:rsidRPr="00DF1AF7" w:rsidRDefault="00DF1AF7" w:rsidP="00DF1AF7"/>
    <w:p w14:paraId="33FB2362" w14:textId="77777777" w:rsidR="00DF1AF7" w:rsidRPr="00DF1AF7" w:rsidRDefault="00DF1AF7" w:rsidP="00DF1AF7">
      <w:r w:rsidRPr="00DF1AF7">
        <w:t> </w:t>
      </w:r>
    </w:p>
    <w:p w14:paraId="21EC57E8" w14:textId="77777777" w:rsidR="00A42134" w:rsidRPr="007F12E2" w:rsidRDefault="00A42134" w:rsidP="007F12E2"/>
    <w:sectPr w:rsidR="00A42134" w:rsidRPr="007F12E2" w:rsidSect="00A40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62"/>
    <w:rsid w:val="000067D9"/>
    <w:rsid w:val="000172F8"/>
    <w:rsid w:val="00031DC3"/>
    <w:rsid w:val="0004733F"/>
    <w:rsid w:val="00064CCE"/>
    <w:rsid w:val="00074793"/>
    <w:rsid w:val="000858EE"/>
    <w:rsid w:val="001824C9"/>
    <w:rsid w:val="00240D43"/>
    <w:rsid w:val="002639B3"/>
    <w:rsid w:val="002835D1"/>
    <w:rsid w:val="0029648A"/>
    <w:rsid w:val="002A434F"/>
    <w:rsid w:val="00305E8B"/>
    <w:rsid w:val="003301EF"/>
    <w:rsid w:val="0034743D"/>
    <w:rsid w:val="00374282"/>
    <w:rsid w:val="003A6326"/>
    <w:rsid w:val="003D4B16"/>
    <w:rsid w:val="003D55E4"/>
    <w:rsid w:val="003D7252"/>
    <w:rsid w:val="00405783"/>
    <w:rsid w:val="004073C4"/>
    <w:rsid w:val="00425E61"/>
    <w:rsid w:val="00447FA4"/>
    <w:rsid w:val="00457F51"/>
    <w:rsid w:val="004B04C1"/>
    <w:rsid w:val="004B4A27"/>
    <w:rsid w:val="004B4C3F"/>
    <w:rsid w:val="004C018F"/>
    <w:rsid w:val="004D0236"/>
    <w:rsid w:val="004D23A7"/>
    <w:rsid w:val="004D6C46"/>
    <w:rsid w:val="00544F44"/>
    <w:rsid w:val="005455EB"/>
    <w:rsid w:val="00595AD9"/>
    <w:rsid w:val="005A7522"/>
    <w:rsid w:val="005E7C79"/>
    <w:rsid w:val="005F5443"/>
    <w:rsid w:val="005F74ED"/>
    <w:rsid w:val="00601DE1"/>
    <w:rsid w:val="0060353F"/>
    <w:rsid w:val="00620D17"/>
    <w:rsid w:val="006651A1"/>
    <w:rsid w:val="006C225E"/>
    <w:rsid w:val="006D7540"/>
    <w:rsid w:val="006F53E1"/>
    <w:rsid w:val="006F59AB"/>
    <w:rsid w:val="00724B57"/>
    <w:rsid w:val="0074068A"/>
    <w:rsid w:val="00753162"/>
    <w:rsid w:val="007617E2"/>
    <w:rsid w:val="007671F8"/>
    <w:rsid w:val="0078729C"/>
    <w:rsid w:val="007921E0"/>
    <w:rsid w:val="007C1900"/>
    <w:rsid w:val="007D33D7"/>
    <w:rsid w:val="007D5E7B"/>
    <w:rsid w:val="007F12E2"/>
    <w:rsid w:val="00823495"/>
    <w:rsid w:val="008A5E02"/>
    <w:rsid w:val="008D554E"/>
    <w:rsid w:val="008F0289"/>
    <w:rsid w:val="00957BBD"/>
    <w:rsid w:val="00960BE0"/>
    <w:rsid w:val="00963488"/>
    <w:rsid w:val="00996991"/>
    <w:rsid w:val="009A46BA"/>
    <w:rsid w:val="009B395C"/>
    <w:rsid w:val="009E6E48"/>
    <w:rsid w:val="00A40240"/>
    <w:rsid w:val="00A40E93"/>
    <w:rsid w:val="00A42134"/>
    <w:rsid w:val="00A57775"/>
    <w:rsid w:val="00A71260"/>
    <w:rsid w:val="00A84E9A"/>
    <w:rsid w:val="00A96E26"/>
    <w:rsid w:val="00A97F5B"/>
    <w:rsid w:val="00AA1D9D"/>
    <w:rsid w:val="00AD00B0"/>
    <w:rsid w:val="00B064EA"/>
    <w:rsid w:val="00B14700"/>
    <w:rsid w:val="00B655F1"/>
    <w:rsid w:val="00B83407"/>
    <w:rsid w:val="00BB0E96"/>
    <w:rsid w:val="00BB1A78"/>
    <w:rsid w:val="00BC732A"/>
    <w:rsid w:val="00BD589C"/>
    <w:rsid w:val="00BF62D4"/>
    <w:rsid w:val="00C0039E"/>
    <w:rsid w:val="00C010CD"/>
    <w:rsid w:val="00C36A1F"/>
    <w:rsid w:val="00C413CD"/>
    <w:rsid w:val="00C42023"/>
    <w:rsid w:val="00C52B9D"/>
    <w:rsid w:val="00C738F2"/>
    <w:rsid w:val="00C940BA"/>
    <w:rsid w:val="00C95687"/>
    <w:rsid w:val="00C9727E"/>
    <w:rsid w:val="00CA23F1"/>
    <w:rsid w:val="00CA4BB7"/>
    <w:rsid w:val="00CF4CED"/>
    <w:rsid w:val="00D00F17"/>
    <w:rsid w:val="00D24BEE"/>
    <w:rsid w:val="00D4667C"/>
    <w:rsid w:val="00D700B7"/>
    <w:rsid w:val="00D93555"/>
    <w:rsid w:val="00DB434F"/>
    <w:rsid w:val="00DF1AF7"/>
    <w:rsid w:val="00E16A19"/>
    <w:rsid w:val="00E35850"/>
    <w:rsid w:val="00E55413"/>
    <w:rsid w:val="00EA4815"/>
    <w:rsid w:val="00EC3BE1"/>
    <w:rsid w:val="00EC45CE"/>
    <w:rsid w:val="00F33205"/>
    <w:rsid w:val="00F523DF"/>
    <w:rsid w:val="00F66FEF"/>
    <w:rsid w:val="00FB067A"/>
    <w:rsid w:val="00FC18AD"/>
    <w:rsid w:val="00FE29CE"/>
    <w:rsid w:val="00FE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0145"/>
  <w15:chartTrackingRefBased/>
  <w15:docId w15:val="{2F511970-CDCD-4D5D-B596-22123C85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9bec58-8084-492e-8360-0e1cfe36408c}" enabled="1" method="Standard" siteId="{f35a6974-607f-47d4-82d7-ff31d7dc53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475</Words>
  <Characters>3271</Characters>
  <Application>Microsoft Office Word</Application>
  <DocSecurity>0</DocSecurity>
  <Lines>59</Lines>
  <Paragraphs>9</Paragraphs>
  <ScaleCrop>false</ScaleCrop>
  <Company>Novartis Pharma AG</Company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Yaping (Ext)</dc:creator>
  <cp:keywords/>
  <dc:description/>
  <cp:lastModifiedBy>Liu, Yaping (Ext)</cp:lastModifiedBy>
  <cp:revision>117</cp:revision>
  <dcterms:created xsi:type="dcterms:W3CDTF">2026-08-11T15:48:00Z</dcterms:created>
  <dcterms:modified xsi:type="dcterms:W3CDTF">2026-08-13T17:56:00Z</dcterms:modified>
</cp:coreProperties>
</file>