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 w:cs="Times New Roman"/>
          <w:b/>
          <w:sz w:val="24"/>
        </w:rPr>
        <w:t>ФГБОУ ВО «Московский государственный университет геодезии и картографии» (МИИГАиК)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Факультет прикладной информатики</w:t>
      </w:r>
    </w:p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Кафедра вычислительной техники</w:t>
      </w:r>
    </w:p>
    <w:p/>
    <w:p/>
    <w:p/>
    <w:p>
      <w:pPr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ВЫПУСКНАЯ КВАЛИФИКАЦИОННАЯ РАБОТА</w:t>
      </w:r>
    </w:p>
    <w:p>
      <w:pPr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на тему: «Документ с полным набором нарушений»</w:t>
      </w:r>
    </w:p>
    <w:p/>
    <w:p/>
    <w:p/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Выполнил: студент Иванов И. И.</w:t>
      </w:r>
    </w:p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4"/>
        </w:rPr>
        <w:t>Руководитель: Петров П. П.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Москва 2026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Актуальность подтверждается источником [2], затем [1]. Подряд идущие ссылки [3][4] оформлены без разделителя. Широкий диапазон [50-80] почти наверняка опечатка. Несуществующий источник [9] цитируется в тексте. См. рис. 9 и табл. 8, которых в документе нет.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32"/>
        </w:rPr>
        <w:t>Текст введения набран увеличенным кеглем — провокация несогласованности размеров шрифта.</w:t>
      </w:r>
    </w:p>
    <w:p>
      <w:pPr>
        <w:spacing w:line="360" w:lineRule="auto" w:before="0" w:after="20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Этот абзац имеет ненулевой интервал после — провокация нарушения межабзацного интервала.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ОГЛАВЛЕНИЕ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ВВЕДЕНИЕ</w:t>
        <w:tab/>
        <w:t>3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1 Теоретическая часть</w:t>
        <w:tab/>
        <w:t>5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3 Практическая часть</w:t>
        <w:tab/>
        <w:t>9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СПИСОК ИСПОЛЬЗОВАННЫХ ИСТОЧНИКОВ</w:t>
        <w:tab/>
        <w:t>12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1 Теоретическая часть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Глава с запрещённым названием. Ниже подзаголовки с разрывом нумерации и пропущенным звеном для восстановления иерархии.</w:t>
      </w:r>
    </w:p>
    <w:p>
      <w:pPr>
        <w:pStyle w:val="Heading2"/>
        <w:ind w:firstLine="0"/>
      </w:pPr>
      <w:r>
        <w:rPr>
          <w:rFonts w:ascii="Times New Roman" w:hAnsi="Times New Roman" w:cs="Times New Roman"/>
          <w:b/>
          <w:sz w:val="28"/>
        </w:rPr>
        <w:t>1.1 Постановка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Содержимое подраздела 1.1. Здесь достаточно текста, чтобы соседний абзац считался телом, а не заголовком, и сработало восстановление пропущенного звена иерархии между 1.1 и 1.3.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1.2 Обзор существующих решений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Текст подраздела 1.2, который формально не оформлен как заголовок, но заполняет дыру между 1.1 и 1.3 в нумерации, поэтому должен быть восстановлен алгоритмом автоматически.</w:t>
      </w:r>
    </w:p>
    <w:p>
      <w:pPr>
        <w:pStyle w:val="Heading2"/>
        <w:ind w:firstLine="0"/>
      </w:pPr>
      <w:r>
        <w:rPr>
          <w:rFonts w:ascii="Times New Roman" w:hAnsi="Times New Roman" w:cs="Times New Roman"/>
          <w:b/>
          <w:sz w:val="28"/>
        </w:rPr>
        <w:t>1.3 Выводы по главе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Завершающий текст первой главы с выводами по результатам теоретического анализа предметной области исследования.</w:t>
      </w:r>
    </w:p>
    <w:p>
      <w:pPr>
        <w:pStyle w:val="Heading2"/>
        <w:ind w:firstLine="0"/>
      </w:pPr>
      <w:r>
        <w:rPr>
          <w:rFonts w:ascii="Times New Roman" w:hAnsi="Times New Roman" w:cs="Times New Roman"/>
          <w:b/>
          <w:sz w:val="28"/>
        </w:rPr>
        <w:t>1.4 Дополнительные сведения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Архитектура программного комплекса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Длинный абзац тела, который идёт после неоформленной строки и заставляет алгоритм заподозрить пропущенный заголовок выше по тексту, так как строка короткая и без завершающей точки.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Предшествующий длинный абзац тела документа, который нужен для того, чтобы у следующей короткой строки сработал сигнал изолированности и она была предложена на подтверждение.</w:t>
      </w:r>
    </w:p>
    <w:p>
      <w:pPr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Особый случай применения метода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Последующий длинный абзац тела документа, также превышающий сто двадцать символов, чтобы строка между двумя длинными абзацами считалась изолированным кандидатом в заголовки.</w:t>
      </w:r>
    </w:p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E = m·c² + ∑αᵢ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Сразу идёт обычный текст, а не пояснение со словом «где», поэтому формула считается без расшифровки символов.</w:t>
      </w:r>
    </w:p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S = π·r² (1)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где S — площадь, r — радиус окружности.</w:t>
      </w:r>
    </w:p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F = G·m₁·m₂ / r² (3)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где F — сила, G — гравитационная постоянная.</w:t>
      </w:r>
    </w:p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Рисунок 4 – Архитектура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Описание к рисунку. Ссылки на этот рисунок в тексте намеренно отсутствуют, чтобы сработало замечание о неупомянутом рисунке.</w:t>
      </w:r>
    </w:p>
    <w:p>
      <w:pPr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Таблица 7 – Сравнительные характеристики решений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Колонка 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Колонка 2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Колонка 3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Зн2.0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Зн2.1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Зн2.2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Зн3.0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Зн3.1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Зн3.2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Зн4.0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Зн4.1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Зн4.2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Зн5.0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Зн5.1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Зн5.2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Зн6.0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Зн6.1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Зн6.2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Зн7.0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Зн7.1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Зн7.2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Зн8.0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Зн8.1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Зн8.2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Зн9.0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Зн9.1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Зн9.2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Зн10.0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Зн10.1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Зн10.2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Зн11.0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Зн11.1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Зн11.2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Зн12.0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Зн12.1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Зн12.2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Зн13.0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Зн13.1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Зн13.2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Зн14.0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Зн14.1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Зн14.2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Зн15.0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Зн15.1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Зн15.2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Зн16.0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Зн16.1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Зн16.2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После таблицы идёт обычный текст. Ссылок вида «табл.» на эту таблицу в документе нет специально.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3 Практическая часть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Глава с пропущенным номером (ожидалась 2) и запрещённым названием. Здесь корректно цитируется источник [1] для проверки сходимости библиографии.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СПИСОК ИСПОЛЬЗОВАННЫХ ИСТОЧНИКОВ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1. Иванов И. И. Теория систем : учебник / И. И. Иванов. — Москва : Наука, 2021. — 320 с.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2. Краткая запись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4. Петров П. П. Практикум по проектированию : учебное пособие / П. П. Петров. — Санкт-Петербург : Питер, 2022. — 210 с.</w:t>
      </w:r>
    </w:p>
    <w:p>
      <w:pPr>
        <w:ind w:firstLine="0"/>
        <w:jc w:val="left"/>
      </w:pPr>
      <w:r>
        <w:rPr>
          <w:rFonts w:ascii="Times New Roman" w:hAnsi="Times New Roman" w:cs="Times New Roman"/>
          <w:b w:val="0"/>
          <w:sz w:val="28"/>
        </w:rPr>
        <w:t>6. Сидоров С. С. Методология исследований : монография / С. С. Сидоров. — Казань : КФУ, 2023. — 180 с.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