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黑体" w:hAnsi="黑体" w:eastAsia="黑体"/>
        </w:rPr>
      </w:pPr>
      <w:r>
        <w:rPr>
          <w:rFonts w:hint="eastAsia" w:ascii="黑体" w:hAnsi="黑体" w:eastAsia="黑体"/>
        </w:rPr>
        <w:t>5.</w:t>
      </w:r>
      <w:r>
        <w:rPr>
          <w:rFonts w:ascii="黑体" w:hAnsi="黑体" w:eastAsia="黑体"/>
        </w:rPr>
        <w:t>4</w:t>
      </w:r>
      <w:r>
        <w:rPr>
          <w:rFonts w:hint="eastAsia" w:ascii="黑体" w:hAnsi="黑体" w:eastAsia="黑体"/>
        </w:rPr>
        <w:t>　变异测试</w:t>
      </w:r>
    </w:p>
    <w:p>
      <w:pPr>
        <w:tabs>
          <w:tab w:val="left" w:pos="3261"/>
        </w:tabs>
        <w:spacing w:before="60" w:after="156" w:afterLines="50" w:line="360" w:lineRule="auto"/>
        <w:ind w:firstLine="560" w:firstLineChars="200"/>
        <w:jc w:val="left"/>
        <w:rPr>
          <w:rFonts w:asciiTheme="minorEastAsia" w:hAnsiTheme="minorEastAsia" w:cstheme="minorEastAsia"/>
          <w:sz w:val="28"/>
          <w:szCs w:val="28"/>
        </w:rPr>
      </w:pPr>
      <w:r>
        <w:rPr>
          <w:rFonts w:hint="eastAsia" w:asciiTheme="minorEastAsia" w:hAnsiTheme="minorEastAsia" w:cstheme="minorEastAsia"/>
          <w:sz w:val="28"/>
          <w:szCs w:val="28"/>
        </w:rPr>
        <w:t>根据待测程序的特征，我们通过设计变异算子的方式，对源代码进行变异，从而生成大量不同的变异体。在此基础上，我们将识别等价变异体，并使用自动生成的测试用例集分别在源程序和非等价变异程序上进行运行，以评估测试用例集的充分性。这一过程需要使用高级技术手段和方法，确保测试结果的可靠性和准确性。变异测试流程如下图5-5：</w:t>
      </w:r>
    </w:p>
    <w:p>
      <w:pPr>
        <w:tabs>
          <w:tab w:val="left" w:pos="3261"/>
        </w:tabs>
        <w:spacing w:before="60" w:after="156" w:afterLines="50" w:line="360" w:lineRule="auto"/>
        <w:ind w:firstLine="420" w:firstLineChars="200"/>
        <w:jc w:val="center"/>
        <w:rPr>
          <w:rFonts w:asciiTheme="minorEastAsia" w:hAnsiTheme="minorEastAsia" w:cstheme="minorEastAsia"/>
          <w:bCs/>
          <w:sz w:val="28"/>
          <w:szCs w:val="28"/>
        </w:rPr>
      </w:pPr>
      <w:r>
        <w:drawing>
          <wp:inline distT="0" distB="0" distL="114300" distR="114300">
            <wp:extent cx="5272405" cy="2749550"/>
            <wp:effectExtent l="0" t="0" r="6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749550"/>
                    </a:xfrm>
                    <a:prstGeom prst="rect">
                      <a:avLst/>
                    </a:prstGeom>
                    <a:noFill/>
                    <a:ln>
                      <a:noFill/>
                    </a:ln>
                  </pic:spPr>
                </pic:pic>
              </a:graphicData>
            </a:graphic>
          </wp:inline>
        </w:drawing>
      </w:r>
      <w:bookmarkStart w:id="6" w:name="_GoBack"/>
      <w:bookmarkEnd w:id="6"/>
    </w:p>
    <w:p>
      <w:pPr>
        <w:spacing w:before="60" w:after="156" w:afterLines="50"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图5-5 变异测试流程</w:t>
      </w:r>
    </w:p>
    <w:p>
      <w:pPr>
        <w:pStyle w:val="3"/>
        <w:rPr>
          <w:rFonts w:ascii="黑体" w:hAnsi="黑体" w:eastAsia="黑体"/>
        </w:rPr>
      </w:pPr>
      <w:r>
        <w:rPr>
          <w:rFonts w:hint="eastAsia" w:ascii="黑体" w:hAnsi="黑体" w:eastAsia="黑体"/>
        </w:rPr>
        <w:t>5.</w:t>
      </w:r>
      <w:r>
        <w:rPr>
          <w:rFonts w:ascii="黑体" w:hAnsi="黑体" w:eastAsia="黑体"/>
        </w:rPr>
        <w:t>5</w:t>
      </w:r>
      <w:r>
        <w:rPr>
          <w:rFonts w:hint="eastAsia" w:ascii="黑体" w:hAnsi="黑体" w:eastAsia="黑体"/>
        </w:rPr>
        <w:t>　测试覆盖率分析</w:t>
      </w:r>
    </w:p>
    <w:p>
      <w:pPr>
        <w:pStyle w:val="6"/>
        <w:spacing w:before="60" w:after="156" w:afterLines="50" w:line="360" w:lineRule="auto"/>
        <w:ind w:firstLine="480" w:firstLineChars="0"/>
        <w:rPr>
          <w:rFonts w:hint="eastAsia" w:asciiTheme="minorEastAsia" w:hAnsiTheme="minorEastAsia" w:eastAsiaTheme="minorEastAsia" w:cstheme="minorEastAsia"/>
          <w:bCs/>
          <w:sz w:val="28"/>
          <w:szCs w:val="28"/>
        </w:rPr>
      </w:pPr>
      <w:r>
        <w:rPr>
          <w:rFonts w:hint="eastAsia" w:asciiTheme="minorEastAsia" w:hAnsiTheme="minorEastAsia" w:eastAsiaTheme="minorEastAsia" w:cstheme="minorEastAsia"/>
          <w:bCs/>
          <w:sz w:val="28"/>
          <w:szCs w:val="28"/>
        </w:rPr>
        <w:t>测试覆盖率是评估软件测试质量的重要指标。本测试平台采用插桩技术实现覆盖率分析，通过在源程序关键位置进行插桩操作，保证源程序逻辑完整性，重新编译、链接并生成可执行程序。最终实现了对软件覆盖率、测试用例成功与否、函数执行效率以及代码覆盖情况的全面监测和显示。</w:t>
      </w:r>
    </w:p>
    <w:p>
      <w:pPr>
        <w:pStyle w:val="6"/>
        <w:spacing w:before="60" w:after="156" w:afterLines="50" w:line="360" w:lineRule="auto"/>
        <w:ind w:firstLine="480" w:firstLineChars="0"/>
        <w:rPr>
          <w:rFonts w:hint="eastAsia" w:asciiTheme="minorEastAsia" w:hAnsiTheme="minorEastAsia" w:eastAsiaTheme="minorEastAsia" w:cstheme="minorEastAsia"/>
          <w:bCs/>
          <w:sz w:val="28"/>
          <w:szCs w:val="28"/>
        </w:rPr>
      </w:pPr>
    </w:p>
    <w:p>
      <w:pPr>
        <w:pStyle w:val="3"/>
        <w:rPr>
          <w:rFonts w:ascii="黑体" w:hAnsi="黑体" w:eastAsia="黑体"/>
        </w:rPr>
      </w:pPr>
      <w:r>
        <w:rPr>
          <w:rFonts w:hint="eastAsia" w:ascii="黑体" w:hAnsi="黑体" w:eastAsia="黑体"/>
        </w:rPr>
        <w:t>5.</w:t>
      </w:r>
      <w:r>
        <w:rPr>
          <w:rFonts w:ascii="黑体" w:hAnsi="黑体" w:eastAsia="黑体"/>
        </w:rPr>
        <w:t>6</w:t>
      </w:r>
      <w:r>
        <w:rPr>
          <w:rFonts w:hint="eastAsia" w:ascii="黑体" w:hAnsi="黑体" w:eastAsia="黑体"/>
        </w:rPr>
        <w:t>　测试用例扩增</w:t>
      </w:r>
    </w:p>
    <w:p>
      <w:pPr>
        <w:pStyle w:val="7"/>
        <w:numPr>
          <w:numId w:val="0"/>
        </w:numPr>
        <w:spacing w:line="360" w:lineRule="exact"/>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随着文件数量的增加，我们采用了一系列高效算法来优化文档管理工具的性能：</w:t>
      </w:r>
    </w:p>
    <w:p>
      <w:pPr>
        <w:pStyle w:val="7"/>
        <w:numPr>
          <w:ilvl w:val="0"/>
          <w:numId w:val="1"/>
        </w:numPr>
        <w:spacing w:line="360" w:lineRule="exac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我们针对用户需求设计了高效的查询算法，可实现快速查找目标文件。</w:t>
      </w:r>
    </w:p>
    <w:p>
      <w:pPr>
        <w:pStyle w:val="7"/>
        <w:numPr>
          <w:ilvl w:val="0"/>
          <w:numId w:val="1"/>
        </w:numPr>
        <w:spacing w:line="360" w:lineRule="exac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我们使用高效的排序算法，支持按照文件名或创建时间进行排序，进一步提升了工具的性能。</w:t>
      </w:r>
    </w:p>
    <w:p>
      <w:pPr>
        <w:pStyle w:val="7"/>
        <w:numPr>
          <w:ilvl w:val="0"/>
          <w:numId w:val="1"/>
        </w:numPr>
        <w:spacing w:line="360" w:lineRule="exact"/>
        <w:rPr>
          <w:rFonts w:ascii="宋体" w:hAnsi="宋体"/>
          <w:sz w:val="28"/>
          <w:szCs w:val="28"/>
        </w:rPr>
      </w:pPr>
      <w:r>
        <w:rPr>
          <w:rFonts w:hint="eastAsia" w:asciiTheme="minorEastAsia" w:hAnsiTheme="minorEastAsia" w:eastAsiaTheme="minorEastAsia" w:cstheme="minorEastAsia"/>
          <w:sz w:val="28"/>
          <w:szCs w:val="28"/>
        </w:rPr>
        <w:t>此外，我们还为文件查找功能添加了正则表达式支持，从而使用户能够更方便、高效地进行查找。</w:t>
      </w:r>
    </w:p>
    <w:p>
      <w:pPr>
        <w:pStyle w:val="2"/>
        <w:spacing w:before="120" w:after="156" w:afterLines="50"/>
        <w:rPr>
          <w:rFonts w:ascii="黑体" w:hAnsi="黑体" w:eastAsia="黑体" w:cstheme="minorEastAsia"/>
          <w:sz w:val="32"/>
          <w:szCs w:val="32"/>
        </w:rPr>
      </w:pPr>
    </w:p>
    <w:p>
      <w:pPr>
        <w:pStyle w:val="2"/>
        <w:spacing w:before="120" w:after="156" w:afterLines="50"/>
        <w:rPr>
          <w:rFonts w:ascii="黑体" w:hAnsi="黑体" w:eastAsia="黑体" w:cstheme="minorEastAsia"/>
          <w:sz w:val="32"/>
          <w:szCs w:val="32"/>
        </w:rPr>
      </w:pPr>
    </w:p>
    <w:p>
      <w:pPr>
        <w:rPr>
          <w:rFonts w:ascii="黑体" w:hAnsi="黑体" w:eastAsia="黑体" w:cstheme="minorEastAsia"/>
          <w:sz w:val="32"/>
          <w:szCs w:val="32"/>
        </w:rPr>
      </w:pPr>
    </w:p>
    <w:p>
      <w:pPr>
        <w:rPr>
          <w:rFonts w:ascii="黑体" w:hAnsi="黑体" w:eastAsia="黑体" w:cstheme="minorEastAsia"/>
          <w:sz w:val="32"/>
          <w:szCs w:val="32"/>
        </w:rPr>
      </w:pPr>
    </w:p>
    <w:p>
      <w:pPr>
        <w:rPr>
          <w:rFonts w:ascii="黑体" w:hAnsi="黑体" w:eastAsia="黑体" w:cstheme="minorEastAsia"/>
          <w:sz w:val="32"/>
          <w:szCs w:val="32"/>
        </w:rPr>
      </w:pPr>
    </w:p>
    <w:p>
      <w:pPr>
        <w:rPr>
          <w:rFonts w:ascii="黑体" w:hAnsi="黑体" w:eastAsia="黑体" w:cstheme="minorEastAsia"/>
          <w:sz w:val="32"/>
          <w:szCs w:val="32"/>
        </w:rPr>
      </w:pPr>
    </w:p>
    <w:p>
      <w:pPr>
        <w:rPr>
          <w:rFonts w:ascii="黑体" w:hAnsi="黑体" w:eastAsia="黑体" w:cstheme="minorEastAsia"/>
          <w:sz w:val="32"/>
          <w:szCs w:val="32"/>
        </w:rPr>
      </w:pPr>
    </w:p>
    <w:p>
      <w:pPr>
        <w:pStyle w:val="2"/>
        <w:spacing w:before="120" w:after="156" w:afterLines="50"/>
        <w:rPr>
          <w:rFonts w:ascii="黑体" w:hAnsi="黑体" w:eastAsia="黑体" w:cstheme="minorEastAsia"/>
          <w:sz w:val="32"/>
          <w:szCs w:val="32"/>
        </w:rPr>
      </w:pPr>
      <w:r>
        <w:rPr>
          <w:rFonts w:hint="eastAsia" w:ascii="黑体" w:hAnsi="黑体" w:eastAsia="黑体" w:cstheme="minorEastAsia"/>
          <w:sz w:val="32"/>
          <w:szCs w:val="32"/>
        </w:rPr>
        <w:t>六、营销策略</w:t>
      </w:r>
    </w:p>
    <w:p>
      <w:pPr>
        <w:pStyle w:val="3"/>
        <w:spacing w:before="60" w:after="156" w:afterLines="50"/>
        <w:rPr>
          <w:rFonts w:ascii="黑体" w:hAnsi="黑体" w:eastAsia="黑体" w:cstheme="minorEastAsia"/>
        </w:rPr>
      </w:pPr>
      <w:bookmarkStart w:id="0" w:name="_Toc459688303"/>
      <w:bookmarkStart w:id="1" w:name="_Toc26026"/>
      <w:bookmarkStart w:id="2" w:name="_Toc20504"/>
      <w:r>
        <w:rPr>
          <w:rFonts w:hint="eastAsia" w:ascii="黑体" w:hAnsi="黑体" w:eastAsia="黑体" w:cstheme="minorEastAsia"/>
        </w:rPr>
        <w:t>6.1　营销计划</w:t>
      </w:r>
      <w:bookmarkEnd w:id="0"/>
      <w:bookmarkEnd w:id="1"/>
      <w:bookmarkEnd w:id="2"/>
      <w:r>
        <w:rPr>
          <w:rFonts w:hint="eastAsia" w:ascii="黑体" w:hAnsi="黑体" w:eastAsia="黑体" w:cstheme="minorEastAsia"/>
        </w:rPr>
        <w:t xml:space="preserve"> </w:t>
      </w:r>
    </w:p>
    <w:p>
      <w:pPr>
        <w:spacing w:before="60" w:after="156" w:afterLines="50"/>
        <w:ind w:firstLine="480"/>
        <w:rPr>
          <w:rFonts w:asciiTheme="minorEastAsia" w:hAnsiTheme="minorEastAsia" w:cstheme="minorEastAsia"/>
          <w:bCs/>
          <w:sz w:val="24"/>
          <w:szCs w:val="24"/>
        </w:rPr>
      </w:pPr>
      <w:bookmarkStart w:id="3" w:name="_Toc459688304"/>
      <w:r>
        <w:rPr>
          <w:rFonts w:hint="eastAsia" w:asciiTheme="minorEastAsia" w:hAnsiTheme="minorEastAsia" w:cstheme="minorEastAsia"/>
          <w:color w:val="000000"/>
          <w:sz w:val="28"/>
          <w:szCs w:val="28"/>
          <w:shd w:val="clear" w:color="auto" w:fill="FFFFFF"/>
        </w:rPr>
        <w:t>市场营销的过程通常分为市场进入、成长和成熟三个阶段。在不同的阶段，需要采用不同的销售渠道、销售方式和推广策略来实现预期的销售额目标。</w:t>
      </w:r>
    </w:p>
    <w:p>
      <w:pPr>
        <w:pStyle w:val="3"/>
        <w:spacing w:before="60" w:after="156" w:afterLines="50"/>
        <w:rPr>
          <w:rFonts w:ascii="黑体" w:hAnsi="黑体" w:eastAsia="黑体" w:cstheme="minorEastAsia"/>
        </w:rPr>
      </w:pPr>
      <w:bookmarkStart w:id="4" w:name="_Toc4618"/>
      <w:bookmarkStart w:id="5" w:name="_Toc26702"/>
      <w:r>
        <w:rPr>
          <w:rFonts w:hint="eastAsia" w:ascii="黑体" w:hAnsi="黑体" w:eastAsia="黑体" w:cstheme="minorEastAsia"/>
        </w:rPr>
        <w:t>6.2　市场进入阶段</w:t>
      </w:r>
      <w:bookmarkEnd w:id="3"/>
      <w:bookmarkEnd w:id="4"/>
      <w:bookmarkEnd w:id="5"/>
    </w:p>
    <w:p>
      <w:pPr>
        <w:spacing w:before="60" w:after="156" w:afterLines="50"/>
        <w:ind w:firstLine="560" w:firstLineChars="200"/>
        <w:rPr>
          <w:rFonts w:asciiTheme="minorEastAsia" w:hAnsiTheme="minorEastAsia" w:cstheme="minorEastAsia"/>
          <w:color w:val="000000"/>
          <w:sz w:val="28"/>
          <w:szCs w:val="28"/>
          <w:shd w:val="clear" w:color="auto" w:fill="FFFFFF"/>
        </w:rPr>
      </w:pPr>
      <w:r>
        <w:rPr>
          <w:rFonts w:hint="eastAsia" w:asciiTheme="minorEastAsia" w:hAnsiTheme="minorEastAsia" w:cstheme="minorEastAsia"/>
          <w:color w:val="000000"/>
          <w:sz w:val="28"/>
          <w:szCs w:val="28"/>
          <w:shd w:val="clear" w:color="auto" w:fill="FFFFFF"/>
        </w:rPr>
        <w:t>对于本项目新型概念平台来说，让大众接受并愿意去使用这一软件是重中之重。因此，应该首先创建一个介绍本</w:t>
      </w:r>
      <w:r>
        <w:rPr>
          <w:rFonts w:asciiTheme="minorEastAsia" w:hAnsiTheme="minorEastAsia" w:cstheme="minorEastAsia"/>
          <w:color w:val="000000"/>
          <w:sz w:val="28"/>
          <w:szCs w:val="28"/>
          <w:shd w:val="clear" w:color="auto" w:fill="FFFFFF"/>
        </w:rPr>
        <w:t>文档智能管理工具</w:t>
      </w:r>
      <w:r>
        <w:rPr>
          <w:rFonts w:hint="eastAsia" w:asciiTheme="minorEastAsia" w:hAnsiTheme="minorEastAsia" w:cstheme="minorEastAsia"/>
          <w:color w:val="000000"/>
          <w:sz w:val="28"/>
          <w:szCs w:val="28"/>
          <w:shd w:val="clear" w:color="auto" w:fill="FFFFFF"/>
        </w:rPr>
        <w:t>的网站，在各高校企业建立并推广本品牌，并快速树立品牌形象，达到提升。以本平台的新颖性为基础，通过一系列的推广措施，达到大众对本平台的认知和认可，争取在短时间内提高本平台的知名度。</w:t>
      </w:r>
    </w:p>
    <w:p>
      <w:pPr>
        <w:spacing w:before="60" w:after="156" w:afterLines="50"/>
        <w:ind w:firstLine="480"/>
        <w:rPr>
          <w:rFonts w:asciiTheme="minorEastAsia" w:hAnsiTheme="minorEastAsia" w:cstheme="minorEastAsia"/>
          <w:color w:val="000000"/>
          <w:sz w:val="28"/>
          <w:szCs w:val="28"/>
          <w:shd w:val="clear" w:color="auto" w:fill="FFFFFF"/>
        </w:rPr>
      </w:pPr>
      <w:r>
        <w:rPr>
          <w:rFonts w:hint="eastAsia" w:asciiTheme="minorEastAsia" w:hAnsiTheme="minorEastAsia" w:cstheme="minorEastAsia"/>
          <w:color w:val="000000"/>
          <w:sz w:val="28"/>
          <w:szCs w:val="28"/>
          <w:shd w:val="clear" w:color="auto" w:fill="FFFFFF"/>
        </w:rPr>
        <w:t>（1）为了提高本文档智能管理工具的知名度和影响力，我们应该运用市场营销策略，在各大高校论坛进行宣传推广。同时，我们也应该在著名的搜索引擎进行注册，并与不同站点建立链接，从而加强网页间距离缩短、提高站点被访问概率等方面考虑。根据调查数据显示，寻找新软件的主要途径是通过搜索引擎实现，因此对于提升我们产品的曝光率非常必要，而且这个过程的成本相对较低。其次，在合适的站点上发布合作信息，建立友情链接也是一种快速提高品牌知名度的方法。我们还可以结合线上和线下的方式进行宣传，通过展示广告和走访调研等形式让更多的潜在客户了解并使用我们的文档智能管理工具，从而扩大市场份额和用户量。</w:t>
      </w:r>
    </w:p>
    <w:p>
      <w:pPr>
        <w:spacing w:before="60" w:after="156" w:afterLines="50"/>
        <w:ind w:firstLine="480"/>
        <w:rPr>
          <w:rFonts w:asciiTheme="minorEastAsia" w:hAnsiTheme="minorEastAsia" w:cstheme="minorEastAsia"/>
          <w:color w:val="000000"/>
          <w:sz w:val="28"/>
          <w:szCs w:val="28"/>
          <w:shd w:val="clear" w:color="auto" w:fill="FFFFFF"/>
        </w:rPr>
      </w:pPr>
      <w:r>
        <w:rPr>
          <w:rFonts w:hint="eastAsia" w:asciiTheme="minorEastAsia" w:hAnsiTheme="minorEastAsia" w:cstheme="minorEastAsia"/>
          <w:color w:val="000000"/>
          <w:sz w:val="28"/>
          <w:szCs w:val="28"/>
          <w:shd w:val="clear" w:color="auto" w:fill="FFFFFF"/>
        </w:rPr>
        <w:t>（2）为推广我们的平台，我们可以在商务链接站点申请链接。特别是当某个站点提供免费服务时，我们可以向许多网络上的小型商务链接站点申请链接。只要该站点能够提供免费的东西，就可以吸引许多站点为我们建立链接。在寻找链接伙伴时，我们可以通过搜索寻找可能为站点提供链接的地方，然后向该站点的所有者或主管发送电子邮件，告知他们我们的链接网站名称、URL以及200字的简短描述。这种方式可以有效缩短网页间距离，提高平台的被访问概率。</w:t>
      </w:r>
    </w:p>
    <w:p>
      <w:pPr>
        <w:spacing w:before="60" w:after="156" w:afterLines="50"/>
        <w:ind w:firstLine="480"/>
        <w:rPr>
          <w:rFonts w:asciiTheme="minorEastAsia" w:hAnsiTheme="minorEastAsia" w:cstheme="minorEastAsia"/>
          <w:color w:val="000000"/>
          <w:sz w:val="28"/>
          <w:szCs w:val="28"/>
          <w:shd w:val="clear" w:color="auto" w:fill="FFFFFF"/>
        </w:rPr>
      </w:pPr>
      <w:r>
        <w:rPr>
          <w:rFonts w:hint="eastAsia" w:asciiTheme="minorEastAsia" w:hAnsiTheme="minorEastAsia" w:cstheme="minorEastAsia"/>
          <w:color w:val="000000"/>
          <w:sz w:val="28"/>
          <w:szCs w:val="28"/>
          <w:shd w:val="clear" w:color="auto" w:fill="FFFFFF"/>
        </w:rPr>
        <w:t>（3）为了提高我们平台的知名度和推广效果，我们还可以采用定期发布网络广告的策略。利用网络广告可以较为有效地推销我们的平台。其中，一个比较廉价的方式是加入广告交换组织，这些组织通过不同站点的加盟后，在不同站点交换显示广告，实现相互促进的作用。此外，我们还可以在适当的站点上购买广告栏位进行网络广告发布，以达到更广泛的覆盖面和更高的曝光率。</w:t>
      </w:r>
    </w:p>
    <w:p>
      <w:pPr>
        <w:spacing w:before="60" w:after="156" w:afterLines="50"/>
        <w:ind w:firstLine="480"/>
        <w:rPr>
          <w:rFonts w:asciiTheme="minorEastAsia" w:hAnsiTheme="minorEastAsia" w:cstheme="minorEastAsia"/>
          <w:color w:val="000000"/>
          <w:sz w:val="28"/>
          <w:szCs w:val="28"/>
          <w:shd w:val="clear" w:color="auto" w:fill="FFFFFF"/>
        </w:rPr>
      </w:pPr>
      <w:r>
        <w:rPr>
          <w:rFonts w:hint="eastAsia" w:asciiTheme="minorEastAsia" w:hAnsiTheme="minorEastAsia" w:cstheme="minorEastAsia"/>
          <w:color w:val="000000"/>
          <w:sz w:val="28"/>
          <w:szCs w:val="28"/>
          <w:shd w:val="clear" w:color="auto" w:fill="FFFFFF"/>
        </w:rPr>
        <w:t>（4）为了推广我们的平台并吸引商家和客户，我们可以使用免费试用策略来让潜在客户亲身体验本产品带来的好处，并建立对该平台的信任感。试用期结束后，当商家拥有一定顾客基础并获得收益时，我们会开始向他们收取相应服务费用。此外，我们将根据用户的反馈情况对功能进行调整以优化系统的性能和用户体验。</w:t>
      </w:r>
    </w:p>
    <w:p>
      <w:pPr>
        <w:spacing w:before="60" w:after="156" w:afterLines="50"/>
        <w:ind w:firstLine="480"/>
        <w:rPr>
          <w:rFonts w:asciiTheme="minorEastAsia" w:hAnsiTheme="minorEastAsia" w:cstheme="minorEastAsia"/>
          <w:color w:val="000000"/>
          <w:sz w:val="28"/>
          <w:szCs w:val="28"/>
          <w:shd w:val="clear" w:color="auto" w:fill="FFFFFF"/>
        </w:rPr>
      </w:pPr>
      <w:r>
        <w:rPr>
          <w:rFonts w:hint="eastAsia" w:asciiTheme="minorEastAsia" w:hAnsiTheme="minorEastAsia" w:cstheme="minorEastAsia"/>
          <w:color w:val="000000"/>
          <w:sz w:val="28"/>
          <w:szCs w:val="28"/>
          <w:shd w:val="clear" w:color="auto" w:fill="FFFFFF"/>
        </w:rPr>
        <w:t>（5）我们的测试平台借助车体广告、霓虹灯、街牌以及楼宇广告等多种形式，以较低的费用投入带来更大的影响力。通过这些广告形式对人们的日常生活进行冲击，让更多的人感受到我们测试平台的存在，并加深他们对我们运营的了解。这些广告不仅能够贴近大众的生活，同时也能在很大程度上推广我们的理念和价值观。</w:t>
      </w:r>
    </w:p>
    <w:p>
      <w:pPr>
        <w:spacing w:before="60" w:after="156" w:afterLines="50"/>
        <w:ind w:firstLine="480"/>
        <w:rPr>
          <w:rFonts w:asciiTheme="minorEastAsia" w:hAnsiTheme="minorEastAsia" w:cstheme="minorEastAsia"/>
          <w:color w:val="000000"/>
          <w:sz w:val="28"/>
          <w:szCs w:val="28"/>
          <w:shd w:val="clear" w:color="auto" w:fill="FFFFFF"/>
        </w:rPr>
      </w:pPr>
      <w:r>
        <w:rPr>
          <w:rFonts w:hint="eastAsia" w:asciiTheme="minorEastAsia" w:hAnsiTheme="minorEastAsia" w:cstheme="minorEastAsia"/>
          <w:color w:val="000000"/>
          <w:sz w:val="28"/>
          <w:szCs w:val="28"/>
          <w:shd w:val="clear" w:color="auto" w:fill="FFFFFF"/>
        </w:rPr>
        <w:t>（6）为增加本平台在西安地区高校和企业中的知名度和可信度，我们采用线下走访调研的方式，与目标用户进行交流和沟通。在调研过程中，我们积极向他们介绍平台的特点和亮点，并邀请他们入驻本项目，开展合作。这一做法不仅能够深入了解目标用户的需求，还能够逐步增加软件的影响力和用户群体。</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仿宋_GB2312">
    <w:altName w:val="文泉驿微米黑"/>
    <w:panose1 w:val="00000000000000000000"/>
    <w:charset w:val="86"/>
    <w:family w:val="modern"/>
    <w:pitch w:val="default"/>
    <w:sig w:usb0="00000000" w:usb1="00000000" w:usb2="00000010" w:usb3="00000000" w:csb0="00040000" w:csb1="00000000"/>
  </w:font>
  <w:font w:name="OpenSymbol">
    <w:panose1 w:val="05010000000000000000"/>
    <w:charset w:val="00"/>
    <w:family w:val="auto"/>
    <w:pitch w:val="default"/>
    <w:sig w:usb0="800000AF" w:usb1="1001ECEA" w:usb2="00000000" w:usb3="00000000" w:csb0="80000001" w:csb1="00000000"/>
  </w:font>
  <w:font w:name="Ubuntu">
    <w:panose1 w:val="020B0504030602030204"/>
    <w:charset w:val="00"/>
    <w:family w:val="auto"/>
    <w:pitch w:val="default"/>
    <w:sig w:usb0="E00002FF" w:usb1="5000205B" w:usb2="00000000" w:usb3="00000000" w:csb0="2000009F" w:csb1="56010000"/>
  </w:font>
  <w:font w:name="文泉驿正黑">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453371"/>
    <w:multiLevelType w:val="multilevel"/>
    <w:tmpl w:val="6D453371"/>
    <w:lvl w:ilvl="0" w:tentative="0">
      <w:start w:val="1"/>
      <w:numFmt w:val="decimal"/>
      <w:lvlText w:val="%1)"/>
      <w:lvlJc w:val="left"/>
      <w:pPr>
        <w:tabs>
          <w:tab w:val="left" w:pos="-251"/>
        </w:tabs>
        <w:ind w:left="1069" w:hanging="360"/>
      </w:pPr>
    </w:lvl>
    <w:lvl w:ilvl="1" w:tentative="0">
      <w:start w:val="1"/>
      <w:numFmt w:val="lowerLetter"/>
      <w:lvlText w:val="%2)"/>
      <w:lvlJc w:val="left"/>
      <w:pPr>
        <w:tabs>
          <w:tab w:val="left" w:pos="-251"/>
        </w:tabs>
        <w:ind w:left="1549" w:hanging="420"/>
      </w:pPr>
    </w:lvl>
    <w:lvl w:ilvl="2" w:tentative="0">
      <w:start w:val="1"/>
      <w:numFmt w:val="lowerRoman"/>
      <w:lvlText w:val="%3."/>
      <w:lvlJc w:val="right"/>
      <w:pPr>
        <w:tabs>
          <w:tab w:val="left" w:pos="-251"/>
        </w:tabs>
        <w:ind w:left="1969" w:hanging="420"/>
      </w:pPr>
    </w:lvl>
    <w:lvl w:ilvl="3" w:tentative="0">
      <w:start w:val="1"/>
      <w:numFmt w:val="decimal"/>
      <w:lvlText w:val="%4."/>
      <w:lvlJc w:val="left"/>
      <w:pPr>
        <w:tabs>
          <w:tab w:val="left" w:pos="-251"/>
        </w:tabs>
        <w:ind w:left="2389" w:hanging="420"/>
      </w:pPr>
    </w:lvl>
    <w:lvl w:ilvl="4" w:tentative="0">
      <w:start w:val="1"/>
      <w:numFmt w:val="lowerLetter"/>
      <w:lvlText w:val="%5)"/>
      <w:lvlJc w:val="left"/>
      <w:pPr>
        <w:tabs>
          <w:tab w:val="left" w:pos="-251"/>
        </w:tabs>
        <w:ind w:left="2809" w:hanging="420"/>
      </w:pPr>
    </w:lvl>
    <w:lvl w:ilvl="5" w:tentative="0">
      <w:start w:val="1"/>
      <w:numFmt w:val="lowerRoman"/>
      <w:lvlText w:val="%6."/>
      <w:lvlJc w:val="right"/>
      <w:pPr>
        <w:tabs>
          <w:tab w:val="left" w:pos="-251"/>
        </w:tabs>
        <w:ind w:left="3229" w:hanging="420"/>
      </w:pPr>
    </w:lvl>
    <w:lvl w:ilvl="6" w:tentative="0">
      <w:start w:val="1"/>
      <w:numFmt w:val="decimal"/>
      <w:lvlText w:val="%7."/>
      <w:lvlJc w:val="left"/>
      <w:pPr>
        <w:tabs>
          <w:tab w:val="left" w:pos="-251"/>
        </w:tabs>
        <w:ind w:left="3649" w:hanging="420"/>
      </w:pPr>
    </w:lvl>
    <w:lvl w:ilvl="7" w:tentative="0">
      <w:start w:val="1"/>
      <w:numFmt w:val="lowerLetter"/>
      <w:lvlText w:val="%8)"/>
      <w:lvlJc w:val="left"/>
      <w:pPr>
        <w:tabs>
          <w:tab w:val="left" w:pos="-251"/>
        </w:tabs>
        <w:ind w:left="4069" w:hanging="420"/>
      </w:pPr>
    </w:lvl>
    <w:lvl w:ilvl="8" w:tentative="0">
      <w:start w:val="1"/>
      <w:numFmt w:val="lowerRoman"/>
      <w:lvlText w:val="%9."/>
      <w:lvlJc w:val="right"/>
      <w:pPr>
        <w:tabs>
          <w:tab w:val="left" w:pos="-251"/>
        </w:tabs>
        <w:ind w:left="448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6F102B"/>
    <w:rsid w:val="7A6F102B"/>
    <w:rsid w:val="FBF68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line="360" w:lineRule="auto"/>
      <w:outlineLvl w:val="0"/>
    </w:pPr>
    <w:rPr>
      <w:rFonts w:ascii="Times New Roman" w:hAnsi="Times New Roman" w:eastAsia="仿宋_GB2312" w:cs="Times New Roman"/>
      <w:b/>
      <w:bCs/>
      <w:kern w:val="44"/>
      <w:sz w:val="30"/>
      <w:szCs w:val="44"/>
    </w:rPr>
  </w:style>
  <w:style w:type="paragraph" w:styleId="3">
    <w:name w:val="heading 2"/>
    <w:basedOn w:val="1"/>
    <w:next w:val="1"/>
    <w:qFormat/>
    <w:uiPriority w:val="0"/>
    <w:pPr>
      <w:keepNext/>
      <w:keepLines/>
      <w:spacing w:line="360" w:lineRule="auto"/>
      <w:outlineLvl w:val="1"/>
    </w:pPr>
    <w:rPr>
      <w:rFonts w:ascii="Times New Roman" w:hAnsi="Times New Roman" w:eastAsia="仿宋_GB2312" w:cs="Times New Roman"/>
      <w:b/>
      <w:bCs/>
      <w:sz w:val="30"/>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6">
    <w:name w:val="正文+缩进"/>
    <w:basedOn w:val="1"/>
    <w:qFormat/>
    <w:uiPriority w:val="0"/>
    <w:pPr>
      <w:spacing w:before="120" w:line="400" w:lineRule="exact"/>
      <w:ind w:firstLine="200" w:firstLineChars="200"/>
    </w:pPr>
    <w:rPr>
      <w:rFonts w:ascii="Times New Roman" w:hAnsi="Times New Roman" w:eastAsia="宋体" w:cs="Times New Roman"/>
      <w:sz w:val="24"/>
    </w:rPr>
  </w:style>
  <w:style w:type="paragraph" w:styleId="7">
    <w:name w:val="List Paragraph"/>
    <w:basedOn w:val="1"/>
    <w:qFormat/>
    <w:uiPriority w:val="99"/>
    <w:pPr>
      <w:suppressAutoHyphens/>
      <w:spacing w:line="400" w:lineRule="exact"/>
      <w:ind w:firstLine="420"/>
      <w:jc w:val="left"/>
    </w:pPr>
    <w:rPr>
      <w:rFonts w:ascii="Times New Roman" w:hAnsi="Times New Roman" w:eastAsia="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2023-03-30T21:29:00Z</dcterms:created>
  <dc:creator>wang</dc:creator>
  <cp:lastModifiedBy>wang</cp:lastModifiedBy>
  <dcterms:modified xsi:type="dcterms:W3CDTF">2023-03-30T22:04:33Z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