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15C4" w14:textId="77777777" w:rsidR="00C4268E" w:rsidRDefault="00C4268E" w:rsidP="000D7BE3">
      <w:pPr>
        <w:pStyle w:val="Title"/>
        <w:rPr>
          <w:color w:val="0070C0"/>
        </w:rPr>
      </w:pPr>
    </w:p>
    <w:p w14:paraId="3C4E75BA" w14:textId="763C1A47" w:rsidR="00055254" w:rsidRDefault="00F131B7" w:rsidP="00C4268E">
      <w:pPr>
        <w:pStyle w:val="Title"/>
        <w:ind w:firstLine="0"/>
        <w:rPr>
          <w:color w:val="0070C0"/>
        </w:rPr>
      </w:pPr>
      <w:proofErr w:type="spellStart"/>
      <w:r w:rsidRPr="00390EEA">
        <w:rPr>
          <w:color w:val="0070C0"/>
        </w:rPr>
        <w:t>iSLA</w:t>
      </w:r>
      <w:proofErr w:type="spellEnd"/>
      <w:r w:rsidRPr="00390EEA">
        <w:rPr>
          <w:color w:val="0070C0"/>
        </w:rPr>
        <w:t xml:space="preserve"> </w:t>
      </w:r>
      <w:r w:rsidR="00055254" w:rsidRPr="00390EEA">
        <w:rPr>
          <w:color w:val="0070C0"/>
        </w:rPr>
        <w:t>Technical Report</w:t>
      </w:r>
    </w:p>
    <w:p w14:paraId="5EA9F7D4" w14:textId="77777777" w:rsidR="00C4268E" w:rsidRDefault="00C4268E" w:rsidP="00C4268E">
      <w:pPr>
        <w:pStyle w:val="Title"/>
        <w:ind w:firstLine="0"/>
        <w:rPr>
          <w:color w:val="C00000"/>
          <w:sz w:val="40"/>
          <w:szCs w:val="40"/>
        </w:rPr>
      </w:pPr>
    </w:p>
    <w:p w14:paraId="20C3D348" w14:textId="57B89145" w:rsidR="00C4268E" w:rsidRPr="00C4268E" w:rsidRDefault="00C4268E" w:rsidP="00C4268E">
      <w:pPr>
        <w:pStyle w:val="Title"/>
        <w:ind w:firstLine="0"/>
        <w:rPr>
          <w:color w:val="C00000"/>
          <w:sz w:val="40"/>
          <w:szCs w:val="40"/>
        </w:rPr>
      </w:pPr>
      <w:r w:rsidRPr="00C4268E">
        <w:rPr>
          <w:color w:val="C00000"/>
          <w:sz w:val="40"/>
          <w:szCs w:val="40"/>
        </w:rPr>
        <w:t>Task Group 1: Spectrum Study</w:t>
      </w:r>
    </w:p>
    <w:p w14:paraId="6AD9BF3F" w14:textId="77777777" w:rsidR="00390EEA" w:rsidRPr="00390EEA" w:rsidRDefault="00390EEA" w:rsidP="000D7BE3">
      <w:pPr>
        <w:pStyle w:val="Title"/>
        <w:rPr>
          <w:color w:val="0070C0"/>
        </w:rPr>
      </w:pPr>
    </w:p>
    <w:p w14:paraId="12A310DF" w14:textId="77777777" w:rsidR="00A315BF" w:rsidRDefault="00055254" w:rsidP="009D2093">
      <w:pPr>
        <w:pStyle w:val="Title"/>
        <w:pBdr>
          <w:bottom w:val="single" w:sz="4" w:space="1" w:color="auto"/>
        </w:pBdr>
        <w:ind w:firstLine="0"/>
      </w:pPr>
      <w:bookmarkStart w:id="0" w:name="_Toc190098393"/>
      <w:r w:rsidRPr="000D7BE3">
        <w:t xml:space="preserve">Regulatory Landscape and Deployment Scenarios for </w:t>
      </w:r>
      <w:proofErr w:type="spellStart"/>
      <w:r w:rsidRPr="000D7BE3">
        <w:t>mmWave</w:t>
      </w:r>
      <w:proofErr w:type="spellEnd"/>
      <w:r w:rsidRPr="000D7BE3">
        <w:t xml:space="preserve"> Communications</w:t>
      </w:r>
      <w:bookmarkStart w:id="1" w:name="_Toc190098394"/>
      <w:bookmarkEnd w:id="0"/>
      <w:r w:rsidR="00A315BF">
        <w:t xml:space="preserve">                            </w:t>
      </w:r>
      <w:r w:rsidRPr="000D7BE3">
        <w:t>in the EU</w:t>
      </w:r>
      <w:r w:rsidR="000D7BE3">
        <w:t xml:space="preserve"> Countries</w:t>
      </w:r>
      <w:bookmarkEnd w:id="1"/>
    </w:p>
    <w:p w14:paraId="401BD88A" w14:textId="77777777" w:rsidR="009D2093" w:rsidRDefault="009D2093" w:rsidP="009D2093">
      <w:pPr>
        <w:pStyle w:val="Title"/>
        <w:ind w:firstLine="0"/>
      </w:pPr>
    </w:p>
    <w:p w14:paraId="7ADBDADA" w14:textId="77777777" w:rsidR="009D2093" w:rsidRDefault="009D2093" w:rsidP="009D2093">
      <w:pPr>
        <w:pStyle w:val="Title"/>
        <w:ind w:firstLine="0"/>
      </w:pPr>
    </w:p>
    <w:p w14:paraId="2ED9217A" w14:textId="77777777" w:rsidR="009D2093" w:rsidRDefault="009D2093" w:rsidP="009D2093">
      <w:pPr>
        <w:pStyle w:val="Title"/>
        <w:ind w:firstLine="0"/>
      </w:pPr>
    </w:p>
    <w:p w14:paraId="44E24C22" w14:textId="77777777" w:rsidR="009D2093" w:rsidRDefault="009D2093" w:rsidP="009D2093">
      <w:pPr>
        <w:pStyle w:val="Title"/>
        <w:ind w:firstLine="0"/>
      </w:pPr>
    </w:p>
    <w:p w14:paraId="7640601E" w14:textId="77777777" w:rsidR="009D2093" w:rsidRDefault="009D2093" w:rsidP="009D2093">
      <w:pPr>
        <w:pStyle w:val="Title"/>
        <w:ind w:firstLine="0"/>
      </w:pPr>
    </w:p>
    <w:p w14:paraId="05F6B98C" w14:textId="77777777" w:rsidR="009D2093" w:rsidRDefault="009D2093" w:rsidP="009D2093">
      <w:pPr>
        <w:pStyle w:val="Title"/>
        <w:ind w:firstLine="0"/>
      </w:pPr>
    </w:p>
    <w:p w14:paraId="52FD45D6" w14:textId="77777777" w:rsidR="009D2093" w:rsidRDefault="009D2093" w:rsidP="009D2093">
      <w:pPr>
        <w:pStyle w:val="Title"/>
        <w:ind w:firstLine="0"/>
      </w:pPr>
    </w:p>
    <w:p w14:paraId="44C995CF" w14:textId="77777777" w:rsidR="009D2093" w:rsidRDefault="009D2093" w:rsidP="009D2093">
      <w:pPr>
        <w:pStyle w:val="Title"/>
        <w:ind w:firstLine="0"/>
      </w:pPr>
    </w:p>
    <w:p w14:paraId="7F33DC39" w14:textId="77777777" w:rsidR="009D2093" w:rsidRDefault="009D2093" w:rsidP="009D2093">
      <w:pPr>
        <w:pStyle w:val="Title"/>
        <w:ind w:firstLine="0"/>
      </w:pPr>
    </w:p>
    <w:p w14:paraId="6EA31CD8" w14:textId="77777777" w:rsidR="009D2093" w:rsidRDefault="009D2093" w:rsidP="009D2093">
      <w:pPr>
        <w:pStyle w:val="Title"/>
        <w:ind w:firstLine="0"/>
      </w:pPr>
    </w:p>
    <w:p w14:paraId="626CF003" w14:textId="77777777" w:rsidR="009D2093" w:rsidRDefault="009D2093" w:rsidP="009D2093">
      <w:pPr>
        <w:pStyle w:val="Title"/>
        <w:ind w:firstLine="0"/>
      </w:pPr>
    </w:p>
    <w:p w14:paraId="2DD775B2" w14:textId="77777777" w:rsidR="009D2093" w:rsidRDefault="009D2093" w:rsidP="009D2093">
      <w:pPr>
        <w:pStyle w:val="Title"/>
        <w:ind w:firstLine="0"/>
      </w:pPr>
    </w:p>
    <w:p w14:paraId="3067777C" w14:textId="77777777" w:rsidR="009D2093" w:rsidRDefault="009D2093" w:rsidP="009D2093">
      <w:pPr>
        <w:pStyle w:val="Title"/>
        <w:ind w:firstLine="0"/>
      </w:pPr>
    </w:p>
    <w:p w14:paraId="344C5B71" w14:textId="77777777" w:rsidR="00C4268E" w:rsidRDefault="00C4268E" w:rsidP="009D2093">
      <w:pPr>
        <w:pStyle w:val="Title"/>
        <w:ind w:firstLine="0"/>
      </w:pPr>
    </w:p>
    <w:p w14:paraId="0CBAFE5A" w14:textId="074F18DA" w:rsidR="009D2093" w:rsidRPr="009D2093" w:rsidRDefault="009D2093" w:rsidP="00C4268E">
      <w:pPr>
        <w:pStyle w:val="Title"/>
      </w:pPr>
      <w:r w:rsidRPr="009D2093">
        <w:t>Version History</w:t>
      </w:r>
    </w:p>
    <w:tbl>
      <w:tblPr>
        <w:tblW w:w="93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15"/>
        <w:gridCol w:w="4334"/>
        <w:gridCol w:w="3295"/>
      </w:tblGrid>
      <w:tr w:rsidR="009D2093" w:rsidRPr="00C4268E" w14:paraId="788082A0" w14:textId="77777777" w:rsidTr="00B836CC">
        <w:trPr>
          <w:trHeight w:val="300"/>
        </w:trPr>
        <w:tc>
          <w:tcPr>
            <w:tcW w:w="1715" w:type="dxa"/>
            <w:shd w:val="clear" w:color="auto" w:fill="C00000"/>
            <w:hideMark/>
          </w:tcPr>
          <w:p w14:paraId="2D931AF7" w14:textId="1355C6EB" w:rsidR="009D2093" w:rsidRPr="00B836CC" w:rsidRDefault="009D2093" w:rsidP="009D2093">
            <w:pPr>
              <w:spacing w:after="0"/>
              <w:ind w:firstLine="0"/>
              <w:jc w:val="center"/>
              <w:textAlignment w:val="baseline"/>
              <w:rPr>
                <w:rFonts w:eastAsia="Times New Roman" w:cs="Times New Roman"/>
                <w:b/>
                <w:bCs/>
                <w:color w:val="FFFFFF" w:themeColor="background1"/>
                <w:sz w:val="18"/>
                <w:szCs w:val="18"/>
              </w:rPr>
            </w:pPr>
            <w:r w:rsidRPr="00B836CC">
              <w:rPr>
                <w:rFonts w:eastAsia="Times New Roman" w:cs="Times New Roman"/>
                <w:b/>
                <w:bCs/>
                <w:color w:val="FFFFFF" w:themeColor="background1"/>
                <w:sz w:val="20"/>
                <w:szCs w:val="20"/>
                <w:lang w:val="en-GB"/>
              </w:rPr>
              <w:t>Version</w:t>
            </w:r>
          </w:p>
        </w:tc>
        <w:tc>
          <w:tcPr>
            <w:tcW w:w="4334" w:type="dxa"/>
            <w:shd w:val="clear" w:color="auto" w:fill="C00000"/>
            <w:hideMark/>
          </w:tcPr>
          <w:p w14:paraId="7F7E4CCB" w14:textId="3A85D04D" w:rsidR="009D2093" w:rsidRPr="00B836CC" w:rsidRDefault="009D2093" w:rsidP="009D2093">
            <w:pPr>
              <w:spacing w:after="0"/>
              <w:ind w:firstLine="0"/>
              <w:jc w:val="center"/>
              <w:textAlignment w:val="baseline"/>
              <w:rPr>
                <w:rFonts w:eastAsia="Times New Roman" w:cs="Times New Roman"/>
                <w:b/>
                <w:bCs/>
                <w:color w:val="FFFFFF" w:themeColor="background1"/>
                <w:sz w:val="18"/>
                <w:szCs w:val="18"/>
              </w:rPr>
            </w:pPr>
            <w:r w:rsidRPr="00B836CC">
              <w:rPr>
                <w:rFonts w:eastAsia="Times New Roman" w:cs="Times New Roman"/>
                <w:b/>
                <w:bCs/>
                <w:color w:val="FFFFFF" w:themeColor="background1"/>
                <w:sz w:val="18"/>
                <w:szCs w:val="18"/>
              </w:rPr>
              <w:t>Date</w:t>
            </w:r>
          </w:p>
        </w:tc>
        <w:tc>
          <w:tcPr>
            <w:tcW w:w="3295" w:type="dxa"/>
            <w:shd w:val="clear" w:color="auto" w:fill="C00000"/>
            <w:hideMark/>
          </w:tcPr>
          <w:p w14:paraId="2B550A7F" w14:textId="0B311F5D" w:rsidR="009D2093" w:rsidRPr="00B836CC" w:rsidRDefault="009D2093" w:rsidP="009D2093">
            <w:pPr>
              <w:spacing w:after="0"/>
              <w:ind w:firstLine="0"/>
              <w:jc w:val="center"/>
              <w:textAlignment w:val="baseline"/>
              <w:rPr>
                <w:rFonts w:eastAsia="Times New Roman" w:cs="Times New Roman"/>
                <w:b/>
                <w:bCs/>
                <w:color w:val="FFFFFF" w:themeColor="background1"/>
                <w:sz w:val="18"/>
                <w:szCs w:val="18"/>
              </w:rPr>
            </w:pPr>
            <w:r w:rsidRPr="00B836CC">
              <w:rPr>
                <w:rFonts w:eastAsia="Times New Roman" w:cs="Times New Roman"/>
                <w:b/>
                <w:bCs/>
                <w:color w:val="FFFFFF" w:themeColor="background1"/>
                <w:sz w:val="20"/>
                <w:szCs w:val="20"/>
                <w:lang w:val="en-GB"/>
              </w:rPr>
              <w:t>Modification made by</w:t>
            </w:r>
          </w:p>
        </w:tc>
      </w:tr>
      <w:tr w:rsidR="009D2093" w:rsidRPr="00C4268E" w14:paraId="2B4D5F1B" w14:textId="77777777" w:rsidTr="009D2093">
        <w:trPr>
          <w:trHeight w:val="300"/>
        </w:trPr>
        <w:tc>
          <w:tcPr>
            <w:tcW w:w="1715" w:type="dxa"/>
            <w:shd w:val="clear" w:color="auto" w:fill="auto"/>
            <w:hideMark/>
          </w:tcPr>
          <w:p w14:paraId="752021D1" w14:textId="77777777" w:rsidR="009D2093" w:rsidRPr="00C4268E" w:rsidRDefault="009D2093" w:rsidP="009D2093">
            <w:pPr>
              <w:spacing w:after="0"/>
              <w:ind w:firstLine="0"/>
              <w:jc w:val="center"/>
              <w:textAlignment w:val="baseline"/>
              <w:rPr>
                <w:rFonts w:eastAsia="Times New Roman" w:cs="Times New Roman"/>
                <w:sz w:val="18"/>
                <w:szCs w:val="18"/>
              </w:rPr>
            </w:pPr>
            <w:r w:rsidRPr="00C4268E">
              <w:rPr>
                <w:rFonts w:eastAsia="Times New Roman" w:cs="Times New Roman"/>
                <w:sz w:val="20"/>
                <w:szCs w:val="20"/>
                <w:lang w:val="en-GB"/>
              </w:rPr>
              <w:t>0.1</w:t>
            </w:r>
            <w:r w:rsidRPr="00C4268E">
              <w:rPr>
                <w:rFonts w:eastAsia="Times New Roman" w:cs="Times New Roman"/>
                <w:sz w:val="20"/>
                <w:szCs w:val="20"/>
              </w:rPr>
              <w:t> </w:t>
            </w:r>
          </w:p>
        </w:tc>
        <w:tc>
          <w:tcPr>
            <w:tcW w:w="4334" w:type="dxa"/>
            <w:shd w:val="clear" w:color="auto" w:fill="auto"/>
            <w:hideMark/>
          </w:tcPr>
          <w:p w14:paraId="6CBE4C21" w14:textId="5F6DE001" w:rsidR="009D2093" w:rsidRPr="00C4268E" w:rsidRDefault="009D2093" w:rsidP="009D2093">
            <w:pPr>
              <w:spacing w:after="0"/>
              <w:ind w:firstLine="0"/>
              <w:jc w:val="center"/>
              <w:textAlignment w:val="baseline"/>
              <w:rPr>
                <w:rFonts w:eastAsia="Times New Roman" w:cs="Times New Roman"/>
                <w:sz w:val="18"/>
                <w:szCs w:val="18"/>
              </w:rPr>
            </w:pPr>
            <w:r w:rsidRPr="00C4268E">
              <w:rPr>
                <w:rFonts w:eastAsia="Times New Roman" w:cs="Times New Roman"/>
                <w:sz w:val="20"/>
                <w:szCs w:val="20"/>
                <w:lang w:val="en-GB"/>
              </w:rPr>
              <w:t>11/2/2025</w:t>
            </w:r>
            <w:r w:rsidRPr="00C4268E">
              <w:rPr>
                <w:rFonts w:eastAsia="Times New Roman" w:cs="Times New Roman"/>
                <w:sz w:val="20"/>
                <w:szCs w:val="20"/>
              </w:rPr>
              <w:t> </w:t>
            </w:r>
          </w:p>
        </w:tc>
        <w:tc>
          <w:tcPr>
            <w:tcW w:w="3295" w:type="dxa"/>
            <w:shd w:val="clear" w:color="auto" w:fill="auto"/>
            <w:hideMark/>
          </w:tcPr>
          <w:p w14:paraId="5B7B7BE8" w14:textId="77777777" w:rsidR="009D2093" w:rsidRPr="00C4268E" w:rsidRDefault="009D2093" w:rsidP="009D2093">
            <w:pPr>
              <w:spacing w:after="0"/>
              <w:ind w:firstLine="0"/>
              <w:jc w:val="center"/>
              <w:textAlignment w:val="baseline"/>
              <w:rPr>
                <w:rFonts w:eastAsia="Times New Roman" w:cs="Times New Roman"/>
                <w:sz w:val="18"/>
                <w:szCs w:val="18"/>
              </w:rPr>
            </w:pPr>
            <w:r w:rsidRPr="00C4268E">
              <w:rPr>
                <w:rFonts w:eastAsia="Times New Roman" w:cs="Times New Roman"/>
                <w:sz w:val="20"/>
                <w:szCs w:val="20"/>
                <w:lang w:val="en-GB"/>
              </w:rPr>
              <w:t>Theodoros Tsiftsis (UTH)</w:t>
            </w:r>
            <w:r w:rsidRPr="00C4268E">
              <w:rPr>
                <w:rFonts w:eastAsia="Times New Roman" w:cs="Times New Roman"/>
                <w:sz w:val="20"/>
                <w:szCs w:val="20"/>
              </w:rPr>
              <w:t> </w:t>
            </w:r>
          </w:p>
        </w:tc>
      </w:tr>
      <w:tr w:rsidR="009D2093" w:rsidRPr="00C4268E" w14:paraId="66A1A690" w14:textId="77777777" w:rsidTr="009D2093">
        <w:trPr>
          <w:trHeight w:val="300"/>
        </w:trPr>
        <w:tc>
          <w:tcPr>
            <w:tcW w:w="1715" w:type="dxa"/>
            <w:shd w:val="clear" w:color="auto" w:fill="auto"/>
          </w:tcPr>
          <w:p w14:paraId="524650E5" w14:textId="2415FE7D" w:rsidR="009D2093" w:rsidRPr="00D750F6" w:rsidRDefault="00D9776C" w:rsidP="009D2093">
            <w:pPr>
              <w:spacing w:after="0"/>
              <w:ind w:firstLine="0"/>
              <w:jc w:val="center"/>
              <w:textAlignment w:val="baseline"/>
              <w:rPr>
                <w:rFonts w:eastAsia="Times New Roman" w:cs="Times New Roman"/>
                <w:sz w:val="18"/>
                <w:szCs w:val="18"/>
                <w:lang w:val="el-GR"/>
              </w:rPr>
            </w:pPr>
            <w:r>
              <w:rPr>
                <w:rFonts w:eastAsia="Times New Roman" w:cs="Times New Roman"/>
                <w:sz w:val="18"/>
                <w:szCs w:val="18"/>
                <w:lang w:val="el-GR"/>
              </w:rPr>
              <w:t>0.2</w:t>
            </w:r>
          </w:p>
        </w:tc>
        <w:tc>
          <w:tcPr>
            <w:tcW w:w="4334" w:type="dxa"/>
            <w:shd w:val="clear" w:color="auto" w:fill="auto"/>
          </w:tcPr>
          <w:p w14:paraId="6E9A42F8" w14:textId="4815352F" w:rsidR="009D2093" w:rsidRPr="00D750F6" w:rsidRDefault="00D9776C" w:rsidP="009D2093">
            <w:pPr>
              <w:spacing w:after="0"/>
              <w:ind w:firstLine="0"/>
              <w:jc w:val="center"/>
              <w:textAlignment w:val="baseline"/>
              <w:rPr>
                <w:rFonts w:eastAsia="Times New Roman" w:cs="Times New Roman"/>
                <w:sz w:val="18"/>
                <w:szCs w:val="18"/>
                <w:lang w:val="el-GR"/>
              </w:rPr>
            </w:pPr>
            <w:r>
              <w:rPr>
                <w:rFonts w:eastAsia="Times New Roman" w:cs="Times New Roman"/>
                <w:sz w:val="18"/>
                <w:szCs w:val="18"/>
                <w:lang w:val="el-GR"/>
              </w:rPr>
              <w:t>24/2/2025</w:t>
            </w:r>
          </w:p>
        </w:tc>
        <w:tc>
          <w:tcPr>
            <w:tcW w:w="3295" w:type="dxa"/>
            <w:shd w:val="clear" w:color="auto" w:fill="auto"/>
          </w:tcPr>
          <w:p w14:paraId="2F0825DF" w14:textId="098F3A13" w:rsidR="009D2093" w:rsidRPr="00D9776C" w:rsidRDefault="00D9776C" w:rsidP="009D2093">
            <w:pPr>
              <w:spacing w:after="0"/>
              <w:ind w:firstLine="0"/>
              <w:jc w:val="center"/>
              <w:textAlignment w:val="baseline"/>
              <w:rPr>
                <w:rFonts w:eastAsia="Times New Roman" w:cs="Times New Roman"/>
                <w:sz w:val="18"/>
                <w:szCs w:val="18"/>
              </w:rPr>
            </w:pPr>
            <w:r>
              <w:rPr>
                <w:rFonts w:eastAsia="Times New Roman" w:cs="Times New Roman"/>
                <w:sz w:val="18"/>
                <w:szCs w:val="18"/>
              </w:rPr>
              <w:t xml:space="preserve">Tommi </w:t>
            </w:r>
            <w:proofErr w:type="spellStart"/>
            <w:r>
              <w:rPr>
                <w:rFonts w:eastAsia="Times New Roman" w:cs="Times New Roman"/>
                <w:sz w:val="18"/>
                <w:szCs w:val="18"/>
              </w:rPr>
              <w:t>Jamsa</w:t>
            </w:r>
            <w:proofErr w:type="spellEnd"/>
            <w:r>
              <w:rPr>
                <w:rFonts w:eastAsia="Times New Roman" w:cs="Times New Roman"/>
                <w:sz w:val="18"/>
                <w:szCs w:val="18"/>
              </w:rPr>
              <w:t xml:space="preserve"> (Huawei)</w:t>
            </w:r>
          </w:p>
        </w:tc>
      </w:tr>
      <w:tr w:rsidR="009D2093" w:rsidRPr="009D2093" w14:paraId="4A98DC66" w14:textId="77777777" w:rsidTr="009D2093">
        <w:trPr>
          <w:trHeight w:val="300"/>
        </w:trPr>
        <w:tc>
          <w:tcPr>
            <w:tcW w:w="1715" w:type="dxa"/>
            <w:shd w:val="clear" w:color="auto" w:fill="auto"/>
          </w:tcPr>
          <w:p w14:paraId="627FD83F" w14:textId="032A830D" w:rsidR="009D2093" w:rsidRPr="009D2093" w:rsidRDefault="009D2093" w:rsidP="009D2093">
            <w:pPr>
              <w:spacing w:after="0"/>
              <w:ind w:firstLine="0"/>
              <w:jc w:val="center"/>
              <w:textAlignment w:val="baseline"/>
              <w:rPr>
                <w:rFonts w:asciiTheme="minorHAnsi" w:eastAsia="Times New Roman" w:hAnsiTheme="minorHAnsi" w:cs="Segoe UI"/>
                <w:sz w:val="18"/>
                <w:szCs w:val="18"/>
              </w:rPr>
            </w:pPr>
          </w:p>
        </w:tc>
        <w:tc>
          <w:tcPr>
            <w:tcW w:w="4334" w:type="dxa"/>
            <w:shd w:val="clear" w:color="auto" w:fill="auto"/>
          </w:tcPr>
          <w:p w14:paraId="5D97E557" w14:textId="2C1A2C84" w:rsidR="009D2093" w:rsidRPr="009D2093" w:rsidRDefault="009D2093" w:rsidP="009D2093">
            <w:pPr>
              <w:spacing w:after="0"/>
              <w:ind w:firstLine="0"/>
              <w:jc w:val="center"/>
              <w:textAlignment w:val="baseline"/>
              <w:rPr>
                <w:rFonts w:asciiTheme="minorHAnsi" w:eastAsia="Times New Roman" w:hAnsiTheme="minorHAnsi" w:cs="Segoe UI"/>
                <w:sz w:val="18"/>
                <w:szCs w:val="18"/>
              </w:rPr>
            </w:pPr>
          </w:p>
        </w:tc>
        <w:tc>
          <w:tcPr>
            <w:tcW w:w="3295" w:type="dxa"/>
            <w:shd w:val="clear" w:color="auto" w:fill="auto"/>
          </w:tcPr>
          <w:p w14:paraId="27462F7F" w14:textId="028B110F" w:rsidR="009D2093" w:rsidRPr="009D2093" w:rsidRDefault="009D2093" w:rsidP="009D2093">
            <w:pPr>
              <w:spacing w:after="0"/>
              <w:ind w:firstLine="0"/>
              <w:jc w:val="center"/>
              <w:textAlignment w:val="baseline"/>
              <w:rPr>
                <w:rFonts w:asciiTheme="minorHAnsi" w:eastAsia="Times New Roman" w:hAnsiTheme="minorHAnsi" w:cs="Segoe UI"/>
                <w:sz w:val="18"/>
                <w:szCs w:val="18"/>
              </w:rPr>
            </w:pPr>
          </w:p>
        </w:tc>
      </w:tr>
    </w:tbl>
    <w:p w14:paraId="4C9DBFCB" w14:textId="77777777" w:rsidR="009D2093" w:rsidRDefault="009D2093" w:rsidP="009D2093">
      <w:pPr>
        <w:pStyle w:val="Title"/>
        <w:ind w:firstLine="0"/>
      </w:pPr>
    </w:p>
    <w:p w14:paraId="04229DBD" w14:textId="77777777" w:rsidR="009D2093" w:rsidRDefault="009D2093" w:rsidP="009D2093">
      <w:pPr>
        <w:pStyle w:val="Title"/>
        <w:ind w:firstLine="0"/>
      </w:pPr>
    </w:p>
    <w:p w14:paraId="7F978786" w14:textId="77777777" w:rsidR="009D2093" w:rsidRDefault="009D2093" w:rsidP="009D2093">
      <w:pPr>
        <w:pStyle w:val="Title"/>
        <w:ind w:firstLine="0"/>
      </w:pPr>
    </w:p>
    <w:p w14:paraId="6123CC97" w14:textId="77777777" w:rsidR="009D2093" w:rsidRDefault="009D2093" w:rsidP="009D2093">
      <w:pPr>
        <w:pStyle w:val="Title"/>
        <w:ind w:firstLine="0"/>
        <w:sectPr w:rsidR="009D2093" w:rsidSect="00855982">
          <w:headerReference w:type="default" r:id="rId11"/>
          <w:footerReference w:type="default" r:id="rId12"/>
          <w:headerReference w:type="first" r:id="rId13"/>
          <w:pgSz w:w="12240" w:h="15840"/>
          <w:pgMar w:top="1440" w:right="1440" w:bottom="1440" w:left="1440" w:header="720" w:footer="720" w:gutter="0"/>
          <w:cols w:space="720"/>
          <w:titlePg/>
          <w:docGrid w:linePitch="299"/>
        </w:sectPr>
      </w:pPr>
    </w:p>
    <w:sdt>
      <w:sdtPr>
        <w:rPr>
          <w:rFonts w:eastAsiaTheme="minorEastAsia" w:cstheme="minorBidi"/>
          <w:b w:val="0"/>
          <w:bCs w:val="0"/>
          <w:smallCaps w:val="0"/>
          <w:sz w:val="22"/>
          <w:szCs w:val="22"/>
        </w:rPr>
        <w:id w:val="711693985"/>
        <w:docPartObj>
          <w:docPartGallery w:val="Table of Contents"/>
          <w:docPartUnique/>
        </w:docPartObj>
      </w:sdtPr>
      <w:sdtEndPr>
        <w:rPr>
          <w:noProof/>
        </w:rPr>
      </w:sdtEndPr>
      <w:sdtContent>
        <w:p w14:paraId="76A1EB63" w14:textId="00FD6C70" w:rsidR="00372000" w:rsidRDefault="00372000" w:rsidP="00A315BF">
          <w:pPr>
            <w:pStyle w:val="TOCHeading"/>
            <w:numPr>
              <w:ilvl w:val="0"/>
              <w:numId w:val="0"/>
            </w:numPr>
            <w:ind w:left="720"/>
          </w:pPr>
          <w:r>
            <w:t>Table of Contents</w:t>
          </w:r>
        </w:p>
        <w:p w14:paraId="58A00EB6" w14:textId="03FED68A" w:rsidR="00D750F6" w:rsidRDefault="00372000">
          <w:pPr>
            <w:pStyle w:val="TOC1"/>
            <w:tabs>
              <w:tab w:val="left" w:pos="880"/>
              <w:tab w:val="right" w:leader="dot" w:pos="9350"/>
            </w:tabs>
            <w:rPr>
              <w:rFonts w:asciiTheme="minorHAnsi" w:hAnsiTheme="minorHAns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1368482" w:history="1">
            <w:r w:rsidR="00D750F6" w:rsidRPr="006D7CFB">
              <w:rPr>
                <w:rStyle w:val="Hyperlink"/>
                <w:noProof/>
                <w:lang w:val="en-GB"/>
              </w:rPr>
              <w:t>1.</w:t>
            </w:r>
            <w:r w:rsidR="00D750F6">
              <w:rPr>
                <w:rFonts w:asciiTheme="minorHAnsi" w:hAnsiTheme="minorHAnsi"/>
                <w:b w:val="0"/>
                <w:bCs w:val="0"/>
                <w:i w:val="0"/>
                <w:iCs w:val="0"/>
                <w:noProof/>
                <w:kern w:val="2"/>
                <w14:ligatures w14:val="standardContextual"/>
              </w:rPr>
              <w:tab/>
            </w:r>
            <w:r w:rsidR="00D750F6" w:rsidRPr="006D7CFB">
              <w:rPr>
                <w:rStyle w:val="Hyperlink"/>
                <w:noProof/>
                <w:lang w:val="en-GB"/>
              </w:rPr>
              <w:t>Definitions, symbols and abbreviations</w:t>
            </w:r>
            <w:r w:rsidR="00D750F6">
              <w:rPr>
                <w:noProof/>
                <w:webHidden/>
              </w:rPr>
              <w:tab/>
            </w:r>
            <w:r w:rsidR="00D750F6">
              <w:rPr>
                <w:noProof/>
                <w:webHidden/>
              </w:rPr>
              <w:fldChar w:fldCharType="begin"/>
            </w:r>
            <w:r w:rsidR="00D750F6">
              <w:rPr>
                <w:noProof/>
                <w:webHidden/>
              </w:rPr>
              <w:instrText xml:space="preserve"> PAGEREF _Toc191368482 \h </w:instrText>
            </w:r>
            <w:r w:rsidR="00D750F6">
              <w:rPr>
                <w:noProof/>
                <w:webHidden/>
              </w:rPr>
            </w:r>
            <w:r w:rsidR="00D750F6">
              <w:rPr>
                <w:noProof/>
                <w:webHidden/>
              </w:rPr>
              <w:fldChar w:fldCharType="separate"/>
            </w:r>
            <w:r w:rsidR="00D750F6">
              <w:rPr>
                <w:noProof/>
                <w:webHidden/>
              </w:rPr>
              <w:t>4</w:t>
            </w:r>
            <w:r w:rsidR="00D750F6">
              <w:rPr>
                <w:noProof/>
                <w:webHidden/>
              </w:rPr>
              <w:fldChar w:fldCharType="end"/>
            </w:r>
          </w:hyperlink>
        </w:p>
        <w:p w14:paraId="0F61416C" w14:textId="0B043D86"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83" w:history="1">
            <w:r w:rsidRPr="006D7CFB">
              <w:rPr>
                <w:rStyle w:val="Hyperlink"/>
                <w:noProof/>
                <w:lang w:val="en-GB"/>
              </w:rPr>
              <w:t>1.1.</w:t>
            </w:r>
            <w:r>
              <w:rPr>
                <w:rFonts w:asciiTheme="minorHAnsi" w:hAnsiTheme="minorHAnsi"/>
                <w:b w:val="0"/>
                <w:bCs w:val="0"/>
                <w:noProof/>
                <w:kern w:val="2"/>
                <w:sz w:val="24"/>
                <w:szCs w:val="24"/>
                <w14:ligatures w14:val="standardContextual"/>
              </w:rPr>
              <w:tab/>
            </w:r>
            <w:r w:rsidRPr="006D7CFB">
              <w:rPr>
                <w:rStyle w:val="Hyperlink"/>
                <w:noProof/>
                <w:lang w:val="en-GB"/>
              </w:rPr>
              <w:t>Definitions</w:t>
            </w:r>
            <w:r>
              <w:rPr>
                <w:noProof/>
                <w:webHidden/>
              </w:rPr>
              <w:tab/>
            </w:r>
            <w:r>
              <w:rPr>
                <w:noProof/>
                <w:webHidden/>
              </w:rPr>
              <w:fldChar w:fldCharType="begin"/>
            </w:r>
            <w:r>
              <w:rPr>
                <w:noProof/>
                <w:webHidden/>
              </w:rPr>
              <w:instrText xml:space="preserve"> PAGEREF _Toc191368483 \h </w:instrText>
            </w:r>
            <w:r>
              <w:rPr>
                <w:noProof/>
                <w:webHidden/>
              </w:rPr>
            </w:r>
            <w:r>
              <w:rPr>
                <w:noProof/>
                <w:webHidden/>
              </w:rPr>
              <w:fldChar w:fldCharType="separate"/>
            </w:r>
            <w:r>
              <w:rPr>
                <w:noProof/>
                <w:webHidden/>
              </w:rPr>
              <w:t>4</w:t>
            </w:r>
            <w:r>
              <w:rPr>
                <w:noProof/>
                <w:webHidden/>
              </w:rPr>
              <w:fldChar w:fldCharType="end"/>
            </w:r>
          </w:hyperlink>
        </w:p>
        <w:p w14:paraId="211795E4" w14:textId="20410805"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84" w:history="1">
            <w:r w:rsidRPr="006D7CFB">
              <w:rPr>
                <w:rStyle w:val="Hyperlink"/>
                <w:noProof/>
                <w:lang w:val="en-GB"/>
              </w:rPr>
              <w:t>1.2.</w:t>
            </w:r>
            <w:r>
              <w:rPr>
                <w:rFonts w:asciiTheme="minorHAnsi" w:hAnsiTheme="minorHAnsi"/>
                <w:b w:val="0"/>
                <w:bCs w:val="0"/>
                <w:noProof/>
                <w:kern w:val="2"/>
                <w:sz w:val="24"/>
                <w:szCs w:val="24"/>
                <w14:ligatures w14:val="standardContextual"/>
              </w:rPr>
              <w:tab/>
            </w:r>
            <w:r w:rsidRPr="006D7CFB">
              <w:rPr>
                <w:rStyle w:val="Hyperlink"/>
                <w:noProof/>
                <w:lang w:val="en-GB"/>
              </w:rPr>
              <w:t>Symbols</w:t>
            </w:r>
            <w:r>
              <w:rPr>
                <w:noProof/>
                <w:webHidden/>
              </w:rPr>
              <w:tab/>
            </w:r>
            <w:r>
              <w:rPr>
                <w:noProof/>
                <w:webHidden/>
              </w:rPr>
              <w:fldChar w:fldCharType="begin"/>
            </w:r>
            <w:r>
              <w:rPr>
                <w:noProof/>
                <w:webHidden/>
              </w:rPr>
              <w:instrText xml:space="preserve"> PAGEREF _Toc191368484 \h </w:instrText>
            </w:r>
            <w:r>
              <w:rPr>
                <w:noProof/>
                <w:webHidden/>
              </w:rPr>
            </w:r>
            <w:r>
              <w:rPr>
                <w:noProof/>
                <w:webHidden/>
              </w:rPr>
              <w:fldChar w:fldCharType="separate"/>
            </w:r>
            <w:r>
              <w:rPr>
                <w:noProof/>
                <w:webHidden/>
              </w:rPr>
              <w:t>4</w:t>
            </w:r>
            <w:r>
              <w:rPr>
                <w:noProof/>
                <w:webHidden/>
              </w:rPr>
              <w:fldChar w:fldCharType="end"/>
            </w:r>
          </w:hyperlink>
        </w:p>
        <w:p w14:paraId="20DE1483" w14:textId="18018267"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85" w:history="1">
            <w:r w:rsidRPr="006D7CFB">
              <w:rPr>
                <w:rStyle w:val="Hyperlink"/>
                <w:noProof/>
                <w:lang w:val="en-GB"/>
              </w:rPr>
              <w:t>1.3.</w:t>
            </w:r>
            <w:r>
              <w:rPr>
                <w:rFonts w:asciiTheme="minorHAnsi" w:hAnsiTheme="minorHAnsi"/>
                <w:b w:val="0"/>
                <w:bCs w:val="0"/>
                <w:noProof/>
                <w:kern w:val="2"/>
                <w:sz w:val="24"/>
                <w:szCs w:val="24"/>
                <w14:ligatures w14:val="standardContextual"/>
              </w:rPr>
              <w:tab/>
            </w:r>
            <w:r w:rsidRPr="006D7CFB">
              <w:rPr>
                <w:rStyle w:val="Hyperlink"/>
                <w:noProof/>
                <w:lang w:val="en-GB"/>
              </w:rPr>
              <w:t>Abbreviations</w:t>
            </w:r>
            <w:r>
              <w:rPr>
                <w:noProof/>
                <w:webHidden/>
              </w:rPr>
              <w:tab/>
            </w:r>
            <w:r>
              <w:rPr>
                <w:noProof/>
                <w:webHidden/>
              </w:rPr>
              <w:fldChar w:fldCharType="begin"/>
            </w:r>
            <w:r>
              <w:rPr>
                <w:noProof/>
                <w:webHidden/>
              </w:rPr>
              <w:instrText xml:space="preserve"> PAGEREF _Toc191368485 \h </w:instrText>
            </w:r>
            <w:r>
              <w:rPr>
                <w:noProof/>
                <w:webHidden/>
              </w:rPr>
            </w:r>
            <w:r>
              <w:rPr>
                <w:noProof/>
                <w:webHidden/>
              </w:rPr>
              <w:fldChar w:fldCharType="separate"/>
            </w:r>
            <w:r>
              <w:rPr>
                <w:noProof/>
                <w:webHidden/>
              </w:rPr>
              <w:t>4</w:t>
            </w:r>
            <w:r>
              <w:rPr>
                <w:noProof/>
                <w:webHidden/>
              </w:rPr>
              <w:fldChar w:fldCharType="end"/>
            </w:r>
          </w:hyperlink>
        </w:p>
        <w:p w14:paraId="02C5A06A" w14:textId="261CA3C2"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86" w:history="1">
            <w:r w:rsidRPr="006D7CFB">
              <w:rPr>
                <w:rStyle w:val="Hyperlink"/>
                <w:noProof/>
              </w:rPr>
              <w:t>1.</w:t>
            </w:r>
            <w:r>
              <w:rPr>
                <w:rFonts w:asciiTheme="minorHAnsi" w:hAnsiTheme="minorHAnsi"/>
                <w:b w:val="0"/>
                <w:bCs w:val="0"/>
                <w:i w:val="0"/>
                <w:iCs w:val="0"/>
                <w:noProof/>
                <w:kern w:val="2"/>
                <w14:ligatures w14:val="standardContextual"/>
              </w:rPr>
              <w:tab/>
            </w:r>
            <w:r w:rsidRPr="006D7CFB">
              <w:rPr>
                <w:rStyle w:val="Hyperlink"/>
                <w:noProof/>
              </w:rPr>
              <w:t>Introduction &amp; Scope of the Study</w:t>
            </w:r>
            <w:r>
              <w:rPr>
                <w:noProof/>
                <w:webHidden/>
              </w:rPr>
              <w:tab/>
            </w:r>
            <w:r>
              <w:rPr>
                <w:noProof/>
                <w:webHidden/>
              </w:rPr>
              <w:fldChar w:fldCharType="begin"/>
            </w:r>
            <w:r>
              <w:rPr>
                <w:noProof/>
                <w:webHidden/>
              </w:rPr>
              <w:instrText xml:space="preserve"> PAGEREF _Toc191368486 \h </w:instrText>
            </w:r>
            <w:r>
              <w:rPr>
                <w:noProof/>
                <w:webHidden/>
              </w:rPr>
            </w:r>
            <w:r>
              <w:rPr>
                <w:noProof/>
                <w:webHidden/>
              </w:rPr>
              <w:fldChar w:fldCharType="separate"/>
            </w:r>
            <w:r>
              <w:rPr>
                <w:noProof/>
                <w:webHidden/>
              </w:rPr>
              <w:t>5</w:t>
            </w:r>
            <w:r>
              <w:rPr>
                <w:noProof/>
                <w:webHidden/>
              </w:rPr>
              <w:fldChar w:fldCharType="end"/>
            </w:r>
          </w:hyperlink>
        </w:p>
        <w:p w14:paraId="72A7A62C" w14:textId="6BFE9DCF"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87" w:history="1">
            <w:r w:rsidRPr="006D7CFB">
              <w:rPr>
                <w:rStyle w:val="Hyperlink"/>
                <w:noProof/>
              </w:rPr>
              <w:t>2.</w:t>
            </w:r>
            <w:r>
              <w:rPr>
                <w:rFonts w:asciiTheme="minorHAnsi" w:hAnsiTheme="minorHAnsi"/>
                <w:b w:val="0"/>
                <w:bCs w:val="0"/>
                <w:i w:val="0"/>
                <w:iCs w:val="0"/>
                <w:noProof/>
                <w:kern w:val="2"/>
                <w14:ligatures w14:val="standardContextual"/>
              </w:rPr>
              <w:tab/>
            </w:r>
            <w:r w:rsidRPr="006D7CFB">
              <w:rPr>
                <w:rStyle w:val="Hyperlink"/>
                <w:noProof/>
              </w:rPr>
              <w:t>Regulatory Framework for Unlicensed mmWave Bands in EU</w:t>
            </w:r>
            <w:r>
              <w:rPr>
                <w:noProof/>
                <w:webHidden/>
              </w:rPr>
              <w:tab/>
            </w:r>
            <w:r>
              <w:rPr>
                <w:noProof/>
                <w:webHidden/>
              </w:rPr>
              <w:fldChar w:fldCharType="begin"/>
            </w:r>
            <w:r>
              <w:rPr>
                <w:noProof/>
                <w:webHidden/>
              </w:rPr>
              <w:instrText xml:space="preserve"> PAGEREF _Toc191368487 \h </w:instrText>
            </w:r>
            <w:r>
              <w:rPr>
                <w:noProof/>
                <w:webHidden/>
              </w:rPr>
            </w:r>
            <w:r>
              <w:rPr>
                <w:noProof/>
                <w:webHidden/>
              </w:rPr>
              <w:fldChar w:fldCharType="separate"/>
            </w:r>
            <w:r>
              <w:rPr>
                <w:noProof/>
                <w:webHidden/>
              </w:rPr>
              <w:t>5</w:t>
            </w:r>
            <w:r>
              <w:rPr>
                <w:noProof/>
                <w:webHidden/>
              </w:rPr>
              <w:fldChar w:fldCharType="end"/>
            </w:r>
          </w:hyperlink>
        </w:p>
        <w:p w14:paraId="249ED183" w14:textId="28454069"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88" w:history="1">
            <w:r w:rsidRPr="006D7CFB">
              <w:rPr>
                <w:rStyle w:val="Hyperlink"/>
                <w:noProof/>
              </w:rPr>
              <w:t>3.</w:t>
            </w:r>
            <w:r>
              <w:rPr>
                <w:rFonts w:asciiTheme="minorHAnsi" w:hAnsiTheme="minorHAnsi"/>
                <w:b w:val="0"/>
                <w:bCs w:val="0"/>
                <w:i w:val="0"/>
                <w:iCs w:val="0"/>
                <w:noProof/>
                <w:kern w:val="2"/>
                <w14:ligatures w14:val="standardContextual"/>
              </w:rPr>
              <w:tab/>
            </w:r>
            <w:r w:rsidRPr="006D7CFB">
              <w:rPr>
                <w:rStyle w:val="Hyperlink"/>
                <w:noProof/>
              </w:rPr>
              <w:t>Unlicensed mmWave Guidelines Throughout EU</w:t>
            </w:r>
            <w:r>
              <w:rPr>
                <w:noProof/>
                <w:webHidden/>
              </w:rPr>
              <w:tab/>
            </w:r>
            <w:r>
              <w:rPr>
                <w:noProof/>
                <w:webHidden/>
              </w:rPr>
              <w:fldChar w:fldCharType="begin"/>
            </w:r>
            <w:r>
              <w:rPr>
                <w:noProof/>
                <w:webHidden/>
              </w:rPr>
              <w:instrText xml:space="preserve"> PAGEREF _Toc191368488 \h </w:instrText>
            </w:r>
            <w:r>
              <w:rPr>
                <w:noProof/>
                <w:webHidden/>
              </w:rPr>
            </w:r>
            <w:r>
              <w:rPr>
                <w:noProof/>
                <w:webHidden/>
              </w:rPr>
              <w:fldChar w:fldCharType="separate"/>
            </w:r>
            <w:r>
              <w:rPr>
                <w:noProof/>
                <w:webHidden/>
              </w:rPr>
              <w:t>6</w:t>
            </w:r>
            <w:r>
              <w:rPr>
                <w:noProof/>
                <w:webHidden/>
              </w:rPr>
              <w:fldChar w:fldCharType="end"/>
            </w:r>
          </w:hyperlink>
        </w:p>
        <w:p w14:paraId="7BD84BCE" w14:textId="1B73CF08"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89" w:history="1">
            <w:r w:rsidRPr="006D7CFB">
              <w:rPr>
                <w:rStyle w:val="Hyperlink"/>
                <w:noProof/>
              </w:rPr>
              <w:t>4.</w:t>
            </w:r>
            <w:r>
              <w:rPr>
                <w:rFonts w:asciiTheme="minorHAnsi" w:hAnsiTheme="minorHAnsi"/>
                <w:b w:val="0"/>
                <w:bCs w:val="0"/>
                <w:i w:val="0"/>
                <w:iCs w:val="0"/>
                <w:noProof/>
                <w:kern w:val="2"/>
                <w14:ligatures w14:val="standardContextual"/>
              </w:rPr>
              <w:tab/>
            </w:r>
            <w:r w:rsidRPr="006D7CFB">
              <w:rPr>
                <w:rStyle w:val="Hyperlink"/>
                <w:noProof/>
              </w:rPr>
              <w:t>UnLicensed mmWave Band @ 60GHz [5]</w:t>
            </w:r>
            <w:r>
              <w:rPr>
                <w:noProof/>
                <w:webHidden/>
              </w:rPr>
              <w:tab/>
            </w:r>
            <w:r>
              <w:rPr>
                <w:noProof/>
                <w:webHidden/>
              </w:rPr>
              <w:fldChar w:fldCharType="begin"/>
            </w:r>
            <w:r>
              <w:rPr>
                <w:noProof/>
                <w:webHidden/>
              </w:rPr>
              <w:instrText xml:space="preserve"> PAGEREF _Toc191368489 \h </w:instrText>
            </w:r>
            <w:r>
              <w:rPr>
                <w:noProof/>
                <w:webHidden/>
              </w:rPr>
            </w:r>
            <w:r>
              <w:rPr>
                <w:noProof/>
                <w:webHidden/>
              </w:rPr>
              <w:fldChar w:fldCharType="separate"/>
            </w:r>
            <w:r>
              <w:rPr>
                <w:noProof/>
                <w:webHidden/>
              </w:rPr>
              <w:t>6</w:t>
            </w:r>
            <w:r>
              <w:rPr>
                <w:noProof/>
                <w:webHidden/>
              </w:rPr>
              <w:fldChar w:fldCharType="end"/>
            </w:r>
          </w:hyperlink>
        </w:p>
        <w:p w14:paraId="33E10709" w14:textId="56D3A05A"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90" w:history="1">
            <w:r w:rsidRPr="006D7CFB">
              <w:rPr>
                <w:rStyle w:val="Hyperlink"/>
                <w:noProof/>
              </w:rPr>
              <w:t>4.1.</w:t>
            </w:r>
            <w:r>
              <w:rPr>
                <w:rFonts w:asciiTheme="minorHAnsi" w:hAnsiTheme="minorHAnsi"/>
                <w:b w:val="0"/>
                <w:bCs w:val="0"/>
                <w:noProof/>
                <w:kern w:val="2"/>
                <w:sz w:val="24"/>
                <w:szCs w:val="24"/>
                <w14:ligatures w14:val="standardContextual"/>
              </w:rPr>
              <w:tab/>
            </w:r>
            <w:r w:rsidRPr="006D7CFB">
              <w:rPr>
                <w:rStyle w:val="Hyperlink"/>
                <w:noProof/>
              </w:rPr>
              <w:t>TECHNICAL PARAMETER RESTRICTIONS</w:t>
            </w:r>
            <w:r>
              <w:rPr>
                <w:noProof/>
                <w:webHidden/>
              </w:rPr>
              <w:tab/>
            </w:r>
            <w:r>
              <w:rPr>
                <w:noProof/>
                <w:webHidden/>
              </w:rPr>
              <w:fldChar w:fldCharType="begin"/>
            </w:r>
            <w:r>
              <w:rPr>
                <w:noProof/>
                <w:webHidden/>
              </w:rPr>
              <w:instrText xml:space="preserve"> PAGEREF _Toc191368490 \h </w:instrText>
            </w:r>
            <w:r>
              <w:rPr>
                <w:noProof/>
                <w:webHidden/>
              </w:rPr>
            </w:r>
            <w:r>
              <w:rPr>
                <w:noProof/>
                <w:webHidden/>
              </w:rPr>
              <w:fldChar w:fldCharType="separate"/>
            </w:r>
            <w:r>
              <w:rPr>
                <w:noProof/>
                <w:webHidden/>
              </w:rPr>
              <w:t>6</w:t>
            </w:r>
            <w:r>
              <w:rPr>
                <w:noProof/>
                <w:webHidden/>
              </w:rPr>
              <w:fldChar w:fldCharType="end"/>
            </w:r>
          </w:hyperlink>
        </w:p>
        <w:p w14:paraId="5AD7BF02" w14:textId="1DBCF845"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91" w:history="1">
            <w:r w:rsidRPr="006D7CFB">
              <w:rPr>
                <w:rStyle w:val="Hyperlink"/>
                <w:noProof/>
              </w:rPr>
              <w:t>4.2.</w:t>
            </w:r>
            <w:r>
              <w:rPr>
                <w:rFonts w:asciiTheme="minorHAnsi" w:hAnsiTheme="minorHAnsi"/>
                <w:b w:val="0"/>
                <w:bCs w:val="0"/>
                <w:noProof/>
                <w:kern w:val="2"/>
                <w:sz w:val="24"/>
                <w:szCs w:val="24"/>
                <w14:ligatures w14:val="standardContextual"/>
              </w:rPr>
              <w:tab/>
            </w:r>
            <w:r w:rsidRPr="006D7CFB">
              <w:rPr>
                <w:rStyle w:val="Hyperlink"/>
                <w:noProof/>
              </w:rPr>
              <w:t>Additional Information</w:t>
            </w:r>
            <w:r>
              <w:rPr>
                <w:noProof/>
                <w:webHidden/>
              </w:rPr>
              <w:tab/>
            </w:r>
            <w:r>
              <w:rPr>
                <w:noProof/>
                <w:webHidden/>
              </w:rPr>
              <w:fldChar w:fldCharType="begin"/>
            </w:r>
            <w:r>
              <w:rPr>
                <w:noProof/>
                <w:webHidden/>
              </w:rPr>
              <w:instrText xml:space="preserve"> PAGEREF _Toc191368491 \h </w:instrText>
            </w:r>
            <w:r>
              <w:rPr>
                <w:noProof/>
                <w:webHidden/>
              </w:rPr>
            </w:r>
            <w:r>
              <w:rPr>
                <w:noProof/>
                <w:webHidden/>
              </w:rPr>
              <w:fldChar w:fldCharType="separate"/>
            </w:r>
            <w:r>
              <w:rPr>
                <w:noProof/>
                <w:webHidden/>
              </w:rPr>
              <w:t>7</w:t>
            </w:r>
            <w:r>
              <w:rPr>
                <w:noProof/>
                <w:webHidden/>
              </w:rPr>
              <w:fldChar w:fldCharType="end"/>
            </w:r>
          </w:hyperlink>
        </w:p>
        <w:p w14:paraId="21C7884B" w14:textId="56CD316A"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92" w:history="1">
            <w:r w:rsidRPr="006D7CFB">
              <w:rPr>
                <w:rStyle w:val="Hyperlink"/>
                <w:noProof/>
              </w:rPr>
              <w:t>4.3.</w:t>
            </w:r>
            <w:r>
              <w:rPr>
                <w:rFonts w:asciiTheme="minorHAnsi" w:hAnsiTheme="minorHAnsi"/>
                <w:b w:val="0"/>
                <w:bCs w:val="0"/>
                <w:noProof/>
                <w:kern w:val="2"/>
                <w:sz w:val="24"/>
                <w:szCs w:val="24"/>
                <w14:ligatures w14:val="standardContextual"/>
              </w:rPr>
              <w:tab/>
            </w:r>
            <w:r w:rsidRPr="006D7CFB">
              <w:rPr>
                <w:rStyle w:val="Hyperlink"/>
                <w:noProof/>
              </w:rPr>
              <w:t>EU Regulations</w:t>
            </w:r>
            <w:r>
              <w:rPr>
                <w:noProof/>
                <w:webHidden/>
              </w:rPr>
              <w:tab/>
            </w:r>
            <w:r>
              <w:rPr>
                <w:noProof/>
                <w:webHidden/>
              </w:rPr>
              <w:fldChar w:fldCharType="begin"/>
            </w:r>
            <w:r>
              <w:rPr>
                <w:noProof/>
                <w:webHidden/>
              </w:rPr>
              <w:instrText xml:space="preserve"> PAGEREF _Toc191368492 \h </w:instrText>
            </w:r>
            <w:r>
              <w:rPr>
                <w:noProof/>
                <w:webHidden/>
              </w:rPr>
            </w:r>
            <w:r>
              <w:rPr>
                <w:noProof/>
                <w:webHidden/>
              </w:rPr>
              <w:fldChar w:fldCharType="separate"/>
            </w:r>
            <w:r>
              <w:rPr>
                <w:noProof/>
                <w:webHidden/>
              </w:rPr>
              <w:t>8</w:t>
            </w:r>
            <w:r>
              <w:rPr>
                <w:noProof/>
                <w:webHidden/>
              </w:rPr>
              <w:fldChar w:fldCharType="end"/>
            </w:r>
          </w:hyperlink>
        </w:p>
        <w:p w14:paraId="7EC4738B" w14:textId="631343BF"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93" w:history="1">
            <w:r w:rsidRPr="006D7CFB">
              <w:rPr>
                <w:rStyle w:val="Hyperlink"/>
                <w:noProof/>
              </w:rPr>
              <w:t>4.4.</w:t>
            </w:r>
            <w:r>
              <w:rPr>
                <w:rFonts w:asciiTheme="minorHAnsi" w:hAnsiTheme="minorHAnsi"/>
                <w:b w:val="0"/>
                <w:bCs w:val="0"/>
                <w:noProof/>
                <w:kern w:val="2"/>
                <w:sz w:val="24"/>
                <w:szCs w:val="24"/>
                <w14:ligatures w14:val="standardContextual"/>
              </w:rPr>
              <w:tab/>
            </w:r>
            <w:r w:rsidRPr="006D7CFB">
              <w:rPr>
                <w:rStyle w:val="Hyperlink"/>
                <w:noProof/>
              </w:rPr>
              <w:t>Testing Standards</w:t>
            </w:r>
            <w:r>
              <w:rPr>
                <w:noProof/>
                <w:webHidden/>
              </w:rPr>
              <w:tab/>
            </w:r>
            <w:r>
              <w:rPr>
                <w:noProof/>
                <w:webHidden/>
              </w:rPr>
              <w:fldChar w:fldCharType="begin"/>
            </w:r>
            <w:r>
              <w:rPr>
                <w:noProof/>
                <w:webHidden/>
              </w:rPr>
              <w:instrText xml:space="preserve"> PAGEREF _Toc191368493 \h </w:instrText>
            </w:r>
            <w:r>
              <w:rPr>
                <w:noProof/>
                <w:webHidden/>
              </w:rPr>
            </w:r>
            <w:r>
              <w:rPr>
                <w:noProof/>
                <w:webHidden/>
              </w:rPr>
              <w:fldChar w:fldCharType="separate"/>
            </w:r>
            <w:r>
              <w:rPr>
                <w:noProof/>
                <w:webHidden/>
              </w:rPr>
              <w:t>9</w:t>
            </w:r>
            <w:r>
              <w:rPr>
                <w:noProof/>
                <w:webHidden/>
              </w:rPr>
              <w:fldChar w:fldCharType="end"/>
            </w:r>
          </w:hyperlink>
        </w:p>
        <w:p w14:paraId="51919494" w14:textId="304A064B" w:rsidR="00D750F6" w:rsidRDefault="00D750F6">
          <w:pPr>
            <w:pStyle w:val="TOC2"/>
            <w:tabs>
              <w:tab w:val="left" w:pos="1320"/>
              <w:tab w:val="right" w:leader="dot" w:pos="9350"/>
            </w:tabs>
            <w:rPr>
              <w:rFonts w:asciiTheme="minorHAnsi" w:hAnsiTheme="minorHAnsi"/>
              <w:b w:val="0"/>
              <w:bCs w:val="0"/>
              <w:noProof/>
              <w:kern w:val="2"/>
              <w:sz w:val="24"/>
              <w:szCs w:val="24"/>
              <w14:ligatures w14:val="standardContextual"/>
            </w:rPr>
          </w:pPr>
          <w:hyperlink w:anchor="_Toc191368494" w:history="1">
            <w:r w:rsidRPr="006D7CFB">
              <w:rPr>
                <w:rStyle w:val="Hyperlink"/>
                <w:noProof/>
              </w:rPr>
              <w:t>4.5.</w:t>
            </w:r>
            <w:r>
              <w:rPr>
                <w:rFonts w:asciiTheme="minorHAnsi" w:hAnsiTheme="minorHAnsi"/>
                <w:b w:val="0"/>
                <w:bCs w:val="0"/>
                <w:noProof/>
                <w:kern w:val="2"/>
                <w:sz w:val="24"/>
                <w:szCs w:val="24"/>
                <w14:ligatures w14:val="standardContextual"/>
              </w:rPr>
              <w:tab/>
            </w:r>
            <w:r w:rsidRPr="006D7CFB">
              <w:rPr>
                <w:rStyle w:val="Hyperlink"/>
                <w:noProof/>
              </w:rPr>
              <w:t>Certification Requirements</w:t>
            </w:r>
            <w:r>
              <w:rPr>
                <w:noProof/>
                <w:webHidden/>
              </w:rPr>
              <w:tab/>
            </w:r>
            <w:r>
              <w:rPr>
                <w:noProof/>
                <w:webHidden/>
              </w:rPr>
              <w:fldChar w:fldCharType="begin"/>
            </w:r>
            <w:r>
              <w:rPr>
                <w:noProof/>
                <w:webHidden/>
              </w:rPr>
              <w:instrText xml:space="preserve"> PAGEREF _Toc191368494 \h </w:instrText>
            </w:r>
            <w:r>
              <w:rPr>
                <w:noProof/>
                <w:webHidden/>
              </w:rPr>
            </w:r>
            <w:r>
              <w:rPr>
                <w:noProof/>
                <w:webHidden/>
              </w:rPr>
              <w:fldChar w:fldCharType="separate"/>
            </w:r>
            <w:r>
              <w:rPr>
                <w:noProof/>
                <w:webHidden/>
              </w:rPr>
              <w:t>10</w:t>
            </w:r>
            <w:r>
              <w:rPr>
                <w:noProof/>
                <w:webHidden/>
              </w:rPr>
              <w:fldChar w:fldCharType="end"/>
            </w:r>
          </w:hyperlink>
        </w:p>
        <w:p w14:paraId="58FDDFFC" w14:textId="0FE3F577"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95" w:history="1">
            <w:r w:rsidRPr="006D7CFB">
              <w:rPr>
                <w:rStyle w:val="Hyperlink"/>
                <w:noProof/>
              </w:rPr>
              <w:t>5.</w:t>
            </w:r>
            <w:r>
              <w:rPr>
                <w:rFonts w:asciiTheme="minorHAnsi" w:hAnsiTheme="minorHAnsi"/>
                <w:b w:val="0"/>
                <w:bCs w:val="0"/>
                <w:i w:val="0"/>
                <w:iCs w:val="0"/>
                <w:noProof/>
                <w:kern w:val="2"/>
                <w14:ligatures w14:val="standardContextual"/>
              </w:rPr>
              <w:tab/>
            </w:r>
            <w:r w:rsidRPr="006D7CFB">
              <w:rPr>
                <w:rStyle w:val="Hyperlink"/>
                <w:noProof/>
              </w:rPr>
              <w:t>Licensed mmWave Band Regulatory Framework</w:t>
            </w:r>
            <w:r>
              <w:rPr>
                <w:noProof/>
                <w:webHidden/>
              </w:rPr>
              <w:tab/>
            </w:r>
            <w:r>
              <w:rPr>
                <w:noProof/>
                <w:webHidden/>
              </w:rPr>
              <w:fldChar w:fldCharType="begin"/>
            </w:r>
            <w:r>
              <w:rPr>
                <w:noProof/>
                <w:webHidden/>
              </w:rPr>
              <w:instrText xml:space="preserve"> PAGEREF _Toc191368495 \h </w:instrText>
            </w:r>
            <w:r>
              <w:rPr>
                <w:noProof/>
                <w:webHidden/>
              </w:rPr>
            </w:r>
            <w:r>
              <w:rPr>
                <w:noProof/>
                <w:webHidden/>
              </w:rPr>
              <w:fldChar w:fldCharType="separate"/>
            </w:r>
            <w:r>
              <w:rPr>
                <w:noProof/>
                <w:webHidden/>
              </w:rPr>
              <w:t>10</w:t>
            </w:r>
            <w:r>
              <w:rPr>
                <w:noProof/>
                <w:webHidden/>
              </w:rPr>
              <w:fldChar w:fldCharType="end"/>
            </w:r>
          </w:hyperlink>
        </w:p>
        <w:p w14:paraId="1E86A7CE" w14:textId="7214ED94"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96" w:history="1">
            <w:r w:rsidRPr="006D7CFB">
              <w:rPr>
                <w:rStyle w:val="Hyperlink"/>
                <w:noProof/>
              </w:rPr>
              <w:t>6.</w:t>
            </w:r>
            <w:r>
              <w:rPr>
                <w:rFonts w:asciiTheme="minorHAnsi" w:hAnsiTheme="minorHAnsi"/>
                <w:b w:val="0"/>
                <w:bCs w:val="0"/>
                <w:i w:val="0"/>
                <w:iCs w:val="0"/>
                <w:noProof/>
                <w:kern w:val="2"/>
                <w14:ligatures w14:val="standardContextual"/>
              </w:rPr>
              <w:tab/>
            </w:r>
            <w:r w:rsidRPr="006D7CFB">
              <w:rPr>
                <w:rStyle w:val="Hyperlink"/>
                <w:noProof/>
              </w:rPr>
              <w:t>Licensed mmWave Rules Throughout European Union</w:t>
            </w:r>
            <w:r>
              <w:rPr>
                <w:noProof/>
                <w:webHidden/>
              </w:rPr>
              <w:tab/>
            </w:r>
            <w:r>
              <w:rPr>
                <w:noProof/>
                <w:webHidden/>
              </w:rPr>
              <w:fldChar w:fldCharType="begin"/>
            </w:r>
            <w:r>
              <w:rPr>
                <w:noProof/>
                <w:webHidden/>
              </w:rPr>
              <w:instrText xml:space="preserve"> PAGEREF _Toc191368496 \h </w:instrText>
            </w:r>
            <w:r>
              <w:rPr>
                <w:noProof/>
                <w:webHidden/>
              </w:rPr>
            </w:r>
            <w:r>
              <w:rPr>
                <w:noProof/>
                <w:webHidden/>
              </w:rPr>
              <w:fldChar w:fldCharType="separate"/>
            </w:r>
            <w:r>
              <w:rPr>
                <w:noProof/>
                <w:webHidden/>
              </w:rPr>
              <w:t>11</w:t>
            </w:r>
            <w:r>
              <w:rPr>
                <w:noProof/>
                <w:webHidden/>
              </w:rPr>
              <w:fldChar w:fldCharType="end"/>
            </w:r>
          </w:hyperlink>
        </w:p>
        <w:p w14:paraId="2EE05AD6" w14:textId="7197637F"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97" w:history="1">
            <w:r w:rsidRPr="006D7CFB">
              <w:rPr>
                <w:rStyle w:val="Hyperlink"/>
                <w:noProof/>
              </w:rPr>
              <w:t>7.</w:t>
            </w:r>
            <w:r>
              <w:rPr>
                <w:rFonts w:asciiTheme="minorHAnsi" w:hAnsiTheme="minorHAnsi"/>
                <w:b w:val="0"/>
                <w:bCs w:val="0"/>
                <w:i w:val="0"/>
                <w:iCs w:val="0"/>
                <w:noProof/>
                <w:kern w:val="2"/>
                <w14:ligatures w14:val="standardContextual"/>
              </w:rPr>
              <w:tab/>
            </w:r>
            <w:r w:rsidRPr="006D7CFB">
              <w:rPr>
                <w:rStyle w:val="Hyperlink"/>
                <w:noProof/>
              </w:rPr>
              <w:t>EU Deployment Scenarios for Short-Range Communications (SRC)</w:t>
            </w:r>
            <w:r>
              <w:rPr>
                <w:noProof/>
                <w:webHidden/>
              </w:rPr>
              <w:tab/>
            </w:r>
            <w:r>
              <w:rPr>
                <w:noProof/>
                <w:webHidden/>
              </w:rPr>
              <w:fldChar w:fldCharType="begin"/>
            </w:r>
            <w:r>
              <w:rPr>
                <w:noProof/>
                <w:webHidden/>
              </w:rPr>
              <w:instrText xml:space="preserve"> PAGEREF _Toc191368497 \h </w:instrText>
            </w:r>
            <w:r>
              <w:rPr>
                <w:noProof/>
                <w:webHidden/>
              </w:rPr>
            </w:r>
            <w:r>
              <w:rPr>
                <w:noProof/>
                <w:webHidden/>
              </w:rPr>
              <w:fldChar w:fldCharType="separate"/>
            </w:r>
            <w:r>
              <w:rPr>
                <w:noProof/>
                <w:webHidden/>
              </w:rPr>
              <w:t>11</w:t>
            </w:r>
            <w:r>
              <w:rPr>
                <w:noProof/>
                <w:webHidden/>
              </w:rPr>
              <w:fldChar w:fldCharType="end"/>
            </w:r>
          </w:hyperlink>
        </w:p>
        <w:p w14:paraId="700984C7" w14:textId="1510439F"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98" w:history="1">
            <w:r w:rsidRPr="006D7CFB">
              <w:rPr>
                <w:rStyle w:val="Hyperlink"/>
                <w:noProof/>
              </w:rPr>
              <w:t>8.</w:t>
            </w:r>
            <w:r>
              <w:rPr>
                <w:rFonts w:asciiTheme="minorHAnsi" w:hAnsiTheme="minorHAnsi"/>
                <w:b w:val="0"/>
                <w:bCs w:val="0"/>
                <w:i w:val="0"/>
                <w:iCs w:val="0"/>
                <w:noProof/>
                <w:kern w:val="2"/>
                <w14:ligatures w14:val="standardContextual"/>
              </w:rPr>
              <w:tab/>
            </w:r>
            <w:r w:rsidRPr="006D7CFB">
              <w:rPr>
                <w:rStyle w:val="Hyperlink"/>
                <w:noProof/>
              </w:rPr>
              <w:t>Factors for SRC Deployment</w:t>
            </w:r>
            <w:r>
              <w:rPr>
                <w:noProof/>
                <w:webHidden/>
              </w:rPr>
              <w:tab/>
            </w:r>
            <w:r>
              <w:rPr>
                <w:noProof/>
                <w:webHidden/>
              </w:rPr>
              <w:fldChar w:fldCharType="begin"/>
            </w:r>
            <w:r>
              <w:rPr>
                <w:noProof/>
                <w:webHidden/>
              </w:rPr>
              <w:instrText xml:space="preserve"> PAGEREF _Toc191368498 \h </w:instrText>
            </w:r>
            <w:r>
              <w:rPr>
                <w:noProof/>
                <w:webHidden/>
              </w:rPr>
            </w:r>
            <w:r>
              <w:rPr>
                <w:noProof/>
                <w:webHidden/>
              </w:rPr>
              <w:fldChar w:fldCharType="separate"/>
            </w:r>
            <w:r>
              <w:rPr>
                <w:noProof/>
                <w:webHidden/>
              </w:rPr>
              <w:t>11</w:t>
            </w:r>
            <w:r>
              <w:rPr>
                <w:noProof/>
                <w:webHidden/>
              </w:rPr>
              <w:fldChar w:fldCharType="end"/>
            </w:r>
          </w:hyperlink>
        </w:p>
        <w:p w14:paraId="3837B99C" w14:textId="0B48D98F" w:rsidR="00D750F6" w:rsidRDefault="00D750F6">
          <w:pPr>
            <w:pStyle w:val="TOC1"/>
            <w:tabs>
              <w:tab w:val="left" w:pos="880"/>
              <w:tab w:val="right" w:leader="dot" w:pos="9350"/>
            </w:tabs>
            <w:rPr>
              <w:rFonts w:asciiTheme="minorHAnsi" w:hAnsiTheme="minorHAnsi"/>
              <w:b w:val="0"/>
              <w:bCs w:val="0"/>
              <w:i w:val="0"/>
              <w:iCs w:val="0"/>
              <w:noProof/>
              <w:kern w:val="2"/>
              <w14:ligatures w14:val="standardContextual"/>
            </w:rPr>
          </w:pPr>
          <w:hyperlink w:anchor="_Toc191368499" w:history="1">
            <w:r w:rsidRPr="006D7CFB">
              <w:rPr>
                <w:rStyle w:val="Hyperlink"/>
                <w:noProof/>
              </w:rPr>
              <w:t>9.</w:t>
            </w:r>
            <w:r>
              <w:rPr>
                <w:rFonts w:asciiTheme="minorHAnsi" w:hAnsiTheme="minorHAnsi"/>
                <w:b w:val="0"/>
                <w:bCs w:val="0"/>
                <w:i w:val="0"/>
                <w:iCs w:val="0"/>
                <w:noProof/>
                <w:kern w:val="2"/>
                <w14:ligatures w14:val="standardContextual"/>
              </w:rPr>
              <w:tab/>
            </w:r>
            <w:r w:rsidRPr="006D7CFB">
              <w:rPr>
                <w:rStyle w:val="Hyperlink"/>
                <w:noProof/>
              </w:rPr>
              <w:t>Conclusion</w:t>
            </w:r>
            <w:r>
              <w:rPr>
                <w:noProof/>
                <w:webHidden/>
              </w:rPr>
              <w:tab/>
            </w:r>
            <w:r>
              <w:rPr>
                <w:noProof/>
                <w:webHidden/>
              </w:rPr>
              <w:fldChar w:fldCharType="begin"/>
            </w:r>
            <w:r>
              <w:rPr>
                <w:noProof/>
                <w:webHidden/>
              </w:rPr>
              <w:instrText xml:space="preserve"> PAGEREF _Toc191368499 \h </w:instrText>
            </w:r>
            <w:r>
              <w:rPr>
                <w:noProof/>
                <w:webHidden/>
              </w:rPr>
            </w:r>
            <w:r>
              <w:rPr>
                <w:noProof/>
                <w:webHidden/>
              </w:rPr>
              <w:fldChar w:fldCharType="separate"/>
            </w:r>
            <w:r>
              <w:rPr>
                <w:noProof/>
                <w:webHidden/>
              </w:rPr>
              <w:t>11</w:t>
            </w:r>
            <w:r>
              <w:rPr>
                <w:noProof/>
                <w:webHidden/>
              </w:rPr>
              <w:fldChar w:fldCharType="end"/>
            </w:r>
          </w:hyperlink>
        </w:p>
        <w:p w14:paraId="4CD85E21" w14:textId="002EE336" w:rsidR="00D750F6" w:rsidRDefault="00D750F6">
          <w:pPr>
            <w:pStyle w:val="TOC1"/>
            <w:tabs>
              <w:tab w:val="right" w:leader="dot" w:pos="9350"/>
            </w:tabs>
            <w:rPr>
              <w:rFonts w:asciiTheme="minorHAnsi" w:hAnsiTheme="minorHAnsi"/>
              <w:b w:val="0"/>
              <w:bCs w:val="0"/>
              <w:i w:val="0"/>
              <w:iCs w:val="0"/>
              <w:noProof/>
              <w:kern w:val="2"/>
              <w14:ligatures w14:val="standardContextual"/>
            </w:rPr>
          </w:pPr>
          <w:hyperlink w:anchor="_Toc191368500" w:history="1">
            <w:r w:rsidRPr="006D7CFB">
              <w:rPr>
                <w:rStyle w:val="Hyperlink"/>
                <w:noProof/>
              </w:rPr>
              <w:t>References</w:t>
            </w:r>
            <w:r>
              <w:rPr>
                <w:noProof/>
                <w:webHidden/>
              </w:rPr>
              <w:tab/>
            </w:r>
            <w:r>
              <w:rPr>
                <w:noProof/>
                <w:webHidden/>
              </w:rPr>
              <w:fldChar w:fldCharType="begin"/>
            </w:r>
            <w:r>
              <w:rPr>
                <w:noProof/>
                <w:webHidden/>
              </w:rPr>
              <w:instrText xml:space="preserve"> PAGEREF _Toc191368500 \h </w:instrText>
            </w:r>
            <w:r>
              <w:rPr>
                <w:noProof/>
                <w:webHidden/>
              </w:rPr>
            </w:r>
            <w:r>
              <w:rPr>
                <w:noProof/>
                <w:webHidden/>
              </w:rPr>
              <w:fldChar w:fldCharType="separate"/>
            </w:r>
            <w:r>
              <w:rPr>
                <w:noProof/>
                <w:webHidden/>
              </w:rPr>
              <w:t>12</w:t>
            </w:r>
            <w:r>
              <w:rPr>
                <w:noProof/>
                <w:webHidden/>
              </w:rPr>
              <w:fldChar w:fldCharType="end"/>
            </w:r>
          </w:hyperlink>
        </w:p>
        <w:p w14:paraId="3CD028CE" w14:textId="239FE444" w:rsidR="00372000" w:rsidRDefault="00372000">
          <w:r>
            <w:rPr>
              <w:b/>
              <w:bCs/>
              <w:noProof/>
            </w:rPr>
            <w:fldChar w:fldCharType="end"/>
          </w:r>
        </w:p>
      </w:sdtContent>
    </w:sdt>
    <w:p w14:paraId="62EC76CC" w14:textId="77777777" w:rsidR="00F131B7" w:rsidRDefault="00F131B7" w:rsidP="00F131B7"/>
    <w:p w14:paraId="7C66EDAE" w14:textId="77777777" w:rsidR="00F131B7" w:rsidRDefault="00F131B7" w:rsidP="00F131B7"/>
    <w:p w14:paraId="4029446E" w14:textId="77777777" w:rsidR="00F131B7" w:rsidRDefault="00F131B7" w:rsidP="00F131B7"/>
    <w:p w14:paraId="75D5A25B" w14:textId="77777777" w:rsidR="00372000" w:rsidRDefault="00372000" w:rsidP="00F131B7"/>
    <w:p w14:paraId="0312C7AD" w14:textId="77777777" w:rsidR="00372000" w:rsidRDefault="00372000" w:rsidP="00F131B7"/>
    <w:p w14:paraId="755F2BBE" w14:textId="77777777" w:rsidR="00372000" w:rsidRDefault="00372000" w:rsidP="00F131B7"/>
    <w:p w14:paraId="210707A4" w14:textId="77777777" w:rsidR="00372000" w:rsidRDefault="00372000" w:rsidP="00F131B7"/>
    <w:p w14:paraId="59CFFDDE" w14:textId="77777777" w:rsidR="00372000" w:rsidRDefault="00372000" w:rsidP="00F131B7"/>
    <w:p w14:paraId="2845B9C4" w14:textId="77777777" w:rsidR="00372000" w:rsidRDefault="00372000" w:rsidP="00F131B7"/>
    <w:p w14:paraId="59A4F668" w14:textId="77777777" w:rsidR="00372000" w:rsidRDefault="00372000" w:rsidP="00F131B7"/>
    <w:p w14:paraId="28022FB7" w14:textId="77777777" w:rsidR="00E81757" w:rsidRPr="00225EF9" w:rsidRDefault="00E81757" w:rsidP="00E81757">
      <w:pPr>
        <w:pStyle w:val="Heading1"/>
        <w:rPr>
          <w:lang w:val="en-GB"/>
        </w:rPr>
      </w:pPr>
      <w:bookmarkStart w:id="2" w:name="_Toc270605147"/>
      <w:bookmarkStart w:id="3" w:name="_Toc191368482"/>
      <w:r w:rsidRPr="00225EF9">
        <w:rPr>
          <w:lang w:val="en-GB"/>
        </w:rPr>
        <w:t>Definitions, symbols and abbreviations</w:t>
      </w:r>
      <w:bookmarkEnd w:id="2"/>
      <w:bookmarkEnd w:id="3"/>
    </w:p>
    <w:p w14:paraId="76ED50D9" w14:textId="77777777" w:rsidR="00E81757" w:rsidRPr="00225EF9" w:rsidRDefault="00E81757" w:rsidP="00E81757">
      <w:pPr>
        <w:pStyle w:val="Heading2"/>
        <w:rPr>
          <w:lang w:val="en-GB"/>
        </w:rPr>
      </w:pPr>
      <w:bookmarkStart w:id="4" w:name="_Toc374930454"/>
      <w:bookmarkStart w:id="5" w:name="_Toc436619245"/>
      <w:bookmarkStart w:id="6" w:name="_Toc451844175"/>
      <w:bookmarkStart w:id="7" w:name="_Toc466346617"/>
      <w:bookmarkStart w:id="8" w:name="_Toc466348850"/>
      <w:bookmarkStart w:id="9" w:name="_Toc466352957"/>
      <w:bookmarkStart w:id="10" w:name="_Toc472222524"/>
      <w:bookmarkStart w:id="11" w:name="_Toc270605148"/>
      <w:bookmarkStart w:id="12" w:name="_Toc191368483"/>
      <w:r w:rsidRPr="00225EF9">
        <w:rPr>
          <w:lang w:val="en-GB"/>
        </w:rPr>
        <w:t>Definitions</w:t>
      </w:r>
      <w:bookmarkEnd w:id="4"/>
      <w:bookmarkEnd w:id="5"/>
      <w:bookmarkEnd w:id="6"/>
      <w:bookmarkEnd w:id="7"/>
      <w:bookmarkEnd w:id="8"/>
      <w:bookmarkEnd w:id="9"/>
      <w:bookmarkEnd w:id="10"/>
      <w:bookmarkEnd w:id="11"/>
      <w:bookmarkEnd w:id="12"/>
    </w:p>
    <w:p w14:paraId="09439F14" w14:textId="77777777" w:rsidR="00E81757" w:rsidRPr="00225EF9" w:rsidRDefault="00E81757" w:rsidP="00E81757">
      <w:pPr>
        <w:spacing w:after="180"/>
        <w:rPr>
          <w:b/>
          <w:bCs/>
          <w:sz w:val="20"/>
          <w:lang w:val="en-GB"/>
        </w:rPr>
      </w:pPr>
      <w:bookmarkStart w:id="13" w:name="_Toc374930455"/>
      <w:bookmarkStart w:id="14" w:name="_Toc345380208"/>
      <w:bookmarkStart w:id="15" w:name="_Toc345380387"/>
      <w:bookmarkStart w:id="16" w:name="_Toc345380472"/>
      <w:bookmarkStart w:id="17" w:name="_Toc345380557"/>
      <w:bookmarkStart w:id="18" w:name="_Toc345380642"/>
      <w:bookmarkStart w:id="19" w:name="_Toc345381582"/>
      <w:bookmarkStart w:id="20" w:name="_Toc345381746"/>
      <w:bookmarkStart w:id="21" w:name="_Toc345381883"/>
      <w:bookmarkStart w:id="22" w:name="_Toc345382328"/>
      <w:bookmarkStart w:id="23" w:name="_Toc345382413"/>
      <w:bookmarkStart w:id="24" w:name="_Toc345382519"/>
      <w:bookmarkStart w:id="25" w:name="_Toc345382680"/>
      <w:bookmarkStart w:id="26" w:name="_Toc345382765"/>
      <w:bookmarkStart w:id="27" w:name="_Toc345383039"/>
      <w:bookmarkStart w:id="28" w:name="_Toc345383211"/>
      <w:bookmarkStart w:id="29" w:name="_Toc345383882"/>
      <w:bookmarkStart w:id="30" w:name="_Toc345384167"/>
      <w:bookmarkStart w:id="31" w:name="_Toc345384748"/>
      <w:bookmarkStart w:id="32" w:name="_Toc345384952"/>
      <w:bookmarkStart w:id="33" w:name="_Toc345386033"/>
      <w:bookmarkStart w:id="34" w:name="_Toc345405369"/>
      <w:bookmarkStart w:id="35" w:name="_Toc345405530"/>
      <w:bookmarkStart w:id="36" w:name="_Toc345405615"/>
      <w:bookmarkStart w:id="37" w:name="_Toc345405700"/>
      <w:bookmarkStart w:id="38" w:name="_Toc345405785"/>
      <w:bookmarkStart w:id="39" w:name="_Toc345406135"/>
      <w:bookmarkStart w:id="40" w:name="_Toc345406483"/>
      <w:bookmarkStart w:id="41" w:name="_Toc345406568"/>
      <w:bookmarkStart w:id="42" w:name="_Toc345406653"/>
      <w:bookmarkStart w:id="43" w:name="_Toc345406738"/>
      <w:bookmarkStart w:id="44" w:name="_Toc345407060"/>
      <w:bookmarkStart w:id="45" w:name="_Toc345409494"/>
      <w:bookmarkStart w:id="46" w:name="_Toc345409604"/>
      <w:bookmarkStart w:id="47" w:name="_Toc345409689"/>
      <w:bookmarkStart w:id="48" w:name="_Toc345410485"/>
      <w:bookmarkStart w:id="49" w:name="_Toc345410570"/>
      <w:bookmarkStart w:id="50" w:name="_Toc345735802"/>
      <w:bookmarkStart w:id="51" w:name="_Toc345736121"/>
      <w:bookmarkStart w:id="52" w:name="_Toc345736206"/>
      <w:bookmarkStart w:id="53" w:name="_Toc351282504"/>
      <w:r w:rsidRPr="00225EF9">
        <w:rPr>
          <w:sz w:val="20"/>
          <w:lang w:val="en-GB"/>
        </w:rPr>
        <w:t xml:space="preserve">For the purposes of the present document, the following </w:t>
      </w:r>
      <w:r>
        <w:rPr>
          <w:sz w:val="20"/>
          <w:lang w:val="en-GB"/>
        </w:rPr>
        <w:t>definitions</w:t>
      </w:r>
      <w:r w:rsidRPr="00225EF9">
        <w:rPr>
          <w:sz w:val="20"/>
          <w:lang w:val="en-GB"/>
        </w:rPr>
        <w:t xml:space="preserve"> apply:</w:t>
      </w:r>
    </w:p>
    <w:p w14:paraId="023A7AB1" w14:textId="77777777" w:rsidR="00E81757" w:rsidRPr="00225EF9" w:rsidRDefault="00E81757" w:rsidP="00E81757">
      <w:pPr>
        <w:spacing w:after="180"/>
        <w:rPr>
          <w:sz w:val="20"/>
        </w:rPr>
      </w:pPr>
      <w:r>
        <w:rPr>
          <w:b/>
          <w:bCs/>
          <w:sz w:val="20"/>
        </w:rPr>
        <w:t>[</w:t>
      </w:r>
      <w:r w:rsidRPr="00225EF9">
        <w:rPr>
          <w:b/>
          <w:bCs/>
          <w:sz w:val="20"/>
        </w:rPr>
        <w:t>UICC application Id</w:t>
      </w:r>
      <w:r w:rsidRPr="00225EF9">
        <w:rPr>
          <w:sz w:val="20"/>
        </w:rPr>
        <w:t>: a unique identifier allowing UICC application to be identified in IMS network.</w:t>
      </w:r>
      <w:r>
        <w:rPr>
          <w:sz w:val="20"/>
        </w:rPr>
        <w:t xml:space="preserve"> </w:t>
      </w:r>
      <w:r w:rsidRPr="00D03463">
        <w:rPr>
          <w:sz w:val="20"/>
        </w:rPr>
        <w:t>(Example)</w:t>
      </w:r>
      <w:r>
        <w:rPr>
          <w:sz w:val="20"/>
        </w:rPr>
        <w:t>]</w:t>
      </w:r>
    </w:p>
    <w:p w14:paraId="1881832A" w14:textId="77777777" w:rsidR="00E81757" w:rsidRPr="00225EF9" w:rsidRDefault="00E81757" w:rsidP="00E81757">
      <w:pPr>
        <w:spacing w:after="180"/>
        <w:rPr>
          <w:sz w:val="20"/>
        </w:rPr>
      </w:pPr>
    </w:p>
    <w:p w14:paraId="3B9191D7" w14:textId="77777777" w:rsidR="00E81757" w:rsidRPr="00255959" w:rsidRDefault="00E81757" w:rsidP="00E81757">
      <w:pPr>
        <w:pStyle w:val="Heading2"/>
        <w:rPr>
          <w:lang w:val="en-GB"/>
        </w:rPr>
      </w:pPr>
      <w:bookmarkStart w:id="54" w:name="_Toc436619247"/>
      <w:bookmarkStart w:id="55" w:name="_Toc451844177"/>
      <w:bookmarkStart w:id="56" w:name="_Toc466346618"/>
      <w:bookmarkStart w:id="57" w:name="_Toc466348851"/>
      <w:bookmarkStart w:id="58" w:name="_Toc466352958"/>
      <w:bookmarkStart w:id="59" w:name="_Toc472222525"/>
      <w:bookmarkStart w:id="60" w:name="_Toc270605149"/>
      <w:bookmarkStart w:id="61" w:name="_Toc191368484"/>
      <w:r w:rsidRPr="00255959">
        <w:rPr>
          <w:lang w:val="en-GB"/>
        </w:rPr>
        <w:t>Symbols</w:t>
      </w:r>
      <w:bookmarkEnd w:id="13"/>
      <w:bookmarkEnd w:id="54"/>
      <w:bookmarkEnd w:id="55"/>
      <w:bookmarkEnd w:id="56"/>
      <w:bookmarkEnd w:id="57"/>
      <w:bookmarkEnd w:id="58"/>
      <w:bookmarkEnd w:id="59"/>
      <w:bookmarkEnd w:id="60"/>
      <w:bookmarkEnd w:id="61"/>
    </w:p>
    <w:p w14:paraId="5A94BCB2" w14:textId="77777777" w:rsidR="00E81757" w:rsidRPr="00225EF9" w:rsidRDefault="00E81757" w:rsidP="00E81757">
      <w:pPr>
        <w:spacing w:after="180"/>
        <w:rPr>
          <w:sz w:val="20"/>
          <w:lang w:val="en-GB"/>
        </w:rPr>
      </w:pPr>
      <w:r w:rsidRPr="00225EF9">
        <w:rPr>
          <w:sz w:val="20"/>
          <w:lang w:val="en-GB"/>
        </w:rPr>
        <w:t>For the purposes of the present document, the following symbols apply:</w:t>
      </w:r>
    </w:p>
    <w:p w14:paraId="1717DF78" w14:textId="77777777" w:rsidR="00E81757" w:rsidRPr="00225EF9" w:rsidRDefault="00E81757" w:rsidP="00E81757">
      <w:pPr>
        <w:spacing w:after="180"/>
        <w:rPr>
          <w:sz w:val="20"/>
          <w:lang w:val="en-GB"/>
        </w:rPr>
      </w:pPr>
      <w:bookmarkStart w:id="62" w:name="_Toc374930456"/>
      <w:r>
        <w:rPr>
          <w:sz w:val="20"/>
          <w:lang w:val="en-GB"/>
        </w:rPr>
        <w:t>[</w:t>
      </w:r>
      <w:r w:rsidRPr="00225EF9">
        <w:rPr>
          <w:sz w:val="20"/>
          <w:lang w:val="en-GB"/>
        </w:rPr>
        <w:t>||</w:t>
      </w:r>
      <w:r w:rsidRPr="00225EF9">
        <w:rPr>
          <w:sz w:val="20"/>
          <w:lang w:val="en-GB"/>
        </w:rPr>
        <w:tab/>
        <w:t>Concatenation</w:t>
      </w:r>
      <w:r>
        <w:rPr>
          <w:sz w:val="20"/>
          <w:lang w:val="en-GB"/>
        </w:rPr>
        <w:t xml:space="preserve"> </w:t>
      </w:r>
      <w:r w:rsidRPr="00D03463">
        <w:rPr>
          <w:sz w:val="20"/>
          <w:lang w:val="en-GB"/>
        </w:rPr>
        <w:t>(Example)</w:t>
      </w:r>
      <w:r>
        <w:rPr>
          <w:sz w:val="20"/>
          <w:lang w:val="en-GB"/>
        </w:rPr>
        <w:t>]</w:t>
      </w:r>
    </w:p>
    <w:p w14:paraId="09E4BA2A" w14:textId="77777777" w:rsidR="00E81757" w:rsidRPr="00255959" w:rsidRDefault="00E81757" w:rsidP="00E81757">
      <w:pPr>
        <w:pStyle w:val="Heading2"/>
        <w:rPr>
          <w:lang w:val="en-GB"/>
        </w:rPr>
      </w:pPr>
      <w:bookmarkStart w:id="63" w:name="_Toc436619249"/>
      <w:bookmarkStart w:id="64" w:name="_Toc451844179"/>
      <w:bookmarkStart w:id="65" w:name="_Toc466346619"/>
      <w:bookmarkStart w:id="66" w:name="_Toc466348852"/>
      <w:bookmarkStart w:id="67" w:name="_Toc466352959"/>
      <w:bookmarkStart w:id="68" w:name="_Toc472222526"/>
      <w:bookmarkStart w:id="69" w:name="_Toc270605150"/>
      <w:bookmarkStart w:id="70" w:name="_Toc191368485"/>
      <w:r w:rsidRPr="00255959">
        <w:rPr>
          <w:lang w:val="en-GB"/>
        </w:rPr>
        <w:t>Abbreviations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62"/>
      <w:bookmarkEnd w:id="63"/>
      <w:bookmarkEnd w:id="64"/>
      <w:bookmarkEnd w:id="65"/>
      <w:bookmarkEnd w:id="66"/>
      <w:bookmarkEnd w:id="67"/>
      <w:bookmarkEnd w:id="68"/>
      <w:bookmarkEnd w:id="69"/>
      <w:bookmarkEnd w:id="70"/>
    </w:p>
    <w:p w14:paraId="26C6A03F" w14:textId="77777777" w:rsidR="00E81757" w:rsidRDefault="00E81757" w:rsidP="00E81757">
      <w:pPr>
        <w:spacing w:after="180"/>
        <w:rPr>
          <w:sz w:val="20"/>
          <w:lang w:val="en-GB"/>
        </w:rPr>
      </w:pPr>
      <w:r w:rsidRPr="00D03463">
        <w:rPr>
          <w:sz w:val="20"/>
          <w:lang w:val="en-GB"/>
        </w:rPr>
        <w:t xml:space="preserve">For the purposes of the present document, the following </w:t>
      </w:r>
      <w:r>
        <w:rPr>
          <w:sz w:val="20"/>
          <w:lang w:val="en-GB"/>
        </w:rPr>
        <w:t>abbreviation</w:t>
      </w:r>
      <w:r w:rsidRPr="00D03463">
        <w:rPr>
          <w:sz w:val="20"/>
          <w:lang w:val="en-GB"/>
        </w:rPr>
        <w:t>s apply:</w:t>
      </w:r>
    </w:p>
    <w:p w14:paraId="202AA7CB" w14:textId="30C8FF4F" w:rsidR="00E81757" w:rsidRDefault="00E81757" w:rsidP="00D750F6">
      <w:pPr>
        <w:tabs>
          <w:tab w:val="left" w:pos="1418"/>
        </w:tabs>
        <w:spacing w:after="180"/>
        <w:ind w:firstLine="0"/>
        <w:rPr>
          <w:bCs/>
          <w:sz w:val="20"/>
          <w:lang w:val="it-IT"/>
        </w:rPr>
      </w:pPr>
      <w:r w:rsidRPr="00E81757">
        <w:rPr>
          <w:b/>
          <w:sz w:val="20"/>
          <w:lang w:val="it-IT"/>
        </w:rPr>
        <w:t>BW</w:t>
      </w:r>
      <w:r>
        <w:rPr>
          <w:bCs/>
          <w:sz w:val="20"/>
          <w:lang w:val="it-IT"/>
        </w:rPr>
        <w:tab/>
        <w:t>Bandwidth</w:t>
      </w:r>
    </w:p>
    <w:p w14:paraId="1E3A4191" w14:textId="15A51380" w:rsidR="00E81757" w:rsidRDefault="00E81757" w:rsidP="00E81757">
      <w:pPr>
        <w:tabs>
          <w:tab w:val="left" w:pos="1418"/>
        </w:tabs>
        <w:spacing w:after="180"/>
        <w:ind w:firstLine="0"/>
        <w:rPr>
          <w:b/>
          <w:sz w:val="20"/>
          <w:lang w:val="it-IT"/>
        </w:rPr>
      </w:pPr>
      <w:r w:rsidRPr="00E81757">
        <w:rPr>
          <w:b/>
          <w:sz w:val="20"/>
          <w:lang w:val="it-IT"/>
        </w:rPr>
        <w:t>DFS</w:t>
      </w:r>
      <w:r w:rsidRPr="00D750F6">
        <w:rPr>
          <w:b/>
          <w:sz w:val="20"/>
          <w:lang w:val="it-IT"/>
        </w:rPr>
        <w:tab/>
      </w:r>
    </w:p>
    <w:p w14:paraId="78E9C227" w14:textId="0E5000E8" w:rsidR="00E81757" w:rsidRDefault="00E81757" w:rsidP="00E81757">
      <w:pPr>
        <w:tabs>
          <w:tab w:val="left" w:pos="1418"/>
        </w:tabs>
        <w:spacing w:after="180"/>
        <w:ind w:firstLine="0"/>
        <w:rPr>
          <w:b/>
          <w:sz w:val="20"/>
          <w:lang w:val="it-IT"/>
        </w:rPr>
      </w:pPr>
      <w:r>
        <w:rPr>
          <w:b/>
          <w:sz w:val="20"/>
          <w:lang w:val="it-IT"/>
        </w:rPr>
        <w:t>eMBB</w:t>
      </w:r>
      <w:r>
        <w:rPr>
          <w:b/>
          <w:sz w:val="20"/>
          <w:lang w:val="it-IT"/>
        </w:rPr>
        <w:tab/>
        <w:t>Enhanced mobile broadband</w:t>
      </w:r>
    </w:p>
    <w:p w14:paraId="60B19BF9" w14:textId="0DD07B55" w:rsidR="00E81757" w:rsidRDefault="00E81757" w:rsidP="00E81757">
      <w:pPr>
        <w:tabs>
          <w:tab w:val="left" w:pos="1418"/>
        </w:tabs>
        <w:spacing w:after="180"/>
        <w:ind w:firstLine="0"/>
        <w:rPr>
          <w:b/>
          <w:sz w:val="20"/>
          <w:lang w:val="it-IT"/>
        </w:rPr>
      </w:pPr>
      <w:r>
        <w:rPr>
          <w:b/>
          <w:sz w:val="20"/>
          <w:lang w:val="it-IT"/>
        </w:rPr>
        <w:t>FWA</w:t>
      </w:r>
      <w:r>
        <w:rPr>
          <w:b/>
          <w:sz w:val="20"/>
          <w:lang w:val="it-IT"/>
        </w:rPr>
        <w:tab/>
        <w:t>Fixed wireless access</w:t>
      </w:r>
    </w:p>
    <w:p w14:paraId="68EFC2AB" w14:textId="15FB31C9" w:rsidR="00E81757" w:rsidRDefault="00E81757" w:rsidP="00E81757">
      <w:pPr>
        <w:tabs>
          <w:tab w:val="left" w:pos="1418"/>
        </w:tabs>
        <w:spacing w:after="180"/>
        <w:ind w:firstLine="0"/>
        <w:rPr>
          <w:b/>
          <w:sz w:val="20"/>
          <w:lang w:val="it-IT"/>
        </w:rPr>
      </w:pPr>
      <w:r>
        <w:rPr>
          <w:b/>
          <w:sz w:val="20"/>
          <w:lang w:val="it-IT"/>
        </w:rPr>
        <w:t>mmW</w:t>
      </w:r>
      <w:r>
        <w:rPr>
          <w:b/>
          <w:sz w:val="20"/>
          <w:lang w:val="it-IT"/>
        </w:rPr>
        <w:tab/>
        <w:t>Millimeter-wave</w:t>
      </w:r>
    </w:p>
    <w:p w14:paraId="3CC3C90B" w14:textId="5B102695" w:rsidR="00E81757" w:rsidRPr="00D750F6" w:rsidRDefault="00E81757" w:rsidP="00D750F6">
      <w:pPr>
        <w:tabs>
          <w:tab w:val="left" w:pos="1418"/>
        </w:tabs>
        <w:spacing w:after="180"/>
        <w:ind w:firstLine="0"/>
        <w:rPr>
          <w:b/>
          <w:sz w:val="20"/>
          <w:lang w:val="it-IT"/>
        </w:rPr>
      </w:pPr>
      <w:r>
        <w:rPr>
          <w:b/>
          <w:sz w:val="20"/>
          <w:lang w:val="it-IT"/>
        </w:rPr>
        <w:t>mmWave</w:t>
      </w:r>
      <w:r>
        <w:rPr>
          <w:b/>
          <w:sz w:val="20"/>
          <w:lang w:val="it-IT"/>
        </w:rPr>
        <w:tab/>
        <w:t>Millimeter-wave</w:t>
      </w:r>
    </w:p>
    <w:p w14:paraId="718BC27D" w14:textId="70F13389" w:rsidR="00447157" w:rsidRDefault="00447157" w:rsidP="00E81757">
      <w:pPr>
        <w:tabs>
          <w:tab w:val="left" w:pos="1418"/>
        </w:tabs>
        <w:spacing w:after="180"/>
        <w:ind w:firstLine="0"/>
        <w:rPr>
          <w:b/>
          <w:sz w:val="20"/>
          <w:lang w:val="it-IT"/>
        </w:rPr>
      </w:pPr>
      <w:r>
        <w:rPr>
          <w:b/>
          <w:sz w:val="20"/>
          <w:lang w:val="it-IT"/>
        </w:rPr>
        <w:t>RLAN</w:t>
      </w:r>
      <w:r>
        <w:rPr>
          <w:b/>
          <w:sz w:val="20"/>
          <w:lang w:val="it-IT"/>
        </w:rPr>
        <w:tab/>
        <w:t>Radio local area network</w:t>
      </w:r>
    </w:p>
    <w:p w14:paraId="45DEB08B" w14:textId="02A43B83" w:rsidR="00E81757" w:rsidRDefault="00E81757" w:rsidP="00E81757">
      <w:pPr>
        <w:tabs>
          <w:tab w:val="left" w:pos="1418"/>
        </w:tabs>
        <w:spacing w:after="180"/>
        <w:ind w:firstLine="0"/>
        <w:rPr>
          <w:b/>
          <w:sz w:val="20"/>
          <w:lang w:val="it-IT"/>
        </w:rPr>
      </w:pPr>
      <w:r>
        <w:rPr>
          <w:b/>
          <w:sz w:val="20"/>
          <w:lang w:val="it-IT"/>
        </w:rPr>
        <w:t>SRC</w:t>
      </w:r>
      <w:r>
        <w:rPr>
          <w:b/>
          <w:sz w:val="20"/>
          <w:lang w:val="it-IT"/>
        </w:rPr>
        <w:tab/>
        <w:t>Short-range communications</w:t>
      </w:r>
    </w:p>
    <w:p w14:paraId="3BF21CD6" w14:textId="12183610" w:rsidR="00E81757" w:rsidRDefault="00E81757" w:rsidP="00D750F6">
      <w:pPr>
        <w:tabs>
          <w:tab w:val="left" w:pos="1418"/>
        </w:tabs>
        <w:spacing w:after="180"/>
        <w:ind w:firstLine="0"/>
        <w:rPr>
          <w:sz w:val="20"/>
          <w:lang w:val="it-IT"/>
        </w:rPr>
      </w:pPr>
      <w:r>
        <w:rPr>
          <w:b/>
          <w:sz w:val="20"/>
          <w:lang w:val="it-IT"/>
        </w:rPr>
        <w:t>TPC</w:t>
      </w:r>
      <w:r>
        <w:rPr>
          <w:sz w:val="20"/>
          <w:lang w:val="it-IT"/>
        </w:rPr>
        <w:tab/>
      </w:r>
    </w:p>
    <w:p w14:paraId="32A6482F" w14:textId="77777777" w:rsidR="00F131B7" w:rsidRPr="00D750F6" w:rsidRDefault="00F131B7" w:rsidP="00D750F6">
      <w:pPr>
        <w:ind w:firstLine="0"/>
        <w:rPr>
          <w:lang w:val="it-IT"/>
        </w:rPr>
      </w:pPr>
    </w:p>
    <w:p w14:paraId="12B8D2E0" w14:textId="77777777" w:rsidR="00F131B7" w:rsidRDefault="00F131B7" w:rsidP="00F131B7"/>
    <w:p w14:paraId="0952D965" w14:textId="77777777" w:rsidR="00D750F6" w:rsidRDefault="00D750F6" w:rsidP="00F131B7"/>
    <w:p w14:paraId="12E2863F" w14:textId="77777777" w:rsidR="00D750F6" w:rsidRDefault="00D750F6" w:rsidP="00F131B7"/>
    <w:p w14:paraId="279E0156" w14:textId="77777777" w:rsidR="00D750F6" w:rsidRDefault="00D750F6" w:rsidP="00F131B7"/>
    <w:p w14:paraId="5F2C0624" w14:textId="77777777" w:rsidR="00D750F6" w:rsidRDefault="00D750F6" w:rsidP="00F131B7"/>
    <w:p w14:paraId="102F93A8" w14:textId="77777777" w:rsidR="00D750F6" w:rsidRDefault="00D750F6" w:rsidP="00F131B7"/>
    <w:p w14:paraId="13059A97" w14:textId="35A429CC" w:rsidR="00055254" w:rsidRDefault="00055254" w:rsidP="000D2CB8">
      <w:pPr>
        <w:pStyle w:val="Heading1"/>
        <w:numPr>
          <w:ilvl w:val="0"/>
          <w:numId w:val="3"/>
        </w:numPr>
      </w:pPr>
      <w:bookmarkStart w:id="71" w:name="_Toc190098395"/>
      <w:bookmarkStart w:id="72" w:name="_Toc191368486"/>
      <w:r w:rsidRPr="001B7207">
        <w:lastRenderedPageBreak/>
        <w:t>Introduction</w:t>
      </w:r>
      <w:r w:rsidRPr="00903913">
        <w:t xml:space="preserve"> &amp; </w:t>
      </w:r>
      <w:r w:rsidRPr="003173B2">
        <w:t>Scope</w:t>
      </w:r>
      <w:r w:rsidRPr="00903913">
        <w:t xml:space="preserve"> of the Study</w:t>
      </w:r>
      <w:bookmarkEnd w:id="71"/>
      <w:bookmarkEnd w:id="72"/>
    </w:p>
    <w:p w14:paraId="59084EF2" w14:textId="06B34472" w:rsidR="00055254" w:rsidRPr="00903913" w:rsidRDefault="00055254" w:rsidP="00F131B7">
      <w:pPr>
        <w:spacing w:before="100" w:beforeAutospacing="1" w:after="100" w:afterAutospacing="1"/>
        <w:ind w:firstLine="357"/>
        <w:rPr>
          <w:rFonts w:eastAsia="Times New Roman" w:cs="Times New Roman"/>
        </w:rPr>
      </w:pPr>
      <w:r w:rsidRPr="00903913">
        <w:rPr>
          <w:rFonts w:eastAsia="Times New Roman" w:cs="Times New Roman"/>
        </w:rPr>
        <w:t>Millimeter-wave (</w:t>
      </w:r>
      <w:proofErr w:type="spellStart"/>
      <w:r w:rsidRPr="00903913">
        <w:rPr>
          <w:rFonts w:eastAsia="Times New Roman" w:cs="Times New Roman"/>
        </w:rPr>
        <w:t>mmWave</w:t>
      </w:r>
      <w:proofErr w:type="spellEnd"/>
      <w:r w:rsidRPr="00903913">
        <w:rPr>
          <w:rFonts w:eastAsia="Times New Roman" w:cs="Times New Roman"/>
        </w:rPr>
        <w:t xml:space="preserve">) communication plays a crucial role in shaping the future of wireless connectivity, particularly within </w:t>
      </w:r>
      <w:r w:rsidR="00447157">
        <w:rPr>
          <w:rFonts w:eastAsia="Times New Roman" w:cs="Times New Roman"/>
        </w:rPr>
        <w:t>local area</w:t>
      </w:r>
      <w:r w:rsidR="008161C4">
        <w:rPr>
          <w:rFonts w:eastAsia="Times New Roman" w:cs="Times New Roman"/>
        </w:rPr>
        <w:t xml:space="preserve">, </w:t>
      </w:r>
      <w:r w:rsidRPr="00903913">
        <w:rPr>
          <w:rFonts w:eastAsia="Times New Roman" w:cs="Times New Roman"/>
        </w:rPr>
        <w:t xml:space="preserve">5G networks and beyond. The </w:t>
      </w:r>
      <w:proofErr w:type="spellStart"/>
      <w:r w:rsidRPr="00903913">
        <w:rPr>
          <w:rFonts w:eastAsia="Times New Roman" w:cs="Times New Roman"/>
        </w:rPr>
        <w:t>mmWave</w:t>
      </w:r>
      <w:proofErr w:type="spellEnd"/>
      <w:r w:rsidRPr="00903913">
        <w:rPr>
          <w:rFonts w:eastAsia="Times New Roman" w:cs="Times New Roman"/>
        </w:rPr>
        <w:t xml:space="preserve"> spectrum offers exceptional data transmission rates, making it ideal for applications such as enhanced mobile broadband (</w:t>
      </w:r>
      <w:proofErr w:type="spellStart"/>
      <w:r w:rsidRPr="00903913">
        <w:rPr>
          <w:rFonts w:eastAsia="Times New Roman" w:cs="Times New Roman"/>
        </w:rPr>
        <w:t>eMBB</w:t>
      </w:r>
      <w:proofErr w:type="spellEnd"/>
      <w:r w:rsidRPr="00903913">
        <w:rPr>
          <w:rFonts w:eastAsia="Times New Roman" w:cs="Times New Roman"/>
        </w:rPr>
        <w:t xml:space="preserve">), fixed wireless access (FWA), and short-range communications (SRC). This report delves into the regulatory landscape governing </w:t>
      </w:r>
      <w:proofErr w:type="spellStart"/>
      <w:r w:rsidRPr="00903913">
        <w:rPr>
          <w:rFonts w:eastAsia="Times New Roman" w:cs="Times New Roman"/>
        </w:rPr>
        <w:t>mmWave</w:t>
      </w:r>
      <w:proofErr w:type="spellEnd"/>
      <w:r w:rsidRPr="00903913">
        <w:rPr>
          <w:rFonts w:eastAsia="Times New Roman" w:cs="Times New Roman"/>
        </w:rPr>
        <w:t xml:space="preserve"> usage in the European Union (EU), covering both licensed and unlicensed bands, while also exploring deployment scenarios for short-range communication in various EU countries.</w:t>
      </w:r>
    </w:p>
    <w:p w14:paraId="2EC98DAE" w14:textId="2F0F528E" w:rsidR="00055254" w:rsidRDefault="00055254" w:rsidP="00F131B7">
      <w:pPr>
        <w:spacing w:before="100" w:beforeAutospacing="1" w:after="100" w:afterAutospacing="1"/>
        <w:ind w:firstLine="357"/>
        <w:rPr>
          <w:rFonts w:eastAsia="Times New Roman" w:cs="Times New Roman"/>
        </w:rPr>
      </w:pPr>
      <w:r w:rsidRPr="00903913">
        <w:rPr>
          <w:rFonts w:eastAsia="Times New Roman" w:cs="Times New Roman"/>
        </w:rPr>
        <w:t xml:space="preserve">Regulations governing </w:t>
      </w:r>
      <w:proofErr w:type="spellStart"/>
      <w:r w:rsidRPr="00903913">
        <w:rPr>
          <w:rFonts w:eastAsia="Times New Roman" w:cs="Times New Roman"/>
        </w:rPr>
        <w:t>mmWave</w:t>
      </w:r>
      <w:proofErr w:type="spellEnd"/>
      <w:r w:rsidRPr="00903913">
        <w:rPr>
          <w:rFonts w:eastAsia="Times New Roman" w:cs="Times New Roman"/>
        </w:rPr>
        <w:t xml:space="preserve"> spectrum within the EU are primarily shaped by the European Electronic Communications Code (EECC) Directive (EU) 2018/1972, alongside policies set forth by the European Conference of Postal and Telecommunications Administrations (CEPT), the European Telecommunications Standards Institute (ETSI), and national regulatory authorities (NRAs) of each EU member state.</w:t>
      </w:r>
    </w:p>
    <w:p w14:paraId="50DFE558" w14:textId="79DEEDD2" w:rsidR="003173B2" w:rsidRDefault="00AC342E" w:rsidP="00F131B7">
      <w:pPr>
        <w:spacing w:before="100" w:beforeAutospacing="1" w:after="100" w:afterAutospacing="1"/>
        <w:ind w:firstLine="357"/>
        <w:rPr>
          <w:rFonts w:eastAsia="Times New Roman" w:cs="Times New Roman"/>
        </w:rPr>
      </w:pPr>
      <w:r>
        <w:rPr>
          <w:rFonts w:eastAsia="Times New Roman" w:cs="Times New Roman"/>
        </w:rPr>
        <w:t xml:space="preserve">The European process of standardization and regulation for radiocommunication devices and systems is described in </w:t>
      </w:r>
      <w:r>
        <w:rPr>
          <w:rFonts w:eastAsia="Times New Roman" w:cs="Times New Roman"/>
        </w:rPr>
        <w:fldChar w:fldCharType="begin"/>
      </w:r>
      <w:r>
        <w:rPr>
          <w:rFonts w:eastAsia="Times New Roman" w:cs="Times New Roman"/>
        </w:rPr>
        <w:instrText xml:space="preserve"> REF _Ref191270850 \r \h </w:instrText>
      </w:r>
      <w:r>
        <w:rPr>
          <w:rFonts w:eastAsia="Times New Roman" w:cs="Times New Roman"/>
        </w:rPr>
      </w:r>
      <w:r>
        <w:rPr>
          <w:rFonts w:eastAsia="Times New Roman" w:cs="Times New Roman"/>
        </w:rPr>
        <w:fldChar w:fldCharType="separate"/>
      </w:r>
      <w:r>
        <w:rPr>
          <w:rFonts w:eastAsia="Times New Roman" w:cs="Times New Roman"/>
        </w:rPr>
        <w:t>[5]</w:t>
      </w:r>
      <w:r>
        <w:rPr>
          <w:rFonts w:eastAsia="Times New Roman" w:cs="Times New Roman"/>
        </w:rPr>
        <w:fldChar w:fldCharType="end"/>
      </w:r>
      <w:r>
        <w:rPr>
          <w:rFonts w:eastAsia="Times New Roman" w:cs="Times New Roman"/>
        </w:rPr>
        <w:t xml:space="preserve">. </w:t>
      </w:r>
      <w:r w:rsidR="0061320E">
        <w:rPr>
          <w:rFonts w:eastAsia="Times New Roman" w:cs="Times New Roman"/>
        </w:rPr>
        <w:t xml:space="preserve">ETSI and CEPT are related in the sense that ETSI ERM prepares a </w:t>
      </w:r>
      <w:r>
        <w:rPr>
          <w:rFonts w:eastAsia="Times New Roman" w:cs="Times New Roman"/>
        </w:rPr>
        <w:t>system reference</w:t>
      </w:r>
      <w:r w:rsidR="0061320E">
        <w:rPr>
          <w:rFonts w:eastAsia="Times New Roman" w:cs="Times New Roman"/>
        </w:rPr>
        <w:t xml:space="preserve"> document (</w:t>
      </w:r>
      <w:proofErr w:type="spellStart"/>
      <w:r w:rsidR="0061320E">
        <w:rPr>
          <w:rFonts w:eastAsia="Times New Roman" w:cs="Times New Roman"/>
        </w:rPr>
        <w:t>SRDoc</w:t>
      </w:r>
      <w:proofErr w:type="spellEnd"/>
      <w:r w:rsidR="0061320E">
        <w:rPr>
          <w:rFonts w:eastAsia="Times New Roman" w:cs="Times New Roman"/>
        </w:rPr>
        <w:t>)</w:t>
      </w:r>
      <w:r>
        <w:rPr>
          <w:rFonts w:eastAsia="Times New Roman" w:cs="Times New Roman"/>
        </w:rPr>
        <w:t xml:space="preserve"> that is given as an input to CEPT/ECC that processes it, gives feedback to ETSI if needed, with an intention to publishing either a Spectrum regulation or a Report </w:t>
      </w:r>
      <w:r>
        <w:rPr>
          <w:rFonts w:eastAsia="Times New Roman" w:cs="Times New Roman"/>
        </w:rPr>
        <w:fldChar w:fldCharType="begin"/>
      </w:r>
      <w:r>
        <w:rPr>
          <w:rFonts w:eastAsia="Times New Roman" w:cs="Times New Roman"/>
        </w:rPr>
        <w:instrText xml:space="preserve"> REF _Ref191270850 \r \h </w:instrText>
      </w:r>
      <w:r>
        <w:rPr>
          <w:rFonts w:eastAsia="Times New Roman" w:cs="Times New Roman"/>
        </w:rPr>
      </w:r>
      <w:r>
        <w:rPr>
          <w:rFonts w:eastAsia="Times New Roman" w:cs="Times New Roman"/>
        </w:rPr>
        <w:fldChar w:fldCharType="separate"/>
      </w:r>
      <w:r>
        <w:rPr>
          <w:rFonts w:eastAsia="Times New Roman" w:cs="Times New Roman"/>
        </w:rPr>
        <w:t>[5]</w:t>
      </w:r>
      <w:r>
        <w:rPr>
          <w:rFonts w:eastAsia="Times New Roman" w:cs="Times New Roman"/>
        </w:rPr>
        <w:fldChar w:fldCharType="end"/>
      </w:r>
      <w:r>
        <w:rPr>
          <w:rFonts w:eastAsia="Times New Roman" w:cs="Times New Roman"/>
        </w:rPr>
        <w:t xml:space="preserve">. </w:t>
      </w:r>
      <w:r w:rsidR="00D3037B">
        <w:rPr>
          <w:rFonts w:eastAsia="Times New Roman" w:cs="Times New Roman"/>
        </w:rPr>
        <w:t xml:space="preserve">EU </w:t>
      </w:r>
      <w:r w:rsidR="008D5616">
        <w:rPr>
          <w:rFonts w:eastAsia="Times New Roman" w:cs="Times New Roman"/>
        </w:rPr>
        <w:t>gives mandate to ETSI and CEPT and they provide reports and standards to EU.</w:t>
      </w:r>
    </w:p>
    <w:p w14:paraId="2B051404" w14:textId="77777777" w:rsidR="003173B2" w:rsidRPr="00903913" w:rsidRDefault="003173B2" w:rsidP="001B7207">
      <w:pPr>
        <w:pStyle w:val="Heading1"/>
      </w:pPr>
      <w:bookmarkStart w:id="73" w:name="_Toc190098396"/>
      <w:bookmarkStart w:id="74" w:name="_Toc191368487"/>
      <w:r w:rsidRPr="001B7207">
        <w:t>Regulatory</w:t>
      </w:r>
      <w:r w:rsidRPr="00903913">
        <w:t xml:space="preserve"> Framework for Unlicensed </w:t>
      </w:r>
      <w:proofErr w:type="spellStart"/>
      <w:r w:rsidRPr="00903913">
        <w:t>mmWave</w:t>
      </w:r>
      <w:proofErr w:type="spellEnd"/>
      <w:r w:rsidRPr="00903913">
        <w:t xml:space="preserve"> Bands</w:t>
      </w:r>
      <w:bookmarkEnd w:id="73"/>
      <w:r>
        <w:t xml:space="preserve"> in EU</w:t>
      </w:r>
      <w:bookmarkEnd w:id="74"/>
    </w:p>
    <w:p w14:paraId="401FDC9F" w14:textId="50B27D7A" w:rsidR="00CE37B2" w:rsidRPr="00CE37B2" w:rsidRDefault="00CE37B2" w:rsidP="00372000">
      <w:bookmarkStart w:id="75" w:name="_Toc190098397"/>
      <w:r w:rsidRPr="00CE37B2">
        <w:t xml:space="preserve">Without requiring individual license, unlicensed </w:t>
      </w:r>
      <w:proofErr w:type="spellStart"/>
      <w:r w:rsidRPr="00CE37B2">
        <w:t>mmWave</w:t>
      </w:r>
      <w:proofErr w:type="spellEnd"/>
      <w:r w:rsidRPr="00CE37B2">
        <w:t xml:space="preserve"> bands give flexibility for innovation and development in wireless technologies. CEPT and national authorities manage the governance of these EU bands. Important controlling factors include:</w:t>
      </w:r>
      <w:bookmarkEnd w:id="75"/>
    </w:p>
    <w:p w14:paraId="6CFBCA73" w14:textId="2C584789" w:rsidR="00CE37B2" w:rsidRPr="00CE37B2" w:rsidRDefault="00CE37B2" w:rsidP="000D2CB8">
      <w:pPr>
        <w:pStyle w:val="ListParagraph"/>
        <w:numPr>
          <w:ilvl w:val="0"/>
          <w:numId w:val="7"/>
        </w:numPr>
      </w:pPr>
      <w:bookmarkStart w:id="76" w:name="_Toc190098398"/>
      <w:r w:rsidRPr="00CE37B2">
        <w:t xml:space="preserve">The main </w:t>
      </w:r>
      <w:proofErr w:type="spellStart"/>
      <w:r w:rsidRPr="00CE37B2">
        <w:t>mmWave</w:t>
      </w:r>
      <w:proofErr w:type="spellEnd"/>
      <w:r w:rsidRPr="00CE37B2">
        <w:t xml:space="preserve"> bands for unlicensed use span the 57–66 GHz range (V-band), harmonized across the EU under CEPT ECC Decision (ECC/DEC</w:t>
      </w:r>
      <w:proofErr w:type="gramStart"/>
      <w:r w:rsidRPr="00CE37B2">
        <w:t>/(</w:t>
      </w:r>
      <w:proofErr w:type="gramEnd"/>
      <w:r w:rsidRPr="00CE37B2">
        <w:t>09)01)</w:t>
      </w:r>
      <w:r w:rsidR="00C4268E">
        <w:t xml:space="preserve"> </w:t>
      </w:r>
      <w:r w:rsidR="00C4268E">
        <w:fldChar w:fldCharType="begin"/>
      </w:r>
      <w:r w:rsidR="00C4268E">
        <w:instrText xml:space="preserve"> REF _Ref190157104 \r \h </w:instrText>
      </w:r>
      <w:r w:rsidR="00C4268E">
        <w:fldChar w:fldCharType="separate"/>
      </w:r>
      <w:r w:rsidR="00C4268E">
        <w:t>[1]</w:t>
      </w:r>
      <w:r w:rsidR="00C4268E">
        <w:fldChar w:fldCharType="end"/>
      </w:r>
      <w:r w:rsidRPr="00CE37B2">
        <w:t xml:space="preserve">. High-speed short-range wireless communications including </w:t>
      </w:r>
      <w:proofErr w:type="spellStart"/>
      <w:r w:rsidRPr="00CE37B2">
        <w:t>WiGig</w:t>
      </w:r>
      <w:proofErr w:type="spellEnd"/>
      <w:r w:rsidRPr="00CE37B2">
        <w:t xml:space="preserve"> (IEEE 802.11ad/</w:t>
      </w:r>
      <w:proofErr w:type="spellStart"/>
      <w:r w:rsidRPr="00CE37B2">
        <w:t>ay</w:t>
      </w:r>
      <w:proofErr w:type="spellEnd"/>
      <w:r w:rsidRPr="00CE37B2">
        <w:t>) make extensive use of the 60 GHz band</w:t>
      </w:r>
      <w:r w:rsidR="00C4268E">
        <w:t xml:space="preserve"> </w:t>
      </w:r>
      <w:r w:rsidR="00C4268E">
        <w:fldChar w:fldCharType="begin"/>
      </w:r>
      <w:r w:rsidR="00C4268E">
        <w:instrText xml:space="preserve"> REF _Ref190157200 \r \h </w:instrText>
      </w:r>
      <w:r w:rsidR="00C4268E">
        <w:fldChar w:fldCharType="separate"/>
      </w:r>
      <w:r w:rsidR="00C4268E">
        <w:t>[2]</w:t>
      </w:r>
      <w:r w:rsidR="00C4268E">
        <w:fldChar w:fldCharType="end"/>
      </w:r>
      <w:r w:rsidRPr="00CE37B2">
        <w:t>.</w:t>
      </w:r>
      <w:bookmarkEnd w:id="76"/>
    </w:p>
    <w:p w14:paraId="1B3CB4F5" w14:textId="4C45AB9F" w:rsidR="00CE37B2" w:rsidRPr="00CE37B2" w:rsidRDefault="00CE37B2" w:rsidP="000D2CB8">
      <w:pPr>
        <w:pStyle w:val="ListParagraph"/>
        <w:numPr>
          <w:ilvl w:val="0"/>
          <w:numId w:val="7"/>
        </w:numPr>
      </w:pPr>
      <w:bookmarkStart w:id="77" w:name="_Toc190098399"/>
      <w:r w:rsidRPr="00CE37B2">
        <w:t>Power transmission limits are applied to reduce interference. Permissible power levels are specified in the ETSI EN 305 550-2 standard</w:t>
      </w:r>
      <w:r w:rsidR="00C4268E">
        <w:t xml:space="preserve"> </w:t>
      </w:r>
      <w:r w:rsidR="00C4268E">
        <w:fldChar w:fldCharType="begin"/>
      </w:r>
      <w:r w:rsidR="00C4268E">
        <w:instrText xml:space="preserve"> REF _Ref190157251 \r \h </w:instrText>
      </w:r>
      <w:r w:rsidR="00C4268E">
        <w:fldChar w:fldCharType="separate"/>
      </w:r>
      <w:r w:rsidR="00C4268E">
        <w:t>[3]</w:t>
      </w:r>
      <w:r w:rsidR="00C4268E">
        <w:fldChar w:fldCharType="end"/>
      </w:r>
      <w:r w:rsidRPr="00CE37B2">
        <w:t xml:space="preserve">, allowing </w:t>
      </w:r>
      <w:proofErr w:type="gramStart"/>
      <w:r w:rsidRPr="00CE37B2">
        <w:t>in particular cases</w:t>
      </w:r>
      <w:proofErr w:type="gramEnd"/>
      <w:r w:rsidRPr="00CE37B2">
        <w:t xml:space="preserve"> up to 40 dBm EIRP.</w:t>
      </w:r>
      <w:bookmarkEnd w:id="77"/>
    </w:p>
    <w:p w14:paraId="5244EBE1" w14:textId="77777777" w:rsidR="00CE37B2" w:rsidRPr="00CE37B2" w:rsidRDefault="00CE37B2" w:rsidP="000D2CB8">
      <w:pPr>
        <w:pStyle w:val="ListParagraph"/>
        <w:numPr>
          <w:ilvl w:val="0"/>
          <w:numId w:val="7"/>
        </w:numPr>
      </w:pPr>
      <w:bookmarkStart w:id="78" w:name="_Toc190098400"/>
      <w:r w:rsidRPr="00CE37B2">
        <w:t>Some EU members use adaptive spectrum allocation to maximize use while minimizing possible interference.</w:t>
      </w:r>
      <w:bookmarkEnd w:id="78"/>
    </w:p>
    <w:p w14:paraId="4A5AAC3B" w14:textId="0671DB3B" w:rsidR="00CE37B2" w:rsidRPr="00372000" w:rsidRDefault="00CE37B2" w:rsidP="000D2CB8">
      <w:pPr>
        <w:pStyle w:val="ListParagraph"/>
        <w:numPr>
          <w:ilvl w:val="0"/>
          <w:numId w:val="7"/>
        </w:numPr>
        <w:rPr>
          <w:smallCaps/>
        </w:rPr>
      </w:pPr>
      <w:bookmarkStart w:id="79" w:name="_Toc190098401"/>
      <w:r w:rsidRPr="00372000">
        <w:t>The Radio Equipment Directive (RED) (2014/53/EU) requires that devices running within these ranges follow fundamental safety, interoperability, and electromagnetic compatibility criteria</w:t>
      </w:r>
      <w:r w:rsidR="003E1281">
        <w:t xml:space="preserve"> </w:t>
      </w:r>
      <w:r w:rsidR="003E1281">
        <w:fldChar w:fldCharType="begin"/>
      </w:r>
      <w:r w:rsidR="003E1281">
        <w:instrText xml:space="preserve"> REF _Ref190157332 \r \h </w:instrText>
      </w:r>
      <w:r w:rsidR="003E1281">
        <w:fldChar w:fldCharType="separate"/>
      </w:r>
      <w:r w:rsidR="003E1281">
        <w:t>[4]</w:t>
      </w:r>
      <w:r w:rsidR="003E1281">
        <w:fldChar w:fldCharType="end"/>
      </w:r>
      <w:r w:rsidRPr="00372000">
        <w:t>.</w:t>
      </w:r>
      <w:bookmarkEnd w:id="79"/>
    </w:p>
    <w:p w14:paraId="17DEF2A2" w14:textId="0D66184C" w:rsidR="00055254" w:rsidRPr="00903913" w:rsidRDefault="00CE37B2" w:rsidP="001B7207">
      <w:pPr>
        <w:pStyle w:val="Heading1"/>
      </w:pPr>
      <w:bookmarkStart w:id="80" w:name="_Toc190098402"/>
      <w:bookmarkStart w:id="81" w:name="_Toc191368488"/>
      <w:r w:rsidRPr="00CE37B2">
        <w:t xml:space="preserve">Unlicensed </w:t>
      </w:r>
      <w:proofErr w:type="spellStart"/>
      <w:r w:rsidRPr="003173B2">
        <w:t>mmWave</w:t>
      </w:r>
      <w:proofErr w:type="spellEnd"/>
      <w:r w:rsidRPr="00CE37B2">
        <w:t xml:space="preserve"> Guidelines Throughout </w:t>
      </w:r>
      <w:bookmarkEnd w:id="80"/>
      <w:r w:rsidR="003E1281">
        <w:t>EU</w:t>
      </w:r>
      <w:bookmarkEnd w:id="81"/>
    </w:p>
    <w:p w14:paraId="004C25A9" w14:textId="77777777" w:rsidR="00BD64D8" w:rsidRPr="00BD64D8" w:rsidRDefault="00BD64D8" w:rsidP="00BD64D8">
      <w:pPr>
        <w:spacing w:before="100" w:beforeAutospacing="1" w:after="100" w:afterAutospacing="1"/>
        <w:ind w:left="360" w:firstLine="0"/>
        <w:rPr>
          <w:rFonts w:eastAsia="Times New Roman" w:cs="Times New Roman"/>
        </w:rPr>
      </w:pPr>
      <w:r w:rsidRPr="00BD64D8">
        <w:rPr>
          <w:rFonts w:eastAsia="Times New Roman" w:cs="Times New Roman"/>
        </w:rPr>
        <w:t xml:space="preserve">While CEPT promotes regulatory harmonization, each EU country may set specific rules on power limits, use conditions, and certification criteria for unlicensed </w:t>
      </w:r>
      <w:proofErr w:type="spellStart"/>
      <w:r w:rsidRPr="00BD64D8">
        <w:rPr>
          <w:rFonts w:eastAsia="Times New Roman" w:cs="Times New Roman"/>
        </w:rPr>
        <w:t>mmWave</w:t>
      </w:r>
      <w:proofErr w:type="spellEnd"/>
      <w:r w:rsidRPr="00BD64D8">
        <w:rPr>
          <w:rFonts w:eastAsia="Times New Roman" w:cs="Times New Roman"/>
        </w:rPr>
        <w:t xml:space="preserve"> bands. Here is a synopsis of the rules among the 27 EU members:</w:t>
      </w:r>
    </w:p>
    <w:p w14:paraId="29478B58"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lastRenderedPageBreak/>
        <w:t>Austria:</w:t>
      </w:r>
      <w:r w:rsidRPr="00BD64D8">
        <w:rPr>
          <w:rFonts w:eastAsia="Times New Roman" w:cs="Times New Roman"/>
        </w:rPr>
        <w:t xml:space="preserve"> RTR supervises 60 GHz band compliance with ECC/DEC</w:t>
      </w:r>
      <w:proofErr w:type="gramStart"/>
      <w:r w:rsidRPr="00BD64D8">
        <w:rPr>
          <w:rFonts w:eastAsia="Times New Roman" w:cs="Times New Roman"/>
        </w:rPr>
        <w:t>/(</w:t>
      </w:r>
      <w:proofErr w:type="gramEnd"/>
      <w:r w:rsidRPr="00BD64D8">
        <w:rPr>
          <w:rFonts w:eastAsia="Times New Roman" w:cs="Times New Roman"/>
        </w:rPr>
        <w:t>09).</w:t>
      </w:r>
    </w:p>
    <w:p w14:paraId="3EFB8953"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Belgium:</w:t>
      </w:r>
      <w:r w:rsidRPr="00BD64D8">
        <w:rPr>
          <w:rFonts w:eastAsia="Times New Roman" w:cs="Times New Roman"/>
        </w:rPr>
        <w:t xml:space="preserve"> BIPT lets unlicensed access within the 57–66 GHz spectrum under controlled power limits.</w:t>
      </w:r>
    </w:p>
    <w:p w14:paraId="12B0D9E3"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Bulgaria:</w:t>
      </w:r>
      <w:r w:rsidRPr="00BD64D8">
        <w:rPr>
          <w:rFonts w:eastAsia="Times New Roman" w:cs="Times New Roman"/>
        </w:rPr>
        <w:t xml:space="preserve"> CRC guarantees follow-through to CEPT recommendations for unlicensed bands.</w:t>
      </w:r>
    </w:p>
    <w:p w14:paraId="11D54386"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Croatia:</w:t>
      </w:r>
      <w:r w:rsidRPr="00BD64D8">
        <w:rPr>
          <w:rFonts w:eastAsia="Times New Roman" w:cs="Times New Roman"/>
        </w:rPr>
        <w:t xml:space="preserve"> HAKOM controls short-range </w:t>
      </w:r>
      <w:proofErr w:type="spellStart"/>
      <w:r w:rsidRPr="00BD64D8">
        <w:rPr>
          <w:rFonts w:eastAsia="Times New Roman" w:cs="Times New Roman"/>
        </w:rPr>
        <w:t>mmWave</w:t>
      </w:r>
      <w:proofErr w:type="spellEnd"/>
      <w:r w:rsidRPr="00BD64D8">
        <w:rPr>
          <w:rFonts w:eastAsia="Times New Roman" w:cs="Times New Roman"/>
        </w:rPr>
        <w:t xml:space="preserve"> consumption.</w:t>
      </w:r>
    </w:p>
    <w:p w14:paraId="43A2728E"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Cyprus:</w:t>
      </w:r>
      <w:r w:rsidRPr="00BD64D8">
        <w:rPr>
          <w:rFonts w:eastAsia="Times New Roman" w:cs="Times New Roman"/>
        </w:rPr>
        <w:t xml:space="preserve"> OCECPR applies spectrum rules covering the EU.</w:t>
      </w:r>
    </w:p>
    <w:p w14:paraId="20B6A866"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The Czech Republic:</w:t>
      </w:r>
      <w:r w:rsidRPr="00BD64D8">
        <w:rPr>
          <w:rFonts w:eastAsia="Times New Roman" w:cs="Times New Roman"/>
        </w:rPr>
        <w:t xml:space="preserve"> CTU </w:t>
      </w:r>
      <w:proofErr w:type="spellStart"/>
      <w:r w:rsidRPr="00BD64D8">
        <w:rPr>
          <w:rFonts w:eastAsia="Times New Roman" w:cs="Times New Roman"/>
        </w:rPr>
        <w:t>adherues</w:t>
      </w:r>
      <w:proofErr w:type="spellEnd"/>
      <w:r w:rsidRPr="00BD64D8">
        <w:rPr>
          <w:rFonts w:eastAsia="Times New Roman" w:cs="Times New Roman"/>
        </w:rPr>
        <w:t xml:space="preserve"> to CEPT </w:t>
      </w:r>
      <w:proofErr w:type="spellStart"/>
      <w:r w:rsidRPr="00BD64D8">
        <w:rPr>
          <w:rFonts w:eastAsia="Times New Roman" w:cs="Times New Roman"/>
        </w:rPr>
        <w:t>mmWave</w:t>
      </w:r>
      <w:proofErr w:type="spellEnd"/>
      <w:r w:rsidRPr="00BD64D8">
        <w:rPr>
          <w:rFonts w:eastAsia="Times New Roman" w:cs="Times New Roman"/>
        </w:rPr>
        <w:t xml:space="preserve"> spectrum recommendations.</w:t>
      </w:r>
    </w:p>
    <w:p w14:paraId="7E257B91"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Denmark:</w:t>
      </w:r>
      <w:r w:rsidRPr="00BD64D8">
        <w:rPr>
          <w:rFonts w:eastAsia="Times New Roman" w:cs="Times New Roman"/>
        </w:rPr>
        <w:t xml:space="preserve"> </w:t>
      </w:r>
      <w:proofErr w:type="spellStart"/>
      <w:r w:rsidRPr="00BD64D8">
        <w:rPr>
          <w:rFonts w:eastAsia="Times New Roman" w:cs="Times New Roman"/>
        </w:rPr>
        <w:t>Energistyrelsen</w:t>
      </w:r>
      <w:proofErr w:type="spellEnd"/>
      <w:r w:rsidRPr="00BD64D8">
        <w:rPr>
          <w:rFonts w:eastAsia="Times New Roman" w:cs="Times New Roman"/>
        </w:rPr>
        <w:t xml:space="preserve"> oversees unlicensed band national spectrum policies.</w:t>
      </w:r>
    </w:p>
    <w:p w14:paraId="175A744E"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Estonia:</w:t>
      </w:r>
      <w:r w:rsidRPr="00BD64D8">
        <w:rPr>
          <w:rFonts w:eastAsia="Times New Roman" w:cs="Times New Roman"/>
        </w:rPr>
        <w:t xml:space="preserve"> The Technical Regulatory Authority conforms rules to CEPT.</w:t>
      </w:r>
    </w:p>
    <w:p w14:paraId="3E0F2975"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Finland:</w:t>
      </w:r>
      <w:r w:rsidRPr="00BD64D8">
        <w:rPr>
          <w:rFonts w:eastAsia="Times New Roman" w:cs="Times New Roman"/>
        </w:rPr>
        <w:t xml:space="preserve"> </w:t>
      </w:r>
      <w:proofErr w:type="spellStart"/>
      <w:r w:rsidRPr="00BD64D8">
        <w:rPr>
          <w:rFonts w:eastAsia="Times New Roman" w:cs="Times New Roman"/>
        </w:rPr>
        <w:t>Traficom</w:t>
      </w:r>
      <w:proofErr w:type="spellEnd"/>
      <w:r w:rsidRPr="00BD64D8">
        <w:rPr>
          <w:rFonts w:eastAsia="Times New Roman" w:cs="Times New Roman"/>
        </w:rPr>
        <w:t xml:space="preserve"> lets unapproved use of the 57-66 GHz spectrum.</w:t>
      </w:r>
    </w:p>
    <w:p w14:paraId="7688F2EB"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France:</w:t>
      </w:r>
      <w:r w:rsidRPr="00BD64D8">
        <w:rPr>
          <w:rFonts w:eastAsia="Times New Roman" w:cs="Times New Roman"/>
        </w:rPr>
        <w:t xml:space="preserve"> ARCEP follows CEPT recommendations in controlling </w:t>
      </w:r>
      <w:proofErr w:type="spellStart"/>
      <w:r w:rsidRPr="00BD64D8">
        <w:rPr>
          <w:rFonts w:eastAsia="Times New Roman" w:cs="Times New Roman"/>
        </w:rPr>
        <w:t>mmWave</w:t>
      </w:r>
      <w:proofErr w:type="spellEnd"/>
      <w:r w:rsidRPr="00BD64D8">
        <w:rPr>
          <w:rFonts w:eastAsia="Times New Roman" w:cs="Times New Roman"/>
        </w:rPr>
        <w:t xml:space="preserve"> unlicensed bands.</w:t>
      </w:r>
    </w:p>
    <w:p w14:paraId="5CC4A460"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Germany:</w:t>
      </w:r>
      <w:r w:rsidRPr="00BD64D8">
        <w:rPr>
          <w:rFonts w:eastAsia="Times New Roman" w:cs="Times New Roman"/>
        </w:rPr>
        <w:t xml:space="preserve"> </w:t>
      </w:r>
      <w:proofErr w:type="spellStart"/>
      <w:r w:rsidRPr="00BD64D8">
        <w:rPr>
          <w:rFonts w:eastAsia="Times New Roman" w:cs="Times New Roman"/>
        </w:rPr>
        <w:t>BNetzA</w:t>
      </w:r>
      <w:proofErr w:type="spellEnd"/>
      <w:r w:rsidRPr="00BD64D8">
        <w:rPr>
          <w:rFonts w:eastAsia="Times New Roman" w:cs="Times New Roman"/>
        </w:rPr>
        <w:t xml:space="preserve"> applies ECC/DEC</w:t>
      </w:r>
      <w:proofErr w:type="gramStart"/>
      <w:r w:rsidRPr="00BD64D8">
        <w:rPr>
          <w:rFonts w:eastAsia="Times New Roman" w:cs="Times New Roman"/>
        </w:rPr>
        <w:t>/(</w:t>
      </w:r>
      <w:proofErr w:type="gramEnd"/>
      <w:r w:rsidRPr="00BD64D8">
        <w:rPr>
          <w:rFonts w:eastAsia="Times New Roman" w:cs="Times New Roman"/>
        </w:rPr>
        <w:t>09)01 under further operational restrictions.</w:t>
      </w:r>
    </w:p>
    <w:p w14:paraId="5E5C8EED"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Greece:</w:t>
      </w:r>
      <w:r w:rsidRPr="00BD64D8">
        <w:rPr>
          <w:rFonts w:eastAsia="Times New Roman" w:cs="Times New Roman"/>
        </w:rPr>
        <w:t xml:space="preserve"> EETT allows only restricted unlicensed </w:t>
      </w:r>
      <w:proofErr w:type="spellStart"/>
      <w:r w:rsidRPr="00BD64D8">
        <w:rPr>
          <w:rFonts w:eastAsia="Times New Roman" w:cs="Times New Roman"/>
        </w:rPr>
        <w:t>mmWave</w:t>
      </w:r>
      <w:proofErr w:type="spellEnd"/>
      <w:r w:rsidRPr="00BD64D8">
        <w:rPr>
          <w:rFonts w:eastAsia="Times New Roman" w:cs="Times New Roman"/>
        </w:rPr>
        <w:t xml:space="preserve"> use.</w:t>
      </w:r>
    </w:p>
    <w:p w14:paraId="0AB565F6"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Hungary:</w:t>
      </w:r>
      <w:r w:rsidRPr="00BD64D8">
        <w:rPr>
          <w:rFonts w:eastAsia="Times New Roman" w:cs="Times New Roman"/>
        </w:rPr>
        <w:t xml:space="preserve"> NMHH controls mm Wave spectrum access under CEPT rules.</w:t>
      </w:r>
    </w:p>
    <w:p w14:paraId="079A00FD"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Ireland:</w:t>
      </w:r>
      <w:r w:rsidRPr="00BD64D8">
        <w:rPr>
          <w:rFonts w:eastAsia="Times New Roman" w:cs="Times New Roman"/>
        </w:rPr>
        <w:t xml:space="preserve"> </w:t>
      </w:r>
      <w:proofErr w:type="spellStart"/>
      <w:r w:rsidRPr="00BD64D8">
        <w:rPr>
          <w:rFonts w:eastAsia="Times New Roman" w:cs="Times New Roman"/>
        </w:rPr>
        <w:t>ComReg</w:t>
      </w:r>
      <w:proofErr w:type="spellEnd"/>
      <w:r w:rsidRPr="00BD64D8">
        <w:rPr>
          <w:rFonts w:eastAsia="Times New Roman" w:cs="Times New Roman"/>
        </w:rPr>
        <w:t xml:space="preserve"> grants unlicensed uses access to the 60 GHz band.</w:t>
      </w:r>
    </w:p>
    <w:p w14:paraId="2915B7E1"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Italy:</w:t>
      </w:r>
      <w:r w:rsidRPr="00BD64D8">
        <w:rPr>
          <w:rFonts w:eastAsia="Times New Roman" w:cs="Times New Roman"/>
        </w:rPr>
        <w:t xml:space="preserve"> AGCOM uses CEPT guidance on unlicensed </w:t>
      </w:r>
      <w:proofErr w:type="spellStart"/>
      <w:r w:rsidRPr="00BD64D8">
        <w:rPr>
          <w:rFonts w:eastAsia="Times New Roman" w:cs="Times New Roman"/>
        </w:rPr>
        <w:t>mmWave</w:t>
      </w:r>
      <w:proofErr w:type="spellEnd"/>
      <w:r w:rsidRPr="00BD64D8">
        <w:rPr>
          <w:rFonts w:eastAsia="Times New Roman" w:cs="Times New Roman"/>
        </w:rPr>
        <w:t xml:space="preserve"> spectrum.</w:t>
      </w:r>
    </w:p>
    <w:p w14:paraId="37C11B2E"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Latvia:</w:t>
      </w:r>
      <w:r w:rsidRPr="00BD64D8">
        <w:rPr>
          <w:rFonts w:eastAsia="Times New Roman" w:cs="Times New Roman"/>
        </w:rPr>
        <w:t xml:space="preserve"> SPRK follows CEPT-aligned unlicensed </w:t>
      </w:r>
      <w:proofErr w:type="spellStart"/>
      <w:r w:rsidRPr="00BD64D8">
        <w:rPr>
          <w:rFonts w:eastAsia="Times New Roman" w:cs="Times New Roman"/>
        </w:rPr>
        <w:t>mmWave</w:t>
      </w:r>
      <w:proofErr w:type="spellEnd"/>
      <w:r w:rsidRPr="00BD64D8">
        <w:rPr>
          <w:rFonts w:eastAsia="Times New Roman" w:cs="Times New Roman"/>
        </w:rPr>
        <w:t xml:space="preserve"> policies.</w:t>
      </w:r>
    </w:p>
    <w:p w14:paraId="5AC1BAE5"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Lithuania:</w:t>
      </w:r>
      <w:r w:rsidRPr="00BD64D8">
        <w:rPr>
          <w:rFonts w:eastAsia="Times New Roman" w:cs="Times New Roman"/>
        </w:rPr>
        <w:t xml:space="preserve"> RRT develops national guidelines for unapproved </w:t>
      </w:r>
      <w:proofErr w:type="spellStart"/>
      <w:r w:rsidRPr="00BD64D8">
        <w:rPr>
          <w:rFonts w:eastAsia="Times New Roman" w:cs="Times New Roman"/>
        </w:rPr>
        <w:t>mmWave</w:t>
      </w:r>
      <w:proofErr w:type="spellEnd"/>
      <w:r w:rsidRPr="00BD64D8">
        <w:rPr>
          <w:rFonts w:eastAsia="Times New Roman" w:cs="Times New Roman"/>
        </w:rPr>
        <w:t xml:space="preserve"> spectrum.</w:t>
      </w:r>
    </w:p>
    <w:p w14:paraId="0C94CFD6"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Luxembourg:</w:t>
      </w:r>
      <w:r w:rsidRPr="00BD64D8">
        <w:rPr>
          <w:rFonts w:eastAsia="Times New Roman" w:cs="Times New Roman"/>
        </w:rPr>
        <w:t xml:space="preserve"> ILR permits unapproved 60 GHz band access.</w:t>
      </w:r>
    </w:p>
    <w:p w14:paraId="4FDE3B64"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Malta:</w:t>
      </w:r>
      <w:r w:rsidRPr="00BD64D8">
        <w:rPr>
          <w:rFonts w:eastAsia="Times New Roman" w:cs="Times New Roman"/>
        </w:rPr>
        <w:t xml:space="preserve"> MCA guarantees spectrum policies compliant to EU for unlicensed bands.</w:t>
      </w:r>
    </w:p>
    <w:p w14:paraId="64FBF1E4"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Netherlands:</w:t>
      </w:r>
      <w:r w:rsidRPr="00BD64D8">
        <w:rPr>
          <w:rFonts w:eastAsia="Times New Roman" w:cs="Times New Roman"/>
        </w:rPr>
        <w:t xml:space="preserve"> </w:t>
      </w:r>
      <w:proofErr w:type="spellStart"/>
      <w:r w:rsidRPr="00BD64D8">
        <w:rPr>
          <w:rFonts w:eastAsia="Times New Roman" w:cs="Times New Roman"/>
        </w:rPr>
        <w:t>Agentschap</w:t>
      </w:r>
      <w:proofErr w:type="spellEnd"/>
      <w:r w:rsidRPr="00BD64D8">
        <w:rPr>
          <w:rFonts w:eastAsia="Times New Roman" w:cs="Times New Roman"/>
        </w:rPr>
        <w:t xml:space="preserve"> Telecom controls mm Wave spectrum access.</w:t>
      </w:r>
    </w:p>
    <w:p w14:paraId="11F18361"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Poland:</w:t>
      </w:r>
      <w:r w:rsidRPr="00BD64D8">
        <w:rPr>
          <w:rFonts w:eastAsia="Times New Roman" w:cs="Times New Roman"/>
        </w:rPr>
        <w:t xml:space="preserve"> UKE follows spectrum policy aligned with CEPT.</w:t>
      </w:r>
    </w:p>
    <w:p w14:paraId="218816EE"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Portugal:</w:t>
      </w:r>
      <w:r w:rsidRPr="00BD64D8">
        <w:rPr>
          <w:rFonts w:eastAsia="Times New Roman" w:cs="Times New Roman"/>
        </w:rPr>
        <w:t xml:space="preserve"> ANACOM lets unapproved use of the 57–66 GHz spectrum.</w:t>
      </w:r>
    </w:p>
    <w:p w14:paraId="60A4CC7A"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Romania:</w:t>
      </w:r>
      <w:r w:rsidRPr="00BD64D8">
        <w:rPr>
          <w:rFonts w:eastAsia="Times New Roman" w:cs="Times New Roman"/>
        </w:rPr>
        <w:t xml:space="preserve"> AN </w:t>
      </w:r>
      <w:proofErr w:type="spellStart"/>
      <w:r w:rsidRPr="00BD64D8">
        <w:rPr>
          <w:rFonts w:eastAsia="Times New Roman" w:cs="Times New Roman"/>
        </w:rPr>
        <w:t>COMply</w:t>
      </w:r>
      <w:proofErr w:type="spellEnd"/>
      <w:r w:rsidRPr="00BD64D8">
        <w:rPr>
          <w:rFonts w:eastAsia="Times New Roman" w:cs="Times New Roman"/>
        </w:rPr>
        <w:t xml:space="preserve"> with ECC/DEC</w:t>
      </w:r>
      <w:proofErr w:type="gramStart"/>
      <w:r w:rsidRPr="00BD64D8">
        <w:rPr>
          <w:rFonts w:eastAsia="Times New Roman" w:cs="Times New Roman"/>
        </w:rPr>
        <w:t>/(</w:t>
      </w:r>
      <w:proofErr w:type="gramEnd"/>
      <w:r w:rsidRPr="00BD64D8">
        <w:rPr>
          <w:rFonts w:eastAsia="Times New Roman" w:cs="Times New Roman"/>
        </w:rPr>
        <w:t>09)01.</w:t>
      </w:r>
    </w:p>
    <w:p w14:paraId="57821921"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Slovakia:</w:t>
      </w:r>
      <w:r w:rsidRPr="00BD64D8">
        <w:rPr>
          <w:rFonts w:eastAsia="Times New Roman" w:cs="Times New Roman"/>
        </w:rPr>
        <w:t xml:space="preserve"> RU </w:t>
      </w:r>
      <w:proofErr w:type="spellStart"/>
      <w:r w:rsidRPr="00BD64D8">
        <w:rPr>
          <w:rFonts w:eastAsia="Times New Roman" w:cs="Times New Roman"/>
        </w:rPr>
        <w:t>adhers</w:t>
      </w:r>
      <w:proofErr w:type="spellEnd"/>
      <w:r w:rsidRPr="00BD64D8">
        <w:rPr>
          <w:rFonts w:eastAsia="Times New Roman" w:cs="Times New Roman"/>
        </w:rPr>
        <w:t xml:space="preserve"> to CEPT </w:t>
      </w:r>
      <w:proofErr w:type="spellStart"/>
      <w:r w:rsidRPr="00BD64D8">
        <w:rPr>
          <w:rFonts w:eastAsia="Times New Roman" w:cs="Times New Roman"/>
        </w:rPr>
        <w:t>mmWave</w:t>
      </w:r>
      <w:proofErr w:type="spellEnd"/>
      <w:r w:rsidRPr="00BD64D8">
        <w:rPr>
          <w:rFonts w:eastAsia="Times New Roman" w:cs="Times New Roman"/>
        </w:rPr>
        <w:t xml:space="preserve"> guidelines.</w:t>
      </w:r>
    </w:p>
    <w:p w14:paraId="009051F7"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Slovenia:</w:t>
      </w:r>
      <w:r w:rsidRPr="00BD64D8">
        <w:rPr>
          <w:rFonts w:eastAsia="Times New Roman" w:cs="Times New Roman"/>
        </w:rPr>
        <w:t xml:space="preserve"> AKOS </w:t>
      </w:r>
      <w:proofErr w:type="spellStart"/>
      <w:r w:rsidRPr="00BD64D8">
        <w:rPr>
          <w:rFonts w:eastAsia="Times New Roman" w:cs="Times New Roman"/>
        </w:rPr>
        <w:t>controlsmmWave</w:t>
      </w:r>
      <w:proofErr w:type="spellEnd"/>
      <w:r w:rsidRPr="00BD64D8">
        <w:rPr>
          <w:rFonts w:eastAsia="Times New Roman" w:cs="Times New Roman"/>
        </w:rPr>
        <w:t xml:space="preserve"> spectrum policies.</w:t>
      </w:r>
    </w:p>
    <w:p w14:paraId="466E3954" w14:textId="77777777" w:rsidR="00BD64D8"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Spain:</w:t>
      </w:r>
      <w:r w:rsidRPr="00BD64D8">
        <w:rPr>
          <w:rFonts w:eastAsia="Times New Roman" w:cs="Times New Roman"/>
        </w:rPr>
        <w:t xml:space="preserve"> CNMC lines its spectrum rules with EU-wide guidelines.</w:t>
      </w:r>
    </w:p>
    <w:p w14:paraId="20A46813" w14:textId="6CCBCEE9" w:rsidR="00055254" w:rsidRPr="00BD64D8" w:rsidRDefault="00BD64D8" w:rsidP="000D2CB8">
      <w:pPr>
        <w:pStyle w:val="ListParagraph"/>
        <w:numPr>
          <w:ilvl w:val="0"/>
          <w:numId w:val="4"/>
        </w:numPr>
        <w:spacing w:after="0"/>
        <w:rPr>
          <w:rFonts w:eastAsia="Times New Roman" w:cs="Times New Roman"/>
        </w:rPr>
      </w:pPr>
      <w:r w:rsidRPr="00BD64D8">
        <w:rPr>
          <w:rFonts w:eastAsia="Times New Roman" w:cs="Times New Roman"/>
          <w:b/>
          <w:bCs/>
        </w:rPr>
        <w:t>Sweden:</w:t>
      </w:r>
      <w:r w:rsidRPr="00BD64D8">
        <w:rPr>
          <w:rFonts w:eastAsia="Times New Roman" w:cs="Times New Roman"/>
        </w:rPr>
        <w:t xml:space="preserve"> PTS lets unlicensed usage of the 60 GHz band.</w:t>
      </w:r>
    </w:p>
    <w:p w14:paraId="69198C06" w14:textId="77777777" w:rsidR="00B836CC" w:rsidRDefault="00B836CC" w:rsidP="00B836CC">
      <w:pPr>
        <w:pStyle w:val="Heading1"/>
        <w:numPr>
          <w:ilvl w:val="0"/>
          <w:numId w:val="0"/>
        </w:numPr>
        <w:ind w:left="1077" w:hanging="357"/>
      </w:pPr>
      <w:bookmarkStart w:id="82" w:name="_Toc190098403"/>
    </w:p>
    <w:p w14:paraId="5A027E81" w14:textId="1272489E" w:rsidR="003173B2" w:rsidRDefault="00B836CC" w:rsidP="001B7207">
      <w:pPr>
        <w:pStyle w:val="Heading1"/>
      </w:pPr>
      <w:bookmarkStart w:id="83" w:name="_Toc191368489"/>
      <w:proofErr w:type="spellStart"/>
      <w:r w:rsidRPr="001B7207">
        <w:t>UnLicensed</w:t>
      </w:r>
      <w:proofErr w:type="spellEnd"/>
      <w:r w:rsidRPr="00903913">
        <w:t xml:space="preserve"> </w:t>
      </w:r>
      <w:proofErr w:type="spellStart"/>
      <w:r w:rsidRPr="003173B2">
        <w:t>mmWave</w:t>
      </w:r>
      <w:proofErr w:type="spellEnd"/>
      <w:r w:rsidRPr="00903913">
        <w:t xml:space="preserve"> Band</w:t>
      </w:r>
      <w:r>
        <w:t xml:space="preserve"> @ 60GHz </w:t>
      </w:r>
      <w:r>
        <w:fldChar w:fldCharType="begin"/>
      </w:r>
      <w:r>
        <w:instrText xml:space="preserve"> REF _Ref190157973 \r \h </w:instrText>
      </w:r>
      <w:r>
        <w:fldChar w:fldCharType="separate"/>
      </w:r>
      <w:r>
        <w:t>[5]</w:t>
      </w:r>
      <w:bookmarkEnd w:id="83"/>
      <w:r>
        <w:fldChar w:fldCharType="end"/>
      </w:r>
    </w:p>
    <w:p w14:paraId="71178494" w14:textId="43897F6B" w:rsidR="003173B2" w:rsidRPr="003173B2" w:rsidRDefault="001B7207" w:rsidP="00043D89">
      <w:pPr>
        <w:pStyle w:val="Heading2"/>
      </w:pPr>
      <w:r>
        <w:t xml:space="preserve"> </w:t>
      </w:r>
      <w:bookmarkStart w:id="84" w:name="_Toc191368490"/>
      <w:r w:rsidRPr="001B7207">
        <w:t>TECHNICAL</w:t>
      </w:r>
      <w:r>
        <w:t xml:space="preserve"> PARAMETER RESTRICTIONS</w:t>
      </w:r>
      <w:bookmarkEnd w:id="84"/>
    </w:p>
    <w:p w14:paraId="6345B7D6" w14:textId="654D1A9A" w:rsidR="00B836CC" w:rsidRDefault="00B836CC" w:rsidP="00B836CC">
      <w:r>
        <w:t xml:space="preserve">In </w:t>
      </w:r>
      <w:r w:rsidRPr="00B836CC">
        <w:fldChar w:fldCharType="begin"/>
      </w:r>
      <w:r w:rsidRPr="00B836CC">
        <w:instrText xml:space="preserve"> REF _Ref190158372 \h  \* MERGEFORMAT </w:instrText>
      </w:r>
      <w:r w:rsidRPr="00B836CC">
        <w:fldChar w:fldCharType="separate"/>
      </w:r>
      <w:r w:rsidRPr="00B836CC">
        <w:t xml:space="preserve">Table </w:t>
      </w:r>
      <w:r w:rsidRPr="00B836CC">
        <w:rPr>
          <w:noProof/>
        </w:rPr>
        <w:t>1</w:t>
      </w:r>
      <w:r w:rsidRPr="00B836CC">
        <w:fldChar w:fldCharType="end"/>
      </w:r>
      <w:r>
        <w:t xml:space="preserve">, the technical parameter restriction for 60 GHz unlicensed bandwidth is presented for wideband data transmission devices. </w:t>
      </w:r>
    </w:p>
    <w:p w14:paraId="3F1F7178" w14:textId="39EEB80E" w:rsidR="00B836CC" w:rsidRPr="00B836CC" w:rsidRDefault="00B836CC" w:rsidP="00B836CC">
      <w:pPr>
        <w:pStyle w:val="Caption"/>
        <w:jc w:val="center"/>
        <w:rPr>
          <w:b/>
          <w:bCs/>
        </w:rPr>
      </w:pPr>
      <w:bookmarkStart w:id="85" w:name="_Ref190158372"/>
      <w:bookmarkStart w:id="86" w:name="_Ref190158362"/>
      <w:r w:rsidRPr="00B836CC">
        <w:rPr>
          <w:b/>
          <w:bCs/>
        </w:rPr>
        <w:t xml:space="preserve">Table </w:t>
      </w:r>
      <w:r w:rsidRPr="00B836CC">
        <w:rPr>
          <w:b/>
          <w:bCs/>
        </w:rPr>
        <w:fldChar w:fldCharType="begin"/>
      </w:r>
      <w:r w:rsidRPr="00B836CC">
        <w:rPr>
          <w:b/>
          <w:bCs/>
        </w:rPr>
        <w:instrText xml:space="preserve"> SEQ Table \* ARABIC </w:instrText>
      </w:r>
      <w:r w:rsidRPr="00B836CC">
        <w:rPr>
          <w:b/>
          <w:bCs/>
        </w:rPr>
        <w:fldChar w:fldCharType="separate"/>
      </w:r>
      <w:r w:rsidRPr="00B836CC">
        <w:rPr>
          <w:b/>
          <w:bCs/>
          <w:noProof/>
        </w:rPr>
        <w:t>1</w:t>
      </w:r>
      <w:r w:rsidRPr="00B836CC">
        <w:rPr>
          <w:b/>
          <w:bCs/>
        </w:rPr>
        <w:fldChar w:fldCharType="end"/>
      </w:r>
      <w:bookmarkEnd w:id="85"/>
      <w:r w:rsidRPr="00B836CC">
        <w:rPr>
          <w:b/>
          <w:bCs/>
        </w:rPr>
        <w:t>: Technical Parameter Restrictions</w:t>
      </w:r>
      <w:bookmarkEnd w:id="86"/>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69"/>
        <w:gridCol w:w="6662"/>
      </w:tblGrid>
      <w:tr w:rsidR="00B836CC" w:rsidRPr="00071419" w14:paraId="1F84E582" w14:textId="77777777" w:rsidTr="00043D89">
        <w:trPr>
          <w:trHeight w:val="518"/>
          <w:tblHeader/>
        </w:trPr>
        <w:tc>
          <w:tcPr>
            <w:tcW w:w="2969" w:type="dxa"/>
            <w:shd w:val="clear" w:color="auto" w:fill="C00000"/>
            <w:vAlign w:val="center"/>
          </w:tcPr>
          <w:p w14:paraId="5FFF9AF4" w14:textId="77777777" w:rsidR="00B836CC" w:rsidRPr="00B836CC" w:rsidRDefault="00B836CC" w:rsidP="00B836CC">
            <w:pPr>
              <w:spacing w:before="100" w:beforeAutospacing="1" w:after="100" w:afterAutospacing="1"/>
              <w:ind w:left="142"/>
              <w:jc w:val="center"/>
              <w:rPr>
                <w:rFonts w:cs="Arial"/>
                <w:b/>
                <w:color w:val="FFFFFF" w:themeColor="background1"/>
                <w:sz w:val="20"/>
                <w:lang w:eastAsia="es-ES"/>
              </w:rPr>
            </w:pPr>
            <w:r w:rsidRPr="00B836CC">
              <w:rPr>
                <w:rFonts w:cs="Arial"/>
                <w:b/>
                <w:color w:val="FFFFFF" w:themeColor="background1"/>
                <w:sz w:val="20"/>
                <w:lang w:eastAsia="es-ES"/>
              </w:rPr>
              <w:t>Parameter</w:t>
            </w:r>
          </w:p>
        </w:tc>
        <w:tc>
          <w:tcPr>
            <w:tcW w:w="6662" w:type="dxa"/>
            <w:shd w:val="clear" w:color="auto" w:fill="C00000"/>
            <w:vAlign w:val="center"/>
          </w:tcPr>
          <w:p w14:paraId="4E3D44CA" w14:textId="77777777" w:rsidR="00B836CC" w:rsidRPr="00B836CC" w:rsidRDefault="00B836CC" w:rsidP="00B836CC">
            <w:pPr>
              <w:spacing w:before="100" w:beforeAutospacing="1" w:after="100" w:afterAutospacing="1"/>
              <w:ind w:left="142"/>
              <w:jc w:val="center"/>
              <w:rPr>
                <w:rFonts w:cs="Arial"/>
                <w:b/>
                <w:color w:val="FFFFFF" w:themeColor="background1"/>
                <w:sz w:val="20"/>
                <w:lang w:eastAsia="es-ES"/>
              </w:rPr>
            </w:pPr>
            <w:r w:rsidRPr="00B836CC">
              <w:rPr>
                <w:rFonts w:cs="Arial"/>
                <w:b/>
                <w:color w:val="FFFFFF" w:themeColor="background1"/>
                <w:sz w:val="20"/>
                <w:lang w:eastAsia="es-ES"/>
              </w:rPr>
              <w:t>Value</w:t>
            </w:r>
          </w:p>
        </w:tc>
      </w:tr>
      <w:tr w:rsidR="00B836CC" w:rsidRPr="00071419" w14:paraId="23CE1E80" w14:textId="77777777" w:rsidTr="00043D89">
        <w:trPr>
          <w:trHeight w:val="300"/>
        </w:trPr>
        <w:tc>
          <w:tcPr>
            <w:tcW w:w="2969" w:type="dxa"/>
            <w:shd w:val="clear" w:color="auto" w:fill="FFFFFF" w:themeFill="background1"/>
          </w:tcPr>
          <w:p w14:paraId="21815531"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Frequency Range</w:t>
            </w:r>
          </w:p>
        </w:tc>
        <w:tc>
          <w:tcPr>
            <w:tcW w:w="6662" w:type="dxa"/>
            <w:shd w:val="clear" w:color="auto" w:fill="FFFFFF" w:themeFill="background1"/>
          </w:tcPr>
          <w:p w14:paraId="21A721F3"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57 - 71 GHz</w:t>
            </w:r>
          </w:p>
        </w:tc>
      </w:tr>
      <w:tr w:rsidR="00B836CC" w:rsidRPr="00071419" w14:paraId="5D02FCD1" w14:textId="77777777" w:rsidTr="00BA2F39">
        <w:trPr>
          <w:trHeight w:val="300"/>
        </w:trPr>
        <w:tc>
          <w:tcPr>
            <w:tcW w:w="2969" w:type="dxa"/>
            <w:shd w:val="clear" w:color="auto" w:fill="auto"/>
          </w:tcPr>
          <w:p w14:paraId="4C153382"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Are there DFS requirements?</w:t>
            </w:r>
          </w:p>
        </w:tc>
        <w:tc>
          <w:tcPr>
            <w:tcW w:w="6662" w:type="dxa"/>
            <w:shd w:val="clear" w:color="auto" w:fill="FFFFFF" w:themeFill="background1"/>
          </w:tcPr>
          <w:p w14:paraId="32F78701" w14:textId="667611CF"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Not specifically regulated. Techniques to access spectrum and mitigate interference that provide at least equivalent performance to the techniques described in harmonized standards adopted under Directive 2014/53/EU must be used.</w:t>
            </w:r>
          </w:p>
        </w:tc>
      </w:tr>
      <w:tr w:rsidR="00B836CC" w:rsidRPr="00071419" w14:paraId="2CAD42AB" w14:textId="77777777" w:rsidTr="00043D89">
        <w:trPr>
          <w:trHeight w:val="300"/>
        </w:trPr>
        <w:tc>
          <w:tcPr>
            <w:tcW w:w="2969" w:type="dxa"/>
            <w:shd w:val="clear" w:color="auto" w:fill="FFFFFF" w:themeFill="background1"/>
          </w:tcPr>
          <w:p w14:paraId="3A9CECAF"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Are there TPC requirements?</w:t>
            </w:r>
          </w:p>
        </w:tc>
        <w:tc>
          <w:tcPr>
            <w:tcW w:w="6662" w:type="dxa"/>
            <w:shd w:val="clear" w:color="auto" w:fill="FFFFFF" w:themeFill="background1"/>
          </w:tcPr>
          <w:p w14:paraId="3A0D561C" w14:textId="467771DB"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 xml:space="preserve">Not specifically regulated. Techniques to access spectrum and mitigate interference that provide at least equivalent performance to the techniques </w:t>
            </w:r>
            <w:r w:rsidRPr="00071419">
              <w:rPr>
                <w:rFonts w:cs="Arial"/>
                <w:color w:val="444444"/>
                <w:sz w:val="20"/>
                <w:lang w:eastAsia="es-ES"/>
              </w:rPr>
              <w:lastRenderedPageBreak/>
              <w:t>described in harmonized standards adopted under Directive 2014/53/EU must be used.</w:t>
            </w:r>
          </w:p>
        </w:tc>
      </w:tr>
      <w:tr w:rsidR="00B836CC" w:rsidRPr="00071419" w14:paraId="0E820347" w14:textId="77777777" w:rsidTr="00043D89">
        <w:trPr>
          <w:trHeight w:val="300"/>
        </w:trPr>
        <w:tc>
          <w:tcPr>
            <w:tcW w:w="2969" w:type="dxa"/>
            <w:shd w:val="clear" w:color="auto" w:fill="FFFFFF" w:themeFill="background1"/>
          </w:tcPr>
          <w:p w14:paraId="78A451C9"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lastRenderedPageBreak/>
              <w:t>BW Restrictions</w:t>
            </w:r>
          </w:p>
        </w:tc>
        <w:tc>
          <w:tcPr>
            <w:tcW w:w="6662" w:type="dxa"/>
            <w:shd w:val="clear" w:color="auto" w:fill="FFFFFF" w:themeFill="background1"/>
          </w:tcPr>
          <w:p w14:paraId="56081106" w14:textId="6A0ACD34"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Techniques to access spectrum and mitigate interference that provide at least equivalent performance to the techniques described in harmonized standards adopted under Directive 2014/53/EU must be used.</w:t>
            </w:r>
          </w:p>
        </w:tc>
      </w:tr>
      <w:tr w:rsidR="00B836CC" w:rsidRPr="00071419" w14:paraId="11C32B9C" w14:textId="77777777" w:rsidTr="00043D89">
        <w:trPr>
          <w:trHeight w:val="300"/>
        </w:trPr>
        <w:tc>
          <w:tcPr>
            <w:tcW w:w="2969" w:type="dxa"/>
            <w:shd w:val="clear" w:color="auto" w:fill="FFFFFF" w:themeFill="background1"/>
          </w:tcPr>
          <w:p w14:paraId="0A8AD0EC"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Channelization</w:t>
            </w:r>
          </w:p>
        </w:tc>
        <w:tc>
          <w:tcPr>
            <w:tcW w:w="6662" w:type="dxa"/>
            <w:shd w:val="clear" w:color="auto" w:fill="FFFFFF" w:themeFill="background1"/>
          </w:tcPr>
          <w:p w14:paraId="12BDADD9"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Not regulated</w:t>
            </w:r>
          </w:p>
        </w:tc>
      </w:tr>
      <w:tr w:rsidR="00B836CC" w:rsidRPr="00071419" w14:paraId="7BA82C20" w14:textId="77777777" w:rsidTr="00043D89">
        <w:trPr>
          <w:trHeight w:val="300"/>
        </w:trPr>
        <w:tc>
          <w:tcPr>
            <w:tcW w:w="2969" w:type="dxa"/>
            <w:shd w:val="clear" w:color="auto" w:fill="FFFFFF" w:themeFill="background1"/>
          </w:tcPr>
          <w:p w14:paraId="12414151"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Indoor/Outdoor</w:t>
            </w:r>
          </w:p>
        </w:tc>
        <w:tc>
          <w:tcPr>
            <w:tcW w:w="6662" w:type="dxa"/>
            <w:shd w:val="clear" w:color="auto" w:fill="FFFFFF" w:themeFill="background1"/>
          </w:tcPr>
          <w:p w14:paraId="26939B2D"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Indoor and Outdoor. Please, refer to the power restrictions section.</w:t>
            </w:r>
          </w:p>
          <w:p w14:paraId="07B4C912" w14:textId="77777777" w:rsidR="00B836CC" w:rsidRPr="00071419" w:rsidRDefault="00B836CC" w:rsidP="000D7088">
            <w:pPr>
              <w:spacing w:before="60" w:after="60"/>
              <w:ind w:left="142"/>
              <w:jc w:val="left"/>
              <w:rPr>
                <w:rFonts w:cs="Arial"/>
                <w:color w:val="444444"/>
                <w:sz w:val="20"/>
                <w:lang w:eastAsia="es-ES"/>
              </w:rPr>
            </w:pPr>
          </w:p>
          <w:p w14:paraId="3D926219"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Automotive: On 8 February 2019, the CEPT/ECC issued the “Explanatory paper related to RLAN equipment using the 5 GHz bands in vehicles, including the usage under the non-specific SRD regulation".</w:t>
            </w:r>
          </w:p>
          <w:p w14:paraId="33CA3984"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 xml:space="preserve">According to this document “RLAN use inside cars (passenger cars, lorries, buses) in the band 5150-5250 MHz is allowed at a maximum </w:t>
            </w:r>
            <w:proofErr w:type="spellStart"/>
            <w:r w:rsidRPr="00071419">
              <w:rPr>
                <w:rFonts w:cs="Arial"/>
                <w:color w:val="444444"/>
                <w:sz w:val="20"/>
                <w:lang w:eastAsia="es-ES"/>
              </w:rPr>
              <w:t>e.i.r.p</w:t>
            </w:r>
            <w:proofErr w:type="spellEnd"/>
            <w:r w:rsidRPr="00071419">
              <w:rPr>
                <w:rFonts w:cs="Arial"/>
                <w:color w:val="444444"/>
                <w:sz w:val="20"/>
                <w:lang w:eastAsia="es-ES"/>
              </w:rPr>
              <w:t xml:space="preserve">. of 25 </w:t>
            </w:r>
            <w:proofErr w:type="spellStart"/>
            <w:r w:rsidRPr="00071419">
              <w:rPr>
                <w:rFonts w:cs="Arial"/>
                <w:color w:val="444444"/>
                <w:sz w:val="20"/>
                <w:lang w:eastAsia="es-ES"/>
              </w:rPr>
              <w:t>mW</w:t>
            </w:r>
            <w:proofErr w:type="spellEnd"/>
            <w:r w:rsidRPr="00071419">
              <w:rPr>
                <w:rFonts w:cs="Arial"/>
                <w:color w:val="444444"/>
                <w:sz w:val="20"/>
                <w:lang w:eastAsia="es-ES"/>
              </w:rPr>
              <w:t xml:space="preserve"> as this power restriction results in at least an equivalent attenuation as foreseen for RLAN operation inside buildings and therefore the necessary attenuation to facilitate sharing is provided.”  This power restriction was first included in the Annex A of the ERC Recommendation (70-03) October 2018 edition.</w:t>
            </w:r>
          </w:p>
          <w:p w14:paraId="700D4E06" w14:textId="77777777" w:rsidR="00B836CC" w:rsidRPr="00071419" w:rsidRDefault="00B836CC" w:rsidP="000D7088">
            <w:pPr>
              <w:spacing w:before="60" w:after="60"/>
              <w:ind w:left="142"/>
              <w:jc w:val="left"/>
              <w:rPr>
                <w:rFonts w:cs="Arial"/>
                <w:color w:val="444444"/>
                <w:sz w:val="20"/>
                <w:lang w:eastAsia="es-ES"/>
              </w:rPr>
            </w:pPr>
          </w:p>
          <w:p w14:paraId="49772A8C"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Each CEPT member may decide about the adoption of this recommendation.</w:t>
            </w:r>
          </w:p>
        </w:tc>
      </w:tr>
      <w:tr w:rsidR="00B836CC" w:rsidRPr="00071419" w14:paraId="4528AC1B" w14:textId="77777777" w:rsidTr="00043D89">
        <w:trPr>
          <w:trHeight w:val="300"/>
        </w:trPr>
        <w:tc>
          <w:tcPr>
            <w:tcW w:w="2969" w:type="dxa"/>
            <w:shd w:val="clear" w:color="auto" w:fill="FFFFFF" w:themeFill="background1"/>
          </w:tcPr>
          <w:p w14:paraId="5AFC1F29"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Is spectrum license required?</w:t>
            </w:r>
          </w:p>
        </w:tc>
        <w:tc>
          <w:tcPr>
            <w:tcW w:w="6662" w:type="dxa"/>
            <w:shd w:val="clear" w:color="auto" w:fill="FFFFFF" w:themeFill="background1"/>
          </w:tcPr>
          <w:p w14:paraId="79D395D9"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No.</w:t>
            </w:r>
          </w:p>
        </w:tc>
      </w:tr>
      <w:tr w:rsidR="00B836CC" w:rsidRPr="00071419" w14:paraId="2B439120" w14:textId="77777777" w:rsidTr="00043D89">
        <w:trPr>
          <w:trHeight w:val="300"/>
        </w:trPr>
        <w:tc>
          <w:tcPr>
            <w:tcW w:w="2969" w:type="dxa"/>
            <w:shd w:val="clear" w:color="auto" w:fill="FFFFFF" w:themeFill="background1"/>
          </w:tcPr>
          <w:p w14:paraId="423FE233"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Power restrictions</w:t>
            </w:r>
          </w:p>
        </w:tc>
        <w:tc>
          <w:tcPr>
            <w:tcW w:w="6662" w:type="dxa"/>
            <w:shd w:val="clear" w:color="auto" w:fill="FFFFFF" w:themeFill="background1"/>
          </w:tcPr>
          <w:p w14:paraId="496572C2"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 xml:space="preserve">Effective Isotropic Radiated Power (E.I.R.P.) &lt;= 40 dBm and 23 dBm/MHz </w:t>
            </w:r>
            <w:proofErr w:type="spellStart"/>
            <w:r w:rsidRPr="00071419">
              <w:rPr>
                <w:rFonts w:cs="Arial"/>
                <w:color w:val="444444"/>
                <w:sz w:val="20"/>
                <w:lang w:eastAsia="es-ES"/>
              </w:rPr>
              <w:t>e.i.r.p</w:t>
            </w:r>
            <w:proofErr w:type="spellEnd"/>
            <w:r w:rsidRPr="00071419">
              <w:rPr>
                <w:rFonts w:cs="Arial"/>
                <w:color w:val="444444"/>
                <w:sz w:val="20"/>
                <w:lang w:eastAsia="es-ES"/>
              </w:rPr>
              <w:t>. density.</w:t>
            </w:r>
          </w:p>
          <w:p w14:paraId="53F05BA2"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Fixed outdoor installations are excluded.</w:t>
            </w:r>
          </w:p>
          <w:p w14:paraId="46F849EA" w14:textId="77777777" w:rsidR="00B836CC" w:rsidRPr="00071419" w:rsidRDefault="00B836CC" w:rsidP="000D7088">
            <w:pPr>
              <w:spacing w:before="60" w:after="60"/>
              <w:ind w:left="142"/>
              <w:jc w:val="left"/>
              <w:rPr>
                <w:rFonts w:cs="Arial"/>
                <w:color w:val="444444"/>
                <w:sz w:val="20"/>
                <w:lang w:eastAsia="es-ES"/>
              </w:rPr>
            </w:pPr>
          </w:p>
          <w:p w14:paraId="3E387DB6"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 xml:space="preserve">Effective Isotropic Radiated Power (E.I.R.P.) &lt;= 55 dBm, 38 dBm/MHz </w:t>
            </w:r>
            <w:proofErr w:type="spellStart"/>
            <w:r w:rsidRPr="00071419">
              <w:rPr>
                <w:rFonts w:cs="Arial"/>
                <w:color w:val="444444"/>
                <w:sz w:val="20"/>
                <w:lang w:eastAsia="es-ES"/>
              </w:rPr>
              <w:t>e.i.r.p</w:t>
            </w:r>
            <w:proofErr w:type="spellEnd"/>
            <w:r w:rsidRPr="00071419">
              <w:rPr>
                <w:rFonts w:cs="Arial"/>
                <w:color w:val="444444"/>
                <w:sz w:val="20"/>
                <w:lang w:eastAsia="es-ES"/>
              </w:rPr>
              <w:t xml:space="preserve">. density and a transmit antenna gain ≥ 30 </w:t>
            </w:r>
            <w:proofErr w:type="spellStart"/>
            <w:r w:rsidRPr="00071419">
              <w:rPr>
                <w:rFonts w:cs="Arial"/>
                <w:color w:val="444444"/>
                <w:sz w:val="20"/>
                <w:lang w:eastAsia="es-ES"/>
              </w:rPr>
              <w:t>dBi</w:t>
            </w:r>
            <w:proofErr w:type="spellEnd"/>
            <w:r w:rsidRPr="00071419">
              <w:rPr>
                <w:rFonts w:cs="Arial"/>
                <w:color w:val="444444"/>
                <w:sz w:val="20"/>
                <w:lang w:eastAsia="es-ES"/>
              </w:rPr>
              <w:t>.</w:t>
            </w:r>
          </w:p>
          <w:p w14:paraId="183B7195"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This set of usage conditions is only available to fixed outdoor installations.</w:t>
            </w:r>
          </w:p>
          <w:p w14:paraId="3B811907" w14:textId="77777777" w:rsidR="00B836CC" w:rsidRPr="00071419" w:rsidRDefault="00B836CC" w:rsidP="000D7088">
            <w:pPr>
              <w:spacing w:before="60" w:after="60"/>
              <w:ind w:left="142"/>
              <w:jc w:val="left"/>
              <w:rPr>
                <w:rFonts w:cs="Arial"/>
                <w:color w:val="444444"/>
                <w:sz w:val="20"/>
                <w:lang w:eastAsia="es-ES"/>
              </w:rPr>
            </w:pPr>
          </w:p>
          <w:p w14:paraId="62A9E859" w14:textId="77777777" w:rsidR="00B836CC" w:rsidRPr="00071419" w:rsidRDefault="00B836CC" w:rsidP="000D7088">
            <w:pPr>
              <w:spacing w:before="60" w:after="60"/>
              <w:ind w:left="142"/>
              <w:jc w:val="left"/>
              <w:rPr>
                <w:rFonts w:cs="Arial"/>
                <w:color w:val="444444"/>
                <w:sz w:val="20"/>
                <w:lang w:eastAsia="es-ES"/>
              </w:rPr>
            </w:pPr>
            <w:r w:rsidRPr="00071419">
              <w:rPr>
                <w:rFonts w:cs="Arial"/>
                <w:color w:val="444444"/>
                <w:sz w:val="20"/>
                <w:lang w:eastAsia="es-ES"/>
              </w:rPr>
              <w:t xml:space="preserve">Effective Isotropic Radiated Power (E.I.R.P.) &lt;= 40 </w:t>
            </w:r>
            <w:proofErr w:type="gramStart"/>
            <w:r w:rsidRPr="00071419">
              <w:rPr>
                <w:rFonts w:cs="Arial"/>
                <w:color w:val="444444"/>
                <w:sz w:val="20"/>
                <w:lang w:eastAsia="es-ES"/>
              </w:rPr>
              <w:t>dBm ,</w:t>
            </w:r>
            <w:proofErr w:type="gramEnd"/>
            <w:r w:rsidRPr="00071419">
              <w:rPr>
                <w:rFonts w:cs="Arial"/>
                <w:color w:val="444444"/>
                <w:sz w:val="20"/>
                <w:lang w:eastAsia="es-ES"/>
              </w:rPr>
              <w:t xml:space="preserve"> 23 dBm/MHz </w:t>
            </w:r>
            <w:proofErr w:type="spellStart"/>
            <w:r w:rsidRPr="00071419">
              <w:rPr>
                <w:rFonts w:cs="Arial"/>
                <w:color w:val="444444"/>
                <w:sz w:val="20"/>
                <w:lang w:eastAsia="es-ES"/>
              </w:rPr>
              <w:t>e.i.r.p</w:t>
            </w:r>
            <w:proofErr w:type="spellEnd"/>
            <w:r w:rsidRPr="00071419">
              <w:rPr>
                <w:rFonts w:cs="Arial"/>
                <w:color w:val="444444"/>
                <w:sz w:val="20"/>
                <w:lang w:eastAsia="es-ES"/>
              </w:rPr>
              <w:t>. density and maximum transmit power of 27 dBm at the antenna port or ports</w:t>
            </w:r>
          </w:p>
        </w:tc>
      </w:tr>
    </w:tbl>
    <w:p w14:paraId="6142CD60" w14:textId="77777777" w:rsidR="00B836CC" w:rsidRDefault="00B836CC" w:rsidP="00B836CC"/>
    <w:p w14:paraId="3257952A" w14:textId="77777777" w:rsidR="007D1019" w:rsidRDefault="007D1019" w:rsidP="00B836CC"/>
    <w:p w14:paraId="4494FDA5" w14:textId="20F10CF1" w:rsidR="007D1019" w:rsidRDefault="001B7207" w:rsidP="00FF299C">
      <w:pPr>
        <w:pStyle w:val="Heading2"/>
      </w:pPr>
      <w:bookmarkStart w:id="87" w:name="_Toc191368491"/>
      <w:r>
        <w:t>Additional Information</w:t>
      </w:r>
      <w:bookmarkEnd w:id="87"/>
      <w:r>
        <w:t xml:space="preserve"> </w:t>
      </w:r>
    </w:p>
    <w:p w14:paraId="28B41BD1" w14:textId="77777777" w:rsidR="007D1019" w:rsidRDefault="007D1019" w:rsidP="00B836CC"/>
    <w:p w14:paraId="7B572C75" w14:textId="2B629771" w:rsidR="007D1019" w:rsidRPr="007D1019" w:rsidRDefault="007D1019" w:rsidP="00B836CC">
      <w:r w:rsidRPr="007D1019">
        <w:t xml:space="preserve">In </w:t>
      </w:r>
      <w:r w:rsidRPr="007D1019">
        <w:fldChar w:fldCharType="begin"/>
      </w:r>
      <w:r w:rsidRPr="007D1019">
        <w:instrText xml:space="preserve"> REF _Ref190158721 \h  \* MERGEFORMAT </w:instrText>
      </w:r>
      <w:r w:rsidRPr="007D1019">
        <w:fldChar w:fldCharType="separate"/>
      </w:r>
      <w:r w:rsidRPr="007D1019">
        <w:t xml:space="preserve">Table </w:t>
      </w:r>
      <w:r w:rsidRPr="007D1019">
        <w:rPr>
          <w:noProof/>
        </w:rPr>
        <w:t>2</w:t>
      </w:r>
      <w:r w:rsidRPr="007D1019">
        <w:fldChar w:fldCharType="end"/>
      </w:r>
      <w:r>
        <w:t xml:space="preserve">, additional spectrum regulation for 60GHz band is given, whereas in </w:t>
      </w:r>
      <w:r w:rsidRPr="007D1019">
        <w:fldChar w:fldCharType="begin"/>
      </w:r>
      <w:r w:rsidRPr="007D1019">
        <w:instrText xml:space="preserve"> REF _Ref190158806 \h  \* MERGEFORMAT </w:instrText>
      </w:r>
      <w:r w:rsidRPr="007D1019">
        <w:fldChar w:fldCharType="separate"/>
      </w:r>
      <w:r w:rsidRPr="007D1019">
        <w:t xml:space="preserve">Table </w:t>
      </w:r>
      <w:r w:rsidRPr="007D1019">
        <w:rPr>
          <w:noProof/>
        </w:rPr>
        <w:t>3</w:t>
      </w:r>
      <w:r w:rsidRPr="007D1019">
        <w:fldChar w:fldCharType="end"/>
      </w:r>
      <w:r>
        <w:t xml:space="preserve"> an updated (end of 2024) list with EU regulations is presented.</w:t>
      </w:r>
    </w:p>
    <w:p w14:paraId="0F433077" w14:textId="385EBC4B" w:rsidR="007D1019" w:rsidRPr="00B836CC" w:rsidRDefault="007D1019" w:rsidP="007D1019">
      <w:pPr>
        <w:pStyle w:val="Caption"/>
        <w:jc w:val="center"/>
        <w:rPr>
          <w:b/>
          <w:bCs/>
        </w:rPr>
      </w:pPr>
      <w:bookmarkStart w:id="88" w:name="_Ref190158721"/>
      <w:r w:rsidRPr="00B836CC">
        <w:rPr>
          <w:b/>
          <w:bCs/>
        </w:rPr>
        <w:t xml:space="preserve">Table </w:t>
      </w:r>
      <w:r w:rsidRPr="00B836CC">
        <w:rPr>
          <w:b/>
          <w:bCs/>
        </w:rPr>
        <w:fldChar w:fldCharType="begin"/>
      </w:r>
      <w:r w:rsidRPr="00B836CC">
        <w:rPr>
          <w:b/>
          <w:bCs/>
        </w:rPr>
        <w:instrText xml:space="preserve"> SEQ Table \* ARABIC </w:instrText>
      </w:r>
      <w:r w:rsidRPr="00B836CC">
        <w:rPr>
          <w:b/>
          <w:bCs/>
        </w:rPr>
        <w:fldChar w:fldCharType="separate"/>
      </w:r>
      <w:r>
        <w:rPr>
          <w:b/>
          <w:bCs/>
          <w:noProof/>
        </w:rPr>
        <w:t>2</w:t>
      </w:r>
      <w:r w:rsidRPr="00B836CC">
        <w:rPr>
          <w:b/>
          <w:bCs/>
        </w:rPr>
        <w:fldChar w:fldCharType="end"/>
      </w:r>
      <w:bookmarkEnd w:id="88"/>
      <w:r w:rsidRPr="00B836CC">
        <w:rPr>
          <w:b/>
          <w:bCs/>
        </w:rPr>
        <w:t xml:space="preserve">: </w:t>
      </w:r>
      <w:r>
        <w:rPr>
          <w:b/>
          <w:bCs/>
        </w:rPr>
        <w:t>Additional information for 60GHz band.</w:t>
      </w: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00"/>
        <w:gridCol w:w="6990"/>
      </w:tblGrid>
      <w:tr w:rsidR="007D1019" w:rsidRPr="00071419" w14:paraId="6AC59F00" w14:textId="77777777" w:rsidTr="00043D89">
        <w:trPr>
          <w:trHeight w:val="300"/>
          <w:tblHeader/>
        </w:trPr>
        <w:tc>
          <w:tcPr>
            <w:tcW w:w="2500" w:type="dxa"/>
            <w:shd w:val="clear" w:color="auto" w:fill="C00000"/>
            <w:vAlign w:val="center"/>
          </w:tcPr>
          <w:p w14:paraId="22816DE4" w14:textId="77777777" w:rsidR="007D1019" w:rsidRPr="007D1019" w:rsidRDefault="007D1019" w:rsidP="007D1019">
            <w:pPr>
              <w:spacing w:before="100" w:beforeAutospacing="1" w:after="100" w:afterAutospacing="1"/>
              <w:ind w:left="142"/>
              <w:jc w:val="center"/>
              <w:rPr>
                <w:rFonts w:cs="Arial"/>
                <w:b/>
                <w:color w:val="FFFFFF" w:themeColor="background1"/>
                <w:sz w:val="20"/>
                <w:lang w:eastAsia="es-ES"/>
              </w:rPr>
            </w:pPr>
            <w:r w:rsidRPr="007D1019">
              <w:rPr>
                <w:rFonts w:cs="Arial"/>
                <w:b/>
                <w:color w:val="FFFFFF" w:themeColor="background1"/>
                <w:sz w:val="20"/>
                <w:lang w:eastAsia="es-ES"/>
              </w:rPr>
              <w:lastRenderedPageBreak/>
              <w:t>Frequency bands</w:t>
            </w:r>
          </w:p>
        </w:tc>
        <w:tc>
          <w:tcPr>
            <w:tcW w:w="6990" w:type="dxa"/>
            <w:shd w:val="clear" w:color="auto" w:fill="C00000"/>
            <w:vAlign w:val="center"/>
          </w:tcPr>
          <w:p w14:paraId="5A6188B0" w14:textId="77777777" w:rsidR="007D1019" w:rsidRPr="007D1019" w:rsidRDefault="007D1019" w:rsidP="007D1019">
            <w:pPr>
              <w:spacing w:before="100" w:beforeAutospacing="1" w:after="100" w:afterAutospacing="1"/>
              <w:ind w:left="142"/>
              <w:jc w:val="center"/>
              <w:rPr>
                <w:rFonts w:cs="Arial"/>
                <w:b/>
                <w:color w:val="FFFFFF" w:themeColor="background1"/>
                <w:sz w:val="20"/>
                <w:lang w:eastAsia="es-ES"/>
              </w:rPr>
            </w:pPr>
            <w:r w:rsidRPr="007D1019">
              <w:rPr>
                <w:rFonts w:cs="Arial"/>
                <w:b/>
                <w:color w:val="FFFFFF" w:themeColor="background1"/>
                <w:sz w:val="20"/>
                <w:lang w:eastAsia="es-ES"/>
              </w:rPr>
              <w:t>Spectrum regulation Information</w:t>
            </w:r>
          </w:p>
        </w:tc>
      </w:tr>
      <w:tr w:rsidR="007D1019" w:rsidRPr="00071419" w14:paraId="0D2BBC67" w14:textId="77777777" w:rsidTr="00043D89">
        <w:trPr>
          <w:trHeight w:val="300"/>
        </w:trPr>
        <w:tc>
          <w:tcPr>
            <w:tcW w:w="2500" w:type="dxa"/>
            <w:shd w:val="clear" w:color="auto" w:fill="FFFFFF" w:themeFill="background1"/>
          </w:tcPr>
          <w:p w14:paraId="3A71C5C0"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60 GHz</w:t>
            </w:r>
          </w:p>
        </w:tc>
        <w:tc>
          <w:tcPr>
            <w:tcW w:w="6990" w:type="dxa"/>
            <w:shd w:val="clear" w:color="auto" w:fill="FFFFFF" w:themeFill="background1"/>
          </w:tcPr>
          <w:p w14:paraId="39BC2F3E"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  Wideband Data Transmission Systems (57 – 71 GHz): Commission Decision of 9 November 2006 on harmonization of the radio spectrum for use by short-range devices and subsequent amendments. Latest consolidated version: Commission Implementing Decision (EU) 2022/180 of 8 February 2022 amending Decision 2006/771/EC as regards the update of harmonized technical conditions in the area of radio spectrum use for short-range devices.</w:t>
            </w:r>
          </w:p>
          <w:p w14:paraId="036D24DC"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 Sub-class 141, 142, 143 (as applicable): Wideband Data Transmission Systems (57 – 71 GHz)</w:t>
            </w:r>
          </w:p>
        </w:tc>
      </w:tr>
    </w:tbl>
    <w:p w14:paraId="11738EB2" w14:textId="77777777" w:rsidR="007D1019" w:rsidRDefault="007D1019" w:rsidP="007D1019">
      <w:pPr>
        <w:jc w:val="left"/>
        <w:rPr>
          <w:rFonts w:cs="Arial"/>
          <w:b/>
          <w:color w:val="595959" w:themeColor="text1" w:themeTint="A6"/>
          <w:sz w:val="20"/>
        </w:rPr>
      </w:pPr>
    </w:p>
    <w:p w14:paraId="432BAA50" w14:textId="0588C83B" w:rsidR="001B7207" w:rsidRDefault="001B7207" w:rsidP="00043D89">
      <w:pPr>
        <w:pStyle w:val="Heading2"/>
      </w:pPr>
      <w:bookmarkStart w:id="89" w:name="_Toc191368492"/>
      <w:r>
        <w:t>EU Regulations</w:t>
      </w:r>
      <w:bookmarkEnd w:id="89"/>
    </w:p>
    <w:p w14:paraId="1D9D786B" w14:textId="77777777" w:rsidR="001B7207" w:rsidRDefault="001B7207" w:rsidP="007D1019">
      <w:pPr>
        <w:jc w:val="left"/>
        <w:rPr>
          <w:rFonts w:cs="Arial"/>
          <w:b/>
          <w:color w:val="595959" w:themeColor="text1" w:themeTint="A6"/>
          <w:sz w:val="20"/>
        </w:rPr>
      </w:pPr>
    </w:p>
    <w:p w14:paraId="47C022C6" w14:textId="4D8CE9D3" w:rsidR="007D1019" w:rsidRPr="00071419" w:rsidRDefault="007D1019" w:rsidP="007D1019">
      <w:pPr>
        <w:pStyle w:val="Caption"/>
        <w:jc w:val="center"/>
        <w:rPr>
          <w:rFonts w:cs="Arial"/>
          <w:b/>
          <w:color w:val="595959" w:themeColor="text1" w:themeTint="A6"/>
          <w:sz w:val="20"/>
        </w:rPr>
      </w:pPr>
      <w:bookmarkStart w:id="90" w:name="_Ref190158806"/>
      <w:r w:rsidRPr="00B836CC">
        <w:rPr>
          <w:b/>
          <w:bCs/>
        </w:rPr>
        <w:t xml:space="preserve">Table </w:t>
      </w:r>
      <w:r w:rsidRPr="00B836CC">
        <w:rPr>
          <w:b/>
          <w:bCs/>
        </w:rPr>
        <w:fldChar w:fldCharType="begin"/>
      </w:r>
      <w:r w:rsidRPr="00B836CC">
        <w:rPr>
          <w:b/>
          <w:bCs/>
        </w:rPr>
        <w:instrText xml:space="preserve"> SEQ Table \* ARABIC </w:instrText>
      </w:r>
      <w:r w:rsidRPr="00B836CC">
        <w:rPr>
          <w:b/>
          <w:bCs/>
        </w:rPr>
        <w:fldChar w:fldCharType="separate"/>
      </w:r>
      <w:r>
        <w:rPr>
          <w:b/>
          <w:bCs/>
          <w:noProof/>
        </w:rPr>
        <w:t>3</w:t>
      </w:r>
      <w:r w:rsidRPr="00B836CC">
        <w:rPr>
          <w:b/>
          <w:bCs/>
        </w:rPr>
        <w:fldChar w:fldCharType="end"/>
      </w:r>
      <w:bookmarkEnd w:id="90"/>
      <w:r w:rsidRPr="00B836CC">
        <w:rPr>
          <w:b/>
          <w:bCs/>
        </w:rPr>
        <w:t xml:space="preserve">: </w:t>
      </w:r>
      <w:r>
        <w:rPr>
          <w:b/>
          <w:bCs/>
        </w:rPr>
        <w:t>EU Regulation</w:t>
      </w:r>
      <w:r w:rsidR="001B7207">
        <w:rPr>
          <w:b/>
          <w:bCs/>
        </w:rPr>
        <w:t>s</w:t>
      </w:r>
      <w:r>
        <w:rPr>
          <w:b/>
          <w:bCs/>
        </w:rPr>
        <w:t xml:space="preserve"> for 60GHz bands.</w:t>
      </w: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521"/>
        <w:gridCol w:w="2126"/>
        <w:gridCol w:w="1843"/>
      </w:tblGrid>
      <w:tr w:rsidR="007D1019" w:rsidRPr="00071419" w14:paraId="7D5B9306" w14:textId="77777777" w:rsidTr="00043D89">
        <w:trPr>
          <w:trHeight w:val="518"/>
          <w:tblHeader/>
        </w:trPr>
        <w:tc>
          <w:tcPr>
            <w:tcW w:w="5521" w:type="dxa"/>
            <w:shd w:val="clear" w:color="auto" w:fill="C00000"/>
            <w:vAlign w:val="center"/>
          </w:tcPr>
          <w:p w14:paraId="4AB5207B" w14:textId="77777777" w:rsidR="007D1019" w:rsidRPr="007D1019" w:rsidRDefault="007D1019" w:rsidP="007D1019">
            <w:pPr>
              <w:spacing w:before="100" w:beforeAutospacing="1" w:after="100" w:afterAutospacing="1"/>
              <w:ind w:left="142"/>
              <w:jc w:val="center"/>
              <w:rPr>
                <w:rFonts w:cs="Arial"/>
                <w:b/>
                <w:color w:val="FFFFFF" w:themeColor="background1"/>
                <w:sz w:val="20"/>
                <w:lang w:eastAsia="es-ES"/>
              </w:rPr>
            </w:pPr>
            <w:r w:rsidRPr="007D1019">
              <w:rPr>
                <w:rFonts w:cs="Arial"/>
                <w:b/>
                <w:color w:val="FFFFFF" w:themeColor="background1"/>
                <w:sz w:val="20"/>
                <w:lang w:eastAsia="es-ES"/>
              </w:rPr>
              <w:t>Regulation name</w:t>
            </w:r>
          </w:p>
        </w:tc>
        <w:tc>
          <w:tcPr>
            <w:tcW w:w="2126" w:type="dxa"/>
            <w:shd w:val="clear" w:color="auto" w:fill="C00000"/>
            <w:vAlign w:val="center"/>
          </w:tcPr>
          <w:p w14:paraId="21ABF437" w14:textId="77777777" w:rsidR="007D1019" w:rsidRPr="007D1019" w:rsidRDefault="007D1019" w:rsidP="007D1019">
            <w:pPr>
              <w:spacing w:before="100" w:beforeAutospacing="1" w:after="100" w:afterAutospacing="1"/>
              <w:ind w:left="142"/>
              <w:jc w:val="center"/>
              <w:rPr>
                <w:rFonts w:cs="Arial"/>
                <w:b/>
                <w:color w:val="FFFFFF" w:themeColor="background1"/>
                <w:sz w:val="20"/>
                <w:lang w:eastAsia="es-ES"/>
              </w:rPr>
            </w:pPr>
            <w:r w:rsidRPr="007D1019">
              <w:rPr>
                <w:rFonts w:cs="Arial"/>
                <w:b/>
                <w:color w:val="FFFFFF" w:themeColor="background1"/>
                <w:sz w:val="20"/>
                <w:lang w:eastAsia="es-ES"/>
              </w:rPr>
              <w:t>Version</w:t>
            </w:r>
          </w:p>
        </w:tc>
        <w:tc>
          <w:tcPr>
            <w:tcW w:w="1843" w:type="dxa"/>
            <w:shd w:val="clear" w:color="auto" w:fill="C00000"/>
            <w:vAlign w:val="center"/>
          </w:tcPr>
          <w:p w14:paraId="5CC49A2D" w14:textId="77777777" w:rsidR="007D1019" w:rsidRPr="007D1019" w:rsidRDefault="007D1019" w:rsidP="007D1019">
            <w:pPr>
              <w:spacing w:before="100" w:beforeAutospacing="1" w:after="100" w:afterAutospacing="1"/>
              <w:ind w:left="142"/>
              <w:jc w:val="center"/>
              <w:rPr>
                <w:rFonts w:cs="Arial"/>
                <w:b/>
                <w:color w:val="FFFFFF" w:themeColor="background1"/>
                <w:sz w:val="20"/>
                <w:lang w:eastAsia="es-ES"/>
              </w:rPr>
            </w:pPr>
            <w:r w:rsidRPr="007D1019">
              <w:rPr>
                <w:rFonts w:cs="Arial"/>
                <w:b/>
                <w:color w:val="FFFFFF" w:themeColor="background1"/>
                <w:sz w:val="20"/>
                <w:lang w:eastAsia="es-ES"/>
              </w:rPr>
              <w:t>Link</w:t>
            </w:r>
          </w:p>
        </w:tc>
      </w:tr>
      <w:tr w:rsidR="007D1019" w:rsidRPr="00071419" w14:paraId="2058FA7B" w14:textId="77777777" w:rsidTr="00043D89">
        <w:trPr>
          <w:trHeight w:val="300"/>
        </w:trPr>
        <w:tc>
          <w:tcPr>
            <w:tcW w:w="5521" w:type="dxa"/>
            <w:shd w:val="clear" w:color="auto" w:fill="FFFFFF" w:themeFill="background1"/>
          </w:tcPr>
          <w:p w14:paraId="35FE4BA9"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COMMISSION IMPLEMENTING DECISION (EU) 2022/179 of 8 February 2022 on the harmonized use of radio spectrum in the 5 GHz frequency band for the implementation of wireless access systems including radio local area networks and repealing Decision 2005/513/EC</w:t>
            </w:r>
          </w:p>
        </w:tc>
        <w:tc>
          <w:tcPr>
            <w:tcW w:w="2126" w:type="dxa"/>
            <w:shd w:val="clear" w:color="auto" w:fill="FFFFFF" w:themeFill="background1"/>
          </w:tcPr>
          <w:p w14:paraId="77A96676"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8 February 2022</w:t>
            </w:r>
          </w:p>
        </w:tc>
        <w:tc>
          <w:tcPr>
            <w:tcW w:w="1843" w:type="dxa"/>
            <w:shd w:val="clear" w:color="auto" w:fill="FFFFFF" w:themeFill="background1"/>
          </w:tcPr>
          <w:p w14:paraId="38CCB56D" w14:textId="77777777" w:rsidR="007D1019" w:rsidRPr="00071419" w:rsidRDefault="007D1019" w:rsidP="000D7088">
            <w:pPr>
              <w:spacing w:after="120"/>
              <w:jc w:val="left"/>
              <w:rPr>
                <w:rFonts w:cs="Arial"/>
                <w:b/>
                <w:color w:val="007D40"/>
                <w:sz w:val="40"/>
                <w:szCs w:val="40"/>
              </w:rPr>
            </w:pPr>
            <w:hyperlink r:id="rId14">
              <w:r w:rsidRPr="00071419">
                <w:rPr>
                  <w:rStyle w:val="Hyperlink"/>
                  <w:rFonts w:cs="Arial"/>
                  <w:sz w:val="20"/>
                  <w:lang w:eastAsia="es-ES"/>
                </w:rPr>
                <w:t>Link</w:t>
              </w:r>
            </w:hyperlink>
          </w:p>
        </w:tc>
      </w:tr>
      <w:tr w:rsidR="007D1019" w:rsidRPr="00071419" w14:paraId="61EBD227" w14:textId="77777777" w:rsidTr="00043D89">
        <w:trPr>
          <w:trHeight w:val="300"/>
        </w:trPr>
        <w:tc>
          <w:tcPr>
            <w:tcW w:w="5521" w:type="dxa"/>
            <w:shd w:val="clear" w:color="auto" w:fill="FFFFFF" w:themeFill="background1"/>
          </w:tcPr>
          <w:p w14:paraId="31977229"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Commission Decision 2006/771/EC</w:t>
            </w:r>
          </w:p>
        </w:tc>
        <w:tc>
          <w:tcPr>
            <w:tcW w:w="2126" w:type="dxa"/>
            <w:shd w:val="clear" w:color="auto" w:fill="FFFFFF" w:themeFill="background1"/>
          </w:tcPr>
          <w:p w14:paraId="1A0368F6"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09 November 2016</w:t>
            </w:r>
          </w:p>
        </w:tc>
        <w:tc>
          <w:tcPr>
            <w:tcW w:w="1843" w:type="dxa"/>
            <w:shd w:val="clear" w:color="auto" w:fill="FFFFFF" w:themeFill="background1"/>
          </w:tcPr>
          <w:p w14:paraId="0FDE6596" w14:textId="77777777" w:rsidR="007D1019" w:rsidRPr="00071419" w:rsidRDefault="007D1019" w:rsidP="000D7088">
            <w:pPr>
              <w:spacing w:after="120"/>
              <w:jc w:val="left"/>
              <w:rPr>
                <w:rFonts w:cs="Arial"/>
                <w:b/>
                <w:color w:val="007D40"/>
                <w:sz w:val="40"/>
                <w:szCs w:val="40"/>
              </w:rPr>
            </w:pPr>
            <w:hyperlink r:id="rId15">
              <w:r w:rsidRPr="00071419">
                <w:rPr>
                  <w:rStyle w:val="Hyperlink"/>
                  <w:rFonts w:cs="Arial"/>
                  <w:sz w:val="20"/>
                  <w:lang w:eastAsia="es-ES"/>
                </w:rPr>
                <w:t>Link</w:t>
              </w:r>
            </w:hyperlink>
          </w:p>
        </w:tc>
      </w:tr>
      <w:tr w:rsidR="007D1019" w:rsidRPr="00071419" w14:paraId="64B8CF98" w14:textId="77777777" w:rsidTr="00043D89">
        <w:trPr>
          <w:trHeight w:val="300"/>
        </w:trPr>
        <w:tc>
          <w:tcPr>
            <w:tcW w:w="5521" w:type="dxa"/>
            <w:shd w:val="clear" w:color="auto" w:fill="FFFFFF" w:themeFill="background1"/>
          </w:tcPr>
          <w:p w14:paraId="65A2FA4A"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Commission Implementing Decision (EU) 2021/1067 of 17 June 2021 on the harmonized use of radio spectrum in the 5 945-6 425 MHz frequency band for the implementation of wireless access systems including radio local area networks (WAS/RLANs).</w:t>
            </w:r>
          </w:p>
        </w:tc>
        <w:tc>
          <w:tcPr>
            <w:tcW w:w="2126" w:type="dxa"/>
            <w:shd w:val="clear" w:color="auto" w:fill="FFFFFF" w:themeFill="background1"/>
          </w:tcPr>
          <w:p w14:paraId="3868C3C6"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17 June 2021</w:t>
            </w:r>
          </w:p>
        </w:tc>
        <w:tc>
          <w:tcPr>
            <w:tcW w:w="1843" w:type="dxa"/>
            <w:shd w:val="clear" w:color="auto" w:fill="FFFFFF" w:themeFill="background1"/>
          </w:tcPr>
          <w:p w14:paraId="262B4312" w14:textId="77777777" w:rsidR="007D1019" w:rsidRPr="00071419" w:rsidRDefault="007D1019" w:rsidP="000D7088">
            <w:pPr>
              <w:spacing w:before="60" w:after="60"/>
              <w:ind w:left="142"/>
              <w:jc w:val="left"/>
              <w:rPr>
                <w:rFonts w:cs="Arial"/>
                <w:color w:val="444444"/>
                <w:sz w:val="20"/>
                <w:lang w:eastAsia="es-ES"/>
              </w:rPr>
            </w:pPr>
          </w:p>
        </w:tc>
      </w:tr>
      <w:tr w:rsidR="007D1019" w:rsidRPr="00071419" w14:paraId="66FAB281" w14:textId="77777777" w:rsidTr="00043D89">
        <w:trPr>
          <w:trHeight w:val="300"/>
        </w:trPr>
        <w:tc>
          <w:tcPr>
            <w:tcW w:w="5521" w:type="dxa"/>
            <w:shd w:val="clear" w:color="auto" w:fill="FFFFFF" w:themeFill="background1"/>
          </w:tcPr>
          <w:p w14:paraId="3C9F7DE6"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Commission Implementing Decision (EU) 2022/180 of 8 February 2022 amending Decision 2006/771/EC as regards the update of harmonized technical conditions in the area of radio spectrum use for short-range devices</w:t>
            </w:r>
          </w:p>
        </w:tc>
        <w:tc>
          <w:tcPr>
            <w:tcW w:w="2126" w:type="dxa"/>
            <w:shd w:val="clear" w:color="auto" w:fill="FFFFFF" w:themeFill="background1"/>
          </w:tcPr>
          <w:p w14:paraId="4DADBEF7"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8 February 2022</w:t>
            </w:r>
          </w:p>
        </w:tc>
        <w:tc>
          <w:tcPr>
            <w:tcW w:w="1843" w:type="dxa"/>
            <w:shd w:val="clear" w:color="auto" w:fill="FFFFFF" w:themeFill="background1"/>
          </w:tcPr>
          <w:p w14:paraId="1D83DE7A" w14:textId="77777777" w:rsidR="007D1019" w:rsidRPr="00071419" w:rsidRDefault="007D1019" w:rsidP="000D7088">
            <w:pPr>
              <w:spacing w:after="120"/>
              <w:jc w:val="left"/>
              <w:rPr>
                <w:rFonts w:cs="Arial"/>
                <w:b/>
                <w:color w:val="007D40"/>
                <w:sz w:val="40"/>
                <w:szCs w:val="40"/>
              </w:rPr>
            </w:pPr>
            <w:hyperlink r:id="rId16">
              <w:r w:rsidRPr="00071419">
                <w:rPr>
                  <w:rStyle w:val="Hyperlink"/>
                  <w:rFonts w:cs="Arial"/>
                  <w:sz w:val="20"/>
                  <w:lang w:eastAsia="es-ES"/>
                </w:rPr>
                <w:t>Link</w:t>
              </w:r>
            </w:hyperlink>
          </w:p>
        </w:tc>
      </w:tr>
      <w:tr w:rsidR="007D1019" w:rsidRPr="00071419" w14:paraId="17F4B6F3" w14:textId="77777777" w:rsidTr="00043D89">
        <w:trPr>
          <w:trHeight w:val="300"/>
        </w:trPr>
        <w:tc>
          <w:tcPr>
            <w:tcW w:w="5521" w:type="dxa"/>
            <w:shd w:val="clear" w:color="auto" w:fill="FFFFFF" w:themeFill="background1"/>
          </w:tcPr>
          <w:p w14:paraId="7C9B6FA9"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Commission Implementing Decision (EU) 2022/2307 of 23 November 2022 amending Implementing Decision (EU) 2022/179 as regards designating and making available the 5150-5250 MHz, 5250-5350 MHz and 5470-5725 MHz frequency bands in accordance with the technical conditions set out in the Annex</w:t>
            </w:r>
          </w:p>
        </w:tc>
        <w:tc>
          <w:tcPr>
            <w:tcW w:w="2126" w:type="dxa"/>
            <w:shd w:val="clear" w:color="auto" w:fill="FFFFFF" w:themeFill="background1"/>
          </w:tcPr>
          <w:p w14:paraId="7217A1CC"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23 November 2022</w:t>
            </w:r>
          </w:p>
        </w:tc>
        <w:tc>
          <w:tcPr>
            <w:tcW w:w="1843" w:type="dxa"/>
            <w:shd w:val="clear" w:color="auto" w:fill="FFFFFF" w:themeFill="background1"/>
          </w:tcPr>
          <w:p w14:paraId="0FA7159C" w14:textId="77777777" w:rsidR="007D1019" w:rsidRPr="00071419" w:rsidRDefault="007D1019" w:rsidP="000D7088">
            <w:pPr>
              <w:spacing w:after="120"/>
              <w:jc w:val="left"/>
              <w:rPr>
                <w:rFonts w:cs="Arial"/>
                <w:b/>
                <w:color w:val="007D40"/>
                <w:sz w:val="40"/>
                <w:szCs w:val="40"/>
              </w:rPr>
            </w:pPr>
            <w:hyperlink r:id="rId17">
              <w:r w:rsidRPr="00071419">
                <w:rPr>
                  <w:rStyle w:val="Hyperlink"/>
                  <w:rFonts w:cs="Arial"/>
                  <w:sz w:val="20"/>
                  <w:lang w:eastAsia="es-ES"/>
                </w:rPr>
                <w:t>Link</w:t>
              </w:r>
            </w:hyperlink>
          </w:p>
        </w:tc>
      </w:tr>
      <w:tr w:rsidR="007D1019" w:rsidRPr="00071419" w14:paraId="4F59D6F0" w14:textId="77777777" w:rsidTr="00043D89">
        <w:trPr>
          <w:trHeight w:val="300"/>
        </w:trPr>
        <w:tc>
          <w:tcPr>
            <w:tcW w:w="5521" w:type="dxa"/>
            <w:shd w:val="clear" w:color="auto" w:fill="FFFFFF" w:themeFill="background1"/>
          </w:tcPr>
          <w:p w14:paraId="0AA7C317"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Commission Implementing Decision 2024/3157 of 17 December 2024 amending Implementing Decision (EU) 2021/1067 on the harmonized use of radio spectrum in the 6 425–6 425 MHz frequency band for the implementation of wireless access systems including radio local area networks (WAS/RLANs)</w:t>
            </w:r>
          </w:p>
        </w:tc>
        <w:tc>
          <w:tcPr>
            <w:tcW w:w="2126" w:type="dxa"/>
            <w:shd w:val="clear" w:color="auto" w:fill="FFFFFF" w:themeFill="background1"/>
          </w:tcPr>
          <w:p w14:paraId="60F3FA35"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19/12/2024</w:t>
            </w:r>
          </w:p>
        </w:tc>
        <w:tc>
          <w:tcPr>
            <w:tcW w:w="1843" w:type="dxa"/>
            <w:shd w:val="clear" w:color="auto" w:fill="FFFFFF" w:themeFill="background1"/>
          </w:tcPr>
          <w:p w14:paraId="0AD2AD95" w14:textId="77777777" w:rsidR="007D1019" w:rsidRPr="00071419" w:rsidRDefault="007D1019" w:rsidP="000D7088">
            <w:pPr>
              <w:spacing w:after="120"/>
              <w:jc w:val="left"/>
              <w:rPr>
                <w:rFonts w:cs="Arial"/>
                <w:b/>
                <w:color w:val="007D40"/>
                <w:sz w:val="40"/>
                <w:szCs w:val="40"/>
              </w:rPr>
            </w:pPr>
            <w:hyperlink r:id="rId18">
              <w:r w:rsidRPr="00071419">
                <w:rPr>
                  <w:rStyle w:val="Hyperlink"/>
                  <w:rFonts w:cs="Arial"/>
                  <w:sz w:val="20"/>
                  <w:lang w:eastAsia="es-ES"/>
                </w:rPr>
                <w:t>COMMISSION IMPLEMENTING DECISION (EU) 2024/3157 - Official Journal</w:t>
              </w:r>
            </w:hyperlink>
          </w:p>
        </w:tc>
      </w:tr>
      <w:tr w:rsidR="007D1019" w:rsidRPr="00071419" w14:paraId="212A1376" w14:textId="77777777" w:rsidTr="00043D89">
        <w:trPr>
          <w:trHeight w:val="300"/>
        </w:trPr>
        <w:tc>
          <w:tcPr>
            <w:tcW w:w="5521" w:type="dxa"/>
            <w:shd w:val="clear" w:color="auto" w:fill="FFFFFF" w:themeFill="background1"/>
          </w:tcPr>
          <w:p w14:paraId="0761F9AE"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ECC Decision (11)05</w:t>
            </w:r>
          </w:p>
        </w:tc>
        <w:tc>
          <w:tcPr>
            <w:tcW w:w="2126" w:type="dxa"/>
            <w:shd w:val="clear" w:color="auto" w:fill="FFFFFF" w:themeFill="background1"/>
          </w:tcPr>
          <w:p w14:paraId="54B44C78"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09 December 2011</w:t>
            </w:r>
          </w:p>
        </w:tc>
        <w:tc>
          <w:tcPr>
            <w:tcW w:w="1843" w:type="dxa"/>
            <w:shd w:val="clear" w:color="auto" w:fill="FFFFFF" w:themeFill="background1"/>
          </w:tcPr>
          <w:p w14:paraId="23E683A4" w14:textId="77777777" w:rsidR="007D1019" w:rsidRPr="00071419" w:rsidRDefault="007D1019" w:rsidP="000D7088">
            <w:pPr>
              <w:spacing w:after="120"/>
              <w:jc w:val="left"/>
              <w:rPr>
                <w:rFonts w:cs="Arial"/>
                <w:b/>
                <w:color w:val="007D40"/>
                <w:sz w:val="40"/>
                <w:szCs w:val="40"/>
              </w:rPr>
            </w:pPr>
            <w:hyperlink r:id="rId19">
              <w:r w:rsidRPr="00071419">
                <w:rPr>
                  <w:rStyle w:val="Hyperlink"/>
                  <w:rFonts w:cs="Arial"/>
                  <w:sz w:val="20"/>
                  <w:lang w:eastAsia="es-ES"/>
                </w:rPr>
                <w:t>Link</w:t>
              </w:r>
            </w:hyperlink>
          </w:p>
          <w:p w14:paraId="5D550192" w14:textId="77777777" w:rsidR="007D1019" w:rsidRPr="00071419" w:rsidRDefault="007D1019" w:rsidP="000D7088">
            <w:pPr>
              <w:spacing w:after="120"/>
              <w:jc w:val="left"/>
              <w:rPr>
                <w:rFonts w:cs="Arial"/>
                <w:b/>
                <w:color w:val="007D40"/>
                <w:sz w:val="40"/>
                <w:szCs w:val="40"/>
              </w:rPr>
            </w:pPr>
            <w:hyperlink r:id="rId20">
              <w:r w:rsidRPr="00071419">
                <w:rPr>
                  <w:rStyle w:val="Hyperlink"/>
                  <w:rFonts w:cs="Arial"/>
                  <w:sz w:val="20"/>
                  <w:lang w:eastAsia="es-ES"/>
                </w:rPr>
                <w:t>Link</w:t>
              </w:r>
            </w:hyperlink>
          </w:p>
        </w:tc>
      </w:tr>
      <w:tr w:rsidR="007D1019" w:rsidRPr="00071419" w14:paraId="2739E0D4" w14:textId="77777777" w:rsidTr="00043D89">
        <w:trPr>
          <w:trHeight w:val="300"/>
        </w:trPr>
        <w:tc>
          <w:tcPr>
            <w:tcW w:w="5521" w:type="dxa"/>
            <w:shd w:val="clear" w:color="auto" w:fill="FFFFFF" w:themeFill="background1"/>
          </w:tcPr>
          <w:p w14:paraId="3F2701FC"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ECC Decision (20)01 - On the harmonized use of the frequency band 5945-6425 MHz for Wireless Access Systems including Radio Local Area Networks (WAS/RLAN)</w:t>
            </w:r>
          </w:p>
        </w:tc>
        <w:tc>
          <w:tcPr>
            <w:tcW w:w="2126" w:type="dxa"/>
            <w:shd w:val="clear" w:color="auto" w:fill="FFFFFF" w:themeFill="background1"/>
          </w:tcPr>
          <w:p w14:paraId="5683FF08"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20 November 2020</w:t>
            </w:r>
          </w:p>
        </w:tc>
        <w:tc>
          <w:tcPr>
            <w:tcW w:w="1843" w:type="dxa"/>
            <w:shd w:val="clear" w:color="auto" w:fill="FFFFFF" w:themeFill="background1"/>
          </w:tcPr>
          <w:p w14:paraId="20DBB19F" w14:textId="77777777" w:rsidR="007D1019" w:rsidRPr="00071419" w:rsidRDefault="007D1019" w:rsidP="000D7088">
            <w:pPr>
              <w:spacing w:after="120"/>
              <w:jc w:val="left"/>
              <w:rPr>
                <w:rFonts w:cs="Arial"/>
                <w:b/>
                <w:color w:val="007D40"/>
                <w:sz w:val="40"/>
                <w:szCs w:val="40"/>
              </w:rPr>
            </w:pPr>
            <w:hyperlink r:id="rId21">
              <w:r w:rsidRPr="00071419">
                <w:rPr>
                  <w:rStyle w:val="Hyperlink"/>
                  <w:rFonts w:cs="Arial"/>
                  <w:sz w:val="20"/>
                  <w:lang w:eastAsia="es-ES"/>
                </w:rPr>
                <w:t>ECC Decision (20)01</w:t>
              </w:r>
            </w:hyperlink>
          </w:p>
        </w:tc>
      </w:tr>
      <w:tr w:rsidR="007D1019" w:rsidRPr="00071419" w14:paraId="559A8FA6" w14:textId="77777777" w:rsidTr="00043D89">
        <w:trPr>
          <w:trHeight w:val="300"/>
        </w:trPr>
        <w:tc>
          <w:tcPr>
            <w:tcW w:w="5521" w:type="dxa"/>
            <w:shd w:val="clear" w:color="auto" w:fill="FFFFFF" w:themeFill="background1"/>
          </w:tcPr>
          <w:p w14:paraId="3CA5B766"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lastRenderedPageBreak/>
              <w:t>ECC Report 277</w:t>
            </w:r>
          </w:p>
        </w:tc>
        <w:tc>
          <w:tcPr>
            <w:tcW w:w="2126" w:type="dxa"/>
            <w:shd w:val="clear" w:color="auto" w:fill="FFFFFF" w:themeFill="background1"/>
          </w:tcPr>
          <w:p w14:paraId="3C79AAEF"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27 April 2018</w:t>
            </w:r>
          </w:p>
        </w:tc>
        <w:tc>
          <w:tcPr>
            <w:tcW w:w="1843" w:type="dxa"/>
            <w:shd w:val="clear" w:color="auto" w:fill="FFFFFF" w:themeFill="background1"/>
          </w:tcPr>
          <w:p w14:paraId="229F555D" w14:textId="77777777" w:rsidR="007D1019" w:rsidRPr="00071419" w:rsidRDefault="007D1019" w:rsidP="000D7088">
            <w:pPr>
              <w:spacing w:after="120"/>
              <w:jc w:val="left"/>
              <w:rPr>
                <w:rFonts w:cs="Arial"/>
                <w:b/>
                <w:color w:val="007D40"/>
                <w:sz w:val="40"/>
                <w:szCs w:val="40"/>
              </w:rPr>
            </w:pPr>
            <w:hyperlink r:id="rId22">
              <w:r w:rsidRPr="00071419">
                <w:rPr>
                  <w:rStyle w:val="Hyperlink"/>
                  <w:rFonts w:cs="Arial"/>
                  <w:sz w:val="20"/>
                  <w:lang w:eastAsia="es-ES"/>
                </w:rPr>
                <w:t>Link</w:t>
              </w:r>
            </w:hyperlink>
          </w:p>
        </w:tc>
      </w:tr>
      <w:tr w:rsidR="007D1019" w:rsidRPr="00071419" w14:paraId="7BCB54CF" w14:textId="77777777" w:rsidTr="00043D89">
        <w:trPr>
          <w:trHeight w:val="300"/>
        </w:trPr>
        <w:tc>
          <w:tcPr>
            <w:tcW w:w="5521" w:type="dxa"/>
            <w:shd w:val="clear" w:color="auto" w:fill="FFFFFF" w:themeFill="background1"/>
          </w:tcPr>
          <w:p w14:paraId="1697BBDD"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 xml:space="preserve">ERC/REC 70-03 - Relating to the use of </w:t>
            </w:r>
            <w:proofErr w:type="gramStart"/>
            <w:r w:rsidRPr="00071419">
              <w:rPr>
                <w:rFonts w:cs="Arial"/>
                <w:color w:val="444444"/>
                <w:sz w:val="20"/>
                <w:lang w:eastAsia="es-ES"/>
              </w:rPr>
              <w:t>Short Range</w:t>
            </w:r>
            <w:proofErr w:type="gramEnd"/>
            <w:r w:rsidRPr="00071419">
              <w:rPr>
                <w:rFonts w:cs="Arial"/>
                <w:color w:val="444444"/>
                <w:sz w:val="20"/>
                <w:lang w:eastAsia="es-ES"/>
              </w:rPr>
              <w:t xml:space="preserve"> Devices (SRD)</w:t>
            </w:r>
          </w:p>
        </w:tc>
        <w:tc>
          <w:tcPr>
            <w:tcW w:w="2126" w:type="dxa"/>
            <w:shd w:val="clear" w:color="auto" w:fill="FFFFFF" w:themeFill="background1"/>
          </w:tcPr>
          <w:p w14:paraId="560EC7BA"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8 March 2024</w:t>
            </w:r>
          </w:p>
        </w:tc>
        <w:tc>
          <w:tcPr>
            <w:tcW w:w="1843" w:type="dxa"/>
            <w:shd w:val="clear" w:color="auto" w:fill="FFFFFF" w:themeFill="background1"/>
          </w:tcPr>
          <w:p w14:paraId="10111E7D" w14:textId="77777777" w:rsidR="007D1019" w:rsidRPr="00071419" w:rsidRDefault="007D1019" w:rsidP="000D7088">
            <w:pPr>
              <w:spacing w:before="60" w:after="60"/>
              <w:ind w:left="142"/>
              <w:jc w:val="left"/>
              <w:rPr>
                <w:rFonts w:cs="Arial"/>
                <w:color w:val="444444"/>
                <w:sz w:val="20"/>
                <w:lang w:eastAsia="es-ES"/>
              </w:rPr>
            </w:pPr>
          </w:p>
        </w:tc>
      </w:tr>
      <w:tr w:rsidR="007D1019" w:rsidRPr="00071419" w14:paraId="5B204C74" w14:textId="77777777" w:rsidTr="00043D89">
        <w:trPr>
          <w:trHeight w:val="300"/>
        </w:trPr>
        <w:tc>
          <w:tcPr>
            <w:tcW w:w="5521" w:type="dxa"/>
            <w:shd w:val="clear" w:color="auto" w:fill="FFFFFF" w:themeFill="background1"/>
          </w:tcPr>
          <w:p w14:paraId="7C3C6049" w14:textId="77777777" w:rsidR="007D1019" w:rsidRPr="00071419" w:rsidRDefault="007D1019" w:rsidP="00D750F6">
            <w:pPr>
              <w:spacing w:before="60" w:after="60"/>
              <w:ind w:left="115" w:firstLine="0"/>
              <w:rPr>
                <w:rFonts w:cs="Arial"/>
                <w:color w:val="444444"/>
                <w:sz w:val="20"/>
                <w:lang w:eastAsia="es-ES"/>
              </w:rPr>
            </w:pPr>
            <w:r w:rsidRPr="00071419">
              <w:rPr>
                <w:rFonts w:cs="Arial"/>
                <w:color w:val="444444"/>
                <w:sz w:val="20"/>
                <w:lang w:eastAsia="es-ES"/>
              </w:rPr>
              <w:t>RED subclasses - Publication in accordance with Article 1(3) of Commission Decision 2000/299/EC</w:t>
            </w:r>
          </w:p>
        </w:tc>
        <w:tc>
          <w:tcPr>
            <w:tcW w:w="2126" w:type="dxa"/>
            <w:shd w:val="clear" w:color="auto" w:fill="FFFFFF" w:themeFill="background1"/>
          </w:tcPr>
          <w:p w14:paraId="3346CBB4" w14:textId="77777777" w:rsidR="007D1019" w:rsidRPr="00071419" w:rsidRDefault="007D1019" w:rsidP="000D7088">
            <w:pPr>
              <w:spacing w:before="60" w:after="60"/>
              <w:ind w:left="142"/>
              <w:jc w:val="left"/>
              <w:rPr>
                <w:rFonts w:cs="Arial"/>
                <w:color w:val="444444"/>
                <w:sz w:val="20"/>
                <w:lang w:eastAsia="es-ES"/>
              </w:rPr>
            </w:pPr>
            <w:r w:rsidRPr="00071419">
              <w:rPr>
                <w:rFonts w:cs="Arial"/>
                <w:color w:val="444444"/>
                <w:sz w:val="20"/>
                <w:lang w:eastAsia="es-ES"/>
              </w:rPr>
              <w:t>19 January 2020/</w:t>
            </w:r>
          </w:p>
        </w:tc>
        <w:tc>
          <w:tcPr>
            <w:tcW w:w="1843" w:type="dxa"/>
            <w:shd w:val="clear" w:color="auto" w:fill="FFFFFF" w:themeFill="background1"/>
          </w:tcPr>
          <w:p w14:paraId="3E01838B" w14:textId="77777777" w:rsidR="007D1019" w:rsidRPr="00071419" w:rsidRDefault="007D1019" w:rsidP="000D7088">
            <w:pPr>
              <w:spacing w:after="120"/>
              <w:jc w:val="left"/>
              <w:rPr>
                <w:rFonts w:cs="Arial"/>
                <w:b/>
                <w:color w:val="007D40"/>
                <w:sz w:val="40"/>
                <w:szCs w:val="40"/>
              </w:rPr>
            </w:pPr>
            <w:hyperlink r:id="rId23">
              <w:r w:rsidRPr="00071419">
                <w:rPr>
                  <w:rStyle w:val="Hyperlink"/>
                  <w:rFonts w:cs="Arial"/>
                  <w:sz w:val="20"/>
                  <w:lang w:eastAsia="es-ES"/>
                </w:rPr>
                <w:t>Link</w:t>
              </w:r>
            </w:hyperlink>
          </w:p>
        </w:tc>
      </w:tr>
    </w:tbl>
    <w:p w14:paraId="0E72E37C" w14:textId="77777777" w:rsidR="00B836CC" w:rsidRDefault="00B836CC" w:rsidP="00B836CC"/>
    <w:p w14:paraId="0ACDC3EE" w14:textId="4F75984F" w:rsidR="001B7207" w:rsidRDefault="001B7207" w:rsidP="00043D89">
      <w:pPr>
        <w:pStyle w:val="Heading2"/>
      </w:pPr>
      <w:bookmarkStart w:id="91" w:name="_Toc191368493"/>
      <w:r>
        <w:t>Testing Standards</w:t>
      </w:r>
      <w:bookmarkEnd w:id="91"/>
      <w:r>
        <w:t xml:space="preserve"> </w:t>
      </w:r>
    </w:p>
    <w:p w14:paraId="06FB6CBF" w14:textId="77777777" w:rsidR="001B7207" w:rsidRPr="001B7207" w:rsidRDefault="001B7207" w:rsidP="001B7207">
      <w:r w:rsidRPr="001B7207">
        <w:t>According to 'Directive 2014/53/EU' conformity assessment with the following aspects is required:</w:t>
      </w:r>
    </w:p>
    <w:p w14:paraId="5CBD2BA1" w14:textId="77777777" w:rsidR="001B7207" w:rsidRPr="001B7207" w:rsidRDefault="001B7207" w:rsidP="000D2CB8">
      <w:pPr>
        <w:pStyle w:val="ListParagraph"/>
        <w:numPr>
          <w:ilvl w:val="0"/>
          <w:numId w:val="16"/>
        </w:numPr>
        <w:ind w:hanging="371"/>
      </w:pPr>
      <w:r w:rsidRPr="001B7207">
        <w:rPr>
          <w:b/>
          <w:bCs/>
        </w:rPr>
        <w:t>ELECTRICAL SAFETY:</w:t>
      </w:r>
    </w:p>
    <w:p w14:paraId="4C2CA72D" w14:textId="143DD24D" w:rsidR="001B7207" w:rsidRPr="001B7207" w:rsidRDefault="001B7207" w:rsidP="001B7207">
      <w:pPr>
        <w:ind w:firstLine="0"/>
      </w:pPr>
      <w:r w:rsidRPr="001B7207">
        <w:t>In accordance with the article 3.1(a), the protection of Electrical Safety as per 'Directive 2014/35/EU'. The application of the harmonized standards is the most straightforward method to show compliance, although alternate test methods can be employed.</w:t>
      </w:r>
    </w:p>
    <w:p w14:paraId="6816535E" w14:textId="77777777" w:rsidR="001B7207" w:rsidRPr="001B7207" w:rsidRDefault="001B7207" w:rsidP="000D2CB8">
      <w:pPr>
        <w:pStyle w:val="ListParagraph"/>
        <w:numPr>
          <w:ilvl w:val="0"/>
          <w:numId w:val="17"/>
        </w:numPr>
      </w:pPr>
      <w:r w:rsidRPr="001B7207">
        <w:t>EN 62368-1:2014 + EN 62368-1:2014/AC:2015.</w:t>
      </w:r>
    </w:p>
    <w:p w14:paraId="3B893E2D" w14:textId="77777777" w:rsidR="001B7207" w:rsidRPr="001B7207" w:rsidRDefault="001B7207" w:rsidP="000D2CB8">
      <w:pPr>
        <w:pStyle w:val="ListParagraph"/>
        <w:numPr>
          <w:ilvl w:val="0"/>
          <w:numId w:val="17"/>
        </w:numPr>
      </w:pPr>
      <w:r w:rsidRPr="001B7207">
        <w:t>EN 60950-1:2006 + A11:2009 + A1:2010 + A12:2011 + AC:2011 + A2:2013 (until 20 December 2020).</w:t>
      </w:r>
    </w:p>
    <w:p w14:paraId="1B2315F2" w14:textId="77777777" w:rsidR="001B7207" w:rsidRPr="001B7207" w:rsidRDefault="001B7207" w:rsidP="001B7207"/>
    <w:p w14:paraId="2C0DB756" w14:textId="77777777" w:rsidR="001B7207" w:rsidRPr="001B7207" w:rsidRDefault="001B7207" w:rsidP="000D2CB8">
      <w:pPr>
        <w:pStyle w:val="ListParagraph"/>
        <w:numPr>
          <w:ilvl w:val="0"/>
          <w:numId w:val="16"/>
        </w:numPr>
        <w:rPr>
          <w:b/>
          <w:bCs/>
        </w:rPr>
      </w:pPr>
      <w:r w:rsidRPr="001B7207">
        <w:rPr>
          <w:b/>
          <w:bCs/>
        </w:rPr>
        <w:t>EMF:</w:t>
      </w:r>
    </w:p>
    <w:p w14:paraId="253F3097" w14:textId="77777777" w:rsidR="001B7207" w:rsidRPr="001B7207" w:rsidRDefault="001B7207" w:rsidP="001B7207">
      <w:r w:rsidRPr="001B7207">
        <w:t xml:space="preserve">In accordance with the article 3.1(a), the protection of Health as per 'Directive 2014/35/EU'. The application of the harmonized standards is the most straightforward method to show compliance, although alternate test methods can be employed. If power less than 20 </w:t>
      </w:r>
      <w:proofErr w:type="spellStart"/>
      <w:r w:rsidRPr="001B7207">
        <w:t>mW</w:t>
      </w:r>
      <w:proofErr w:type="spellEnd"/>
      <w:r w:rsidRPr="001B7207">
        <w:t xml:space="preserve"> then EN 62479:2010, in other case, EN 62311:2008</w:t>
      </w:r>
    </w:p>
    <w:p w14:paraId="4C22AC58" w14:textId="77777777" w:rsidR="001B7207" w:rsidRDefault="001B7207" w:rsidP="000D2CB8">
      <w:pPr>
        <w:pStyle w:val="ListParagraph"/>
        <w:numPr>
          <w:ilvl w:val="0"/>
          <w:numId w:val="16"/>
        </w:numPr>
      </w:pPr>
      <w:r w:rsidRPr="001B7207">
        <w:rPr>
          <w:b/>
          <w:bCs/>
        </w:rPr>
        <w:t>EMC:</w:t>
      </w:r>
      <w:r w:rsidRPr="001B7207">
        <w:t xml:space="preserve"> </w:t>
      </w:r>
    </w:p>
    <w:p w14:paraId="6E08B94B" w14:textId="79E11D01" w:rsidR="001B7207" w:rsidRPr="001B7207" w:rsidRDefault="001B7207" w:rsidP="001B7207">
      <w:pPr>
        <w:ind w:firstLine="0"/>
      </w:pPr>
      <w:r w:rsidRPr="001B7207">
        <w:t>In accordance with the article 3.1(b), an adequate level of electromagnetic compatibility as set out in Directive 2014/30/EU.</w:t>
      </w:r>
    </w:p>
    <w:p w14:paraId="5FB967BB" w14:textId="77777777" w:rsidR="001B7207" w:rsidRPr="001B7207" w:rsidRDefault="001B7207" w:rsidP="001B7207">
      <w:r w:rsidRPr="001B7207">
        <w:t>- ETSI EN 301 489-1 V2.2.3</w:t>
      </w:r>
    </w:p>
    <w:p w14:paraId="66CD69F1" w14:textId="77777777" w:rsidR="001B7207" w:rsidRDefault="001B7207" w:rsidP="001B7207">
      <w:r w:rsidRPr="001B7207">
        <w:t>- ETSI EN 301 489-17 V3.3.1 (2024-09) (Not published in the OJEU yet).</w:t>
      </w:r>
    </w:p>
    <w:p w14:paraId="3F2C8D82" w14:textId="07AEF81F" w:rsidR="001B7207" w:rsidRDefault="00043D89" w:rsidP="00043D89">
      <w:r>
        <w:t xml:space="preserve">All the EU documents are presented in </w:t>
      </w:r>
      <w:r>
        <w:fldChar w:fldCharType="begin"/>
      </w:r>
      <w:r>
        <w:instrText xml:space="preserve"> REF _Ref190160370 \h </w:instrText>
      </w:r>
      <w:r>
        <w:fldChar w:fldCharType="separate"/>
      </w:r>
      <w:r w:rsidRPr="00B836CC">
        <w:rPr>
          <w:b/>
          <w:bCs/>
        </w:rPr>
        <w:t xml:space="preserve">Table </w:t>
      </w:r>
      <w:r>
        <w:rPr>
          <w:b/>
          <w:bCs/>
          <w:noProof/>
        </w:rPr>
        <w:t>4</w:t>
      </w:r>
      <w:r>
        <w:fldChar w:fldCharType="end"/>
      </w:r>
    </w:p>
    <w:p w14:paraId="7CD97155" w14:textId="3328E003" w:rsidR="001B7207" w:rsidRPr="00071419" w:rsidRDefault="001B7207" w:rsidP="001B7207">
      <w:pPr>
        <w:pStyle w:val="Caption"/>
        <w:jc w:val="center"/>
        <w:rPr>
          <w:rFonts w:cs="Arial"/>
          <w:b/>
          <w:color w:val="595959" w:themeColor="text1" w:themeTint="A6"/>
          <w:sz w:val="20"/>
        </w:rPr>
      </w:pPr>
      <w:bookmarkStart w:id="92" w:name="_Ref190160370"/>
      <w:r w:rsidRPr="00B836CC">
        <w:rPr>
          <w:b/>
          <w:bCs/>
        </w:rPr>
        <w:t xml:space="preserve">Table </w:t>
      </w:r>
      <w:r w:rsidRPr="00B836CC">
        <w:rPr>
          <w:b/>
          <w:bCs/>
        </w:rPr>
        <w:fldChar w:fldCharType="begin"/>
      </w:r>
      <w:r w:rsidRPr="00B836CC">
        <w:rPr>
          <w:b/>
          <w:bCs/>
        </w:rPr>
        <w:instrText xml:space="preserve"> SEQ Table \* ARABIC </w:instrText>
      </w:r>
      <w:r w:rsidRPr="00B836CC">
        <w:rPr>
          <w:b/>
          <w:bCs/>
        </w:rPr>
        <w:fldChar w:fldCharType="separate"/>
      </w:r>
      <w:r>
        <w:rPr>
          <w:b/>
          <w:bCs/>
          <w:noProof/>
        </w:rPr>
        <w:t>4</w:t>
      </w:r>
      <w:r w:rsidRPr="00B836CC">
        <w:rPr>
          <w:b/>
          <w:bCs/>
        </w:rPr>
        <w:fldChar w:fldCharType="end"/>
      </w:r>
      <w:bookmarkEnd w:id="92"/>
      <w:r w:rsidRPr="00B836CC">
        <w:rPr>
          <w:b/>
          <w:bCs/>
        </w:rPr>
        <w:t xml:space="preserve">: </w:t>
      </w:r>
      <w:r>
        <w:rPr>
          <w:b/>
          <w:bCs/>
        </w:rPr>
        <w:t xml:space="preserve">EU </w:t>
      </w:r>
      <w:r w:rsidR="00043D89">
        <w:rPr>
          <w:b/>
          <w:bCs/>
        </w:rPr>
        <w:t>Testing Standards</w:t>
      </w:r>
      <w:r>
        <w:rPr>
          <w:b/>
          <w:bCs/>
        </w:rPr>
        <w:t xml:space="preserve"> for 60GHz bands.</w:t>
      </w: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2"/>
        <w:gridCol w:w="3543"/>
        <w:gridCol w:w="1701"/>
        <w:gridCol w:w="2694"/>
      </w:tblGrid>
      <w:tr w:rsidR="00043D89" w:rsidRPr="00071419" w14:paraId="05B2CB4F" w14:textId="77777777" w:rsidTr="00043D89">
        <w:trPr>
          <w:trHeight w:val="518"/>
          <w:tblHeader/>
        </w:trPr>
        <w:tc>
          <w:tcPr>
            <w:tcW w:w="1552" w:type="dxa"/>
            <w:shd w:val="clear" w:color="auto" w:fill="C00000"/>
            <w:vAlign w:val="center"/>
          </w:tcPr>
          <w:p w14:paraId="360A7A86" w14:textId="77777777" w:rsidR="00043D89" w:rsidRPr="001B7207" w:rsidRDefault="00043D89" w:rsidP="00043D89">
            <w:pPr>
              <w:spacing w:before="100" w:beforeAutospacing="1" w:after="100" w:afterAutospacing="1"/>
              <w:ind w:left="120" w:firstLine="0"/>
              <w:jc w:val="center"/>
              <w:rPr>
                <w:rFonts w:cs="Arial"/>
                <w:b/>
                <w:color w:val="FFFFFF" w:themeColor="background1"/>
                <w:sz w:val="20"/>
                <w:lang w:eastAsia="es-ES"/>
              </w:rPr>
            </w:pPr>
            <w:r w:rsidRPr="001B7207">
              <w:rPr>
                <w:rFonts w:cs="Arial"/>
                <w:b/>
                <w:color w:val="FFFFFF" w:themeColor="background1"/>
                <w:sz w:val="20"/>
                <w:lang w:eastAsia="es-ES"/>
              </w:rPr>
              <w:lastRenderedPageBreak/>
              <w:t>Frequency bands</w:t>
            </w:r>
          </w:p>
        </w:tc>
        <w:tc>
          <w:tcPr>
            <w:tcW w:w="3543" w:type="dxa"/>
            <w:shd w:val="clear" w:color="auto" w:fill="C00000"/>
            <w:vAlign w:val="center"/>
          </w:tcPr>
          <w:p w14:paraId="0932C5F1" w14:textId="77777777" w:rsidR="00043D89" w:rsidRPr="001B7207" w:rsidRDefault="00043D89" w:rsidP="00043D89">
            <w:pPr>
              <w:spacing w:before="100" w:beforeAutospacing="1" w:after="100" w:afterAutospacing="1"/>
              <w:ind w:left="142"/>
              <w:jc w:val="center"/>
              <w:rPr>
                <w:rFonts w:cs="Arial"/>
                <w:b/>
                <w:color w:val="FFFFFF" w:themeColor="background1"/>
                <w:sz w:val="20"/>
                <w:lang w:eastAsia="es-ES"/>
              </w:rPr>
            </w:pPr>
            <w:r w:rsidRPr="001B7207">
              <w:rPr>
                <w:rFonts w:cs="Arial"/>
                <w:b/>
                <w:color w:val="FFFFFF" w:themeColor="background1"/>
                <w:sz w:val="20"/>
                <w:lang w:eastAsia="es-ES"/>
              </w:rPr>
              <w:t>Regulation name</w:t>
            </w:r>
          </w:p>
        </w:tc>
        <w:tc>
          <w:tcPr>
            <w:tcW w:w="1701" w:type="dxa"/>
            <w:shd w:val="clear" w:color="auto" w:fill="C00000"/>
            <w:vAlign w:val="center"/>
          </w:tcPr>
          <w:p w14:paraId="7BE05F53" w14:textId="77777777" w:rsidR="00043D89" w:rsidRPr="001B7207" w:rsidRDefault="00043D89" w:rsidP="00043D89">
            <w:pPr>
              <w:spacing w:before="100" w:beforeAutospacing="1" w:after="100" w:afterAutospacing="1"/>
              <w:ind w:left="142"/>
              <w:jc w:val="center"/>
              <w:rPr>
                <w:rFonts w:cs="Arial"/>
                <w:b/>
                <w:color w:val="FFFFFF" w:themeColor="background1"/>
                <w:sz w:val="20"/>
                <w:lang w:eastAsia="es-ES"/>
              </w:rPr>
            </w:pPr>
            <w:r w:rsidRPr="001B7207">
              <w:rPr>
                <w:rFonts w:cs="Arial"/>
                <w:b/>
                <w:color w:val="FFFFFF" w:themeColor="background1"/>
                <w:sz w:val="20"/>
                <w:lang w:eastAsia="es-ES"/>
              </w:rPr>
              <w:t>Version</w:t>
            </w:r>
          </w:p>
        </w:tc>
        <w:tc>
          <w:tcPr>
            <w:tcW w:w="2694" w:type="dxa"/>
            <w:shd w:val="clear" w:color="auto" w:fill="C00000"/>
            <w:vAlign w:val="center"/>
          </w:tcPr>
          <w:p w14:paraId="69B5FCDE" w14:textId="77777777" w:rsidR="00043D89" w:rsidRPr="001B7207" w:rsidRDefault="00043D89" w:rsidP="00043D89">
            <w:pPr>
              <w:spacing w:before="100" w:beforeAutospacing="1" w:after="100" w:afterAutospacing="1"/>
              <w:ind w:left="142"/>
              <w:jc w:val="center"/>
              <w:rPr>
                <w:rFonts w:cs="Arial"/>
                <w:b/>
                <w:color w:val="FFFFFF" w:themeColor="background1"/>
                <w:sz w:val="20"/>
                <w:lang w:eastAsia="es-ES"/>
              </w:rPr>
            </w:pPr>
            <w:r w:rsidRPr="001B7207">
              <w:rPr>
                <w:rFonts w:cs="Arial"/>
                <w:b/>
                <w:color w:val="FFFFFF" w:themeColor="background1"/>
                <w:sz w:val="20"/>
                <w:lang w:eastAsia="es-ES"/>
              </w:rPr>
              <w:t>Link</w:t>
            </w:r>
          </w:p>
        </w:tc>
      </w:tr>
      <w:tr w:rsidR="00043D89" w:rsidRPr="00071419" w14:paraId="293D021B" w14:textId="77777777" w:rsidTr="00043D89">
        <w:trPr>
          <w:trHeight w:val="300"/>
        </w:trPr>
        <w:tc>
          <w:tcPr>
            <w:tcW w:w="1552" w:type="dxa"/>
            <w:shd w:val="clear" w:color="auto" w:fill="FFFFFF" w:themeFill="background1"/>
          </w:tcPr>
          <w:p w14:paraId="372E5670"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60 GHz</w:t>
            </w:r>
          </w:p>
        </w:tc>
        <w:tc>
          <w:tcPr>
            <w:tcW w:w="3543" w:type="dxa"/>
            <w:shd w:val="clear" w:color="auto" w:fill="FFFFFF" w:themeFill="background1"/>
          </w:tcPr>
          <w:p w14:paraId="0D7470DB" w14:textId="77777777" w:rsidR="00043D89" w:rsidRPr="00071419" w:rsidRDefault="00043D89" w:rsidP="00D750F6">
            <w:pPr>
              <w:spacing w:before="60" w:after="60"/>
              <w:ind w:left="126" w:firstLine="0"/>
              <w:jc w:val="left"/>
              <w:rPr>
                <w:rFonts w:cs="Arial"/>
                <w:color w:val="444444"/>
                <w:sz w:val="20"/>
                <w:lang w:eastAsia="es-ES"/>
              </w:rPr>
            </w:pPr>
            <w:r w:rsidRPr="00071419">
              <w:rPr>
                <w:rFonts w:cs="Arial"/>
                <w:color w:val="444444"/>
                <w:sz w:val="20"/>
                <w:lang w:eastAsia="es-ES"/>
              </w:rPr>
              <w:t>Commission Implementing Decision (EU) 2022/498 of 22 March 2022 amending Implementing Decision (EU) 2020/167 as regards harmonized standards for avalanche beacons, satellite earth stations and systems, land mobile earth stations, maritime mobile earth stations, IMT cellular networks equipment, fixed radio systems, digital terrestrial TV transmitters, mobile communication on board aircraft systems, multi Gbps radio equipment, broadcast sound receivers, audio frequency induction loop drivers, primary surveill</w:t>
            </w:r>
            <w:r>
              <w:rPr>
                <w:rFonts w:cs="Arial"/>
                <w:color w:val="444444"/>
                <w:sz w:val="20"/>
                <w:lang w:eastAsia="es-ES"/>
              </w:rPr>
              <w:t>ance</w:t>
            </w:r>
          </w:p>
        </w:tc>
        <w:tc>
          <w:tcPr>
            <w:tcW w:w="1701" w:type="dxa"/>
            <w:shd w:val="clear" w:color="auto" w:fill="FFFFFF" w:themeFill="background1"/>
          </w:tcPr>
          <w:p w14:paraId="471A455E"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22 March 2022</w:t>
            </w:r>
          </w:p>
        </w:tc>
        <w:tc>
          <w:tcPr>
            <w:tcW w:w="2694" w:type="dxa"/>
            <w:shd w:val="clear" w:color="auto" w:fill="FFFFFF" w:themeFill="background1"/>
          </w:tcPr>
          <w:p w14:paraId="55E40FBF" w14:textId="77777777" w:rsidR="00043D89" w:rsidRPr="00071419" w:rsidRDefault="00043D89" w:rsidP="000D7088">
            <w:pPr>
              <w:spacing w:after="120"/>
              <w:jc w:val="left"/>
              <w:rPr>
                <w:rFonts w:cs="Arial"/>
                <w:b/>
                <w:color w:val="007D40"/>
                <w:sz w:val="40"/>
                <w:szCs w:val="40"/>
              </w:rPr>
            </w:pPr>
            <w:hyperlink r:id="rId24">
              <w:r w:rsidRPr="00071419">
                <w:rPr>
                  <w:rStyle w:val="Hyperlink"/>
                  <w:rFonts w:cs="Arial"/>
                  <w:sz w:val="20"/>
                  <w:lang w:eastAsia="es-ES"/>
                </w:rPr>
                <w:t>Commission Implementing Decision (EU) 2022/498 of 22 March 2022</w:t>
              </w:r>
            </w:hyperlink>
          </w:p>
        </w:tc>
      </w:tr>
      <w:tr w:rsidR="00043D89" w:rsidRPr="00071419" w14:paraId="088546F6" w14:textId="77777777" w:rsidTr="00043D89">
        <w:trPr>
          <w:trHeight w:val="300"/>
        </w:trPr>
        <w:tc>
          <w:tcPr>
            <w:tcW w:w="1552" w:type="dxa"/>
            <w:shd w:val="clear" w:color="auto" w:fill="FFFFFF" w:themeFill="background1"/>
          </w:tcPr>
          <w:p w14:paraId="248698FB"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60 GHz</w:t>
            </w:r>
          </w:p>
        </w:tc>
        <w:tc>
          <w:tcPr>
            <w:tcW w:w="3543" w:type="dxa"/>
            <w:shd w:val="clear" w:color="auto" w:fill="FFFFFF" w:themeFill="background1"/>
          </w:tcPr>
          <w:p w14:paraId="6BC4A3F0" w14:textId="77777777" w:rsidR="00043D89" w:rsidRPr="00071419" w:rsidRDefault="00043D89" w:rsidP="00D750F6">
            <w:pPr>
              <w:spacing w:before="60" w:after="60"/>
              <w:ind w:left="126" w:firstLine="0"/>
              <w:jc w:val="left"/>
              <w:rPr>
                <w:rFonts w:cs="Arial"/>
                <w:color w:val="444444"/>
                <w:sz w:val="20"/>
                <w:lang w:eastAsia="es-ES"/>
              </w:rPr>
            </w:pPr>
            <w:r w:rsidRPr="00071419">
              <w:rPr>
                <w:rFonts w:cs="Arial"/>
                <w:color w:val="444444"/>
                <w:sz w:val="20"/>
                <w:lang w:eastAsia="es-ES"/>
              </w:rPr>
              <w:t>ETSI EN 301 489-17</w:t>
            </w:r>
          </w:p>
        </w:tc>
        <w:tc>
          <w:tcPr>
            <w:tcW w:w="1701" w:type="dxa"/>
            <w:shd w:val="clear" w:color="auto" w:fill="FFFFFF" w:themeFill="background1"/>
          </w:tcPr>
          <w:p w14:paraId="71D227CB"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V3.3.1 (2024-09)</w:t>
            </w:r>
          </w:p>
        </w:tc>
        <w:tc>
          <w:tcPr>
            <w:tcW w:w="2694" w:type="dxa"/>
            <w:shd w:val="clear" w:color="auto" w:fill="FFFFFF" w:themeFill="background1"/>
          </w:tcPr>
          <w:p w14:paraId="264D8F75" w14:textId="77777777" w:rsidR="00043D89" w:rsidRPr="00071419" w:rsidRDefault="00043D89" w:rsidP="000D7088">
            <w:pPr>
              <w:spacing w:after="120"/>
              <w:jc w:val="left"/>
              <w:rPr>
                <w:rFonts w:cs="Arial"/>
                <w:b/>
                <w:color w:val="007D40"/>
                <w:sz w:val="40"/>
                <w:szCs w:val="40"/>
              </w:rPr>
            </w:pPr>
            <w:hyperlink r:id="rId25">
              <w:r w:rsidRPr="00071419">
                <w:rPr>
                  <w:rStyle w:val="Hyperlink"/>
                  <w:rFonts w:cs="Arial"/>
                  <w:sz w:val="20"/>
                  <w:lang w:eastAsia="es-ES"/>
                </w:rPr>
                <w:t>ETSI EN 301 489-17 V3.3.1 (2024-09)</w:t>
              </w:r>
            </w:hyperlink>
          </w:p>
        </w:tc>
      </w:tr>
      <w:tr w:rsidR="00043D89" w:rsidRPr="00071419" w14:paraId="00A41064" w14:textId="77777777" w:rsidTr="00043D89">
        <w:trPr>
          <w:trHeight w:val="300"/>
        </w:trPr>
        <w:tc>
          <w:tcPr>
            <w:tcW w:w="1552" w:type="dxa"/>
            <w:shd w:val="clear" w:color="auto" w:fill="FFFFFF" w:themeFill="background1"/>
          </w:tcPr>
          <w:p w14:paraId="7BFFFB78"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60 GHz</w:t>
            </w:r>
          </w:p>
        </w:tc>
        <w:tc>
          <w:tcPr>
            <w:tcW w:w="3543" w:type="dxa"/>
            <w:shd w:val="clear" w:color="auto" w:fill="FFFFFF" w:themeFill="background1"/>
          </w:tcPr>
          <w:p w14:paraId="29C07F77" w14:textId="77777777" w:rsidR="00043D89" w:rsidRPr="00071419" w:rsidRDefault="00043D89" w:rsidP="00D750F6">
            <w:pPr>
              <w:spacing w:before="60" w:after="60"/>
              <w:ind w:left="126" w:firstLine="0"/>
              <w:jc w:val="left"/>
              <w:rPr>
                <w:rFonts w:cs="Arial"/>
                <w:color w:val="444444"/>
                <w:sz w:val="20"/>
                <w:lang w:eastAsia="es-ES"/>
              </w:rPr>
            </w:pPr>
            <w:r w:rsidRPr="00071419">
              <w:rPr>
                <w:rFonts w:cs="Arial"/>
                <w:color w:val="444444"/>
                <w:sz w:val="20"/>
                <w:lang w:eastAsia="es-ES"/>
              </w:rPr>
              <w:t>ETSI EN 302 567</w:t>
            </w:r>
          </w:p>
        </w:tc>
        <w:tc>
          <w:tcPr>
            <w:tcW w:w="1701" w:type="dxa"/>
            <w:shd w:val="clear" w:color="auto" w:fill="FFFFFF" w:themeFill="background1"/>
          </w:tcPr>
          <w:p w14:paraId="58E6BC90"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V2.2.1 (2021-07)</w:t>
            </w:r>
          </w:p>
        </w:tc>
        <w:tc>
          <w:tcPr>
            <w:tcW w:w="2694" w:type="dxa"/>
            <w:shd w:val="clear" w:color="auto" w:fill="FFFFFF" w:themeFill="background1"/>
          </w:tcPr>
          <w:p w14:paraId="26DCD354" w14:textId="77777777" w:rsidR="00043D89" w:rsidRPr="00071419" w:rsidRDefault="00043D89" w:rsidP="000D7088">
            <w:pPr>
              <w:spacing w:after="120"/>
              <w:jc w:val="left"/>
              <w:rPr>
                <w:rFonts w:cs="Arial"/>
                <w:b/>
                <w:color w:val="007D40"/>
                <w:sz w:val="40"/>
                <w:szCs w:val="40"/>
              </w:rPr>
            </w:pPr>
            <w:hyperlink r:id="rId26">
              <w:r w:rsidRPr="00071419">
                <w:rPr>
                  <w:rStyle w:val="Hyperlink"/>
                  <w:rFonts w:cs="Arial"/>
                  <w:sz w:val="20"/>
                  <w:lang w:eastAsia="es-ES"/>
                </w:rPr>
                <w:t xml:space="preserve">ETSI EN 302 </w:t>
              </w:r>
              <w:proofErr w:type="gramStart"/>
              <w:r w:rsidRPr="00071419">
                <w:rPr>
                  <w:rStyle w:val="Hyperlink"/>
                  <w:rFonts w:cs="Arial"/>
                  <w:sz w:val="20"/>
                  <w:lang w:eastAsia="es-ES"/>
                </w:rPr>
                <w:t>567  V2.2.1</w:t>
              </w:r>
              <w:proofErr w:type="gramEnd"/>
              <w:r w:rsidRPr="00071419">
                <w:rPr>
                  <w:rStyle w:val="Hyperlink"/>
                  <w:rFonts w:cs="Arial"/>
                  <w:sz w:val="20"/>
                  <w:lang w:eastAsia="es-ES"/>
                </w:rPr>
                <w:t xml:space="preserve"> (2021-07)</w:t>
              </w:r>
            </w:hyperlink>
          </w:p>
        </w:tc>
      </w:tr>
      <w:tr w:rsidR="00043D89" w:rsidRPr="00071419" w14:paraId="38D3F8D4" w14:textId="77777777" w:rsidTr="00043D89">
        <w:trPr>
          <w:trHeight w:val="300"/>
        </w:trPr>
        <w:tc>
          <w:tcPr>
            <w:tcW w:w="1552" w:type="dxa"/>
            <w:shd w:val="clear" w:color="auto" w:fill="FFFFFF" w:themeFill="background1"/>
          </w:tcPr>
          <w:p w14:paraId="31157BC2"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**All**</w:t>
            </w:r>
          </w:p>
        </w:tc>
        <w:tc>
          <w:tcPr>
            <w:tcW w:w="3543" w:type="dxa"/>
            <w:shd w:val="clear" w:color="auto" w:fill="FFFFFF" w:themeFill="background1"/>
          </w:tcPr>
          <w:p w14:paraId="5CE8B105" w14:textId="77777777" w:rsidR="00043D89" w:rsidRPr="00071419" w:rsidRDefault="00043D89" w:rsidP="00D750F6">
            <w:pPr>
              <w:spacing w:before="60" w:after="60"/>
              <w:ind w:left="126" w:firstLine="0"/>
              <w:jc w:val="left"/>
              <w:rPr>
                <w:rFonts w:cs="Arial"/>
                <w:color w:val="444444"/>
                <w:sz w:val="20"/>
                <w:lang w:eastAsia="es-ES"/>
              </w:rPr>
            </w:pPr>
            <w:r w:rsidRPr="00071419">
              <w:rPr>
                <w:rFonts w:cs="Arial"/>
                <w:color w:val="444444"/>
                <w:sz w:val="20"/>
                <w:lang w:eastAsia="es-ES"/>
              </w:rPr>
              <w:t>ETSI EN 302 567</w:t>
            </w:r>
          </w:p>
        </w:tc>
        <w:tc>
          <w:tcPr>
            <w:tcW w:w="1701" w:type="dxa"/>
            <w:shd w:val="clear" w:color="auto" w:fill="FFFFFF" w:themeFill="background1"/>
          </w:tcPr>
          <w:p w14:paraId="65DBFBD2"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18 July 2017</w:t>
            </w:r>
          </w:p>
        </w:tc>
        <w:tc>
          <w:tcPr>
            <w:tcW w:w="2694" w:type="dxa"/>
            <w:shd w:val="clear" w:color="auto" w:fill="FFFFFF" w:themeFill="background1"/>
          </w:tcPr>
          <w:p w14:paraId="43589835" w14:textId="77777777" w:rsidR="00043D89" w:rsidRPr="00071419" w:rsidRDefault="00043D89" w:rsidP="000D7088">
            <w:pPr>
              <w:spacing w:before="60" w:after="60"/>
              <w:ind w:left="142"/>
              <w:jc w:val="left"/>
              <w:rPr>
                <w:rFonts w:cs="Arial"/>
                <w:color w:val="444444"/>
                <w:sz w:val="20"/>
                <w:lang w:eastAsia="es-ES"/>
              </w:rPr>
            </w:pPr>
          </w:p>
        </w:tc>
      </w:tr>
      <w:tr w:rsidR="00043D89" w:rsidRPr="00071419" w14:paraId="58680081" w14:textId="77777777" w:rsidTr="00043D89">
        <w:trPr>
          <w:trHeight w:val="300"/>
        </w:trPr>
        <w:tc>
          <w:tcPr>
            <w:tcW w:w="1552" w:type="dxa"/>
            <w:shd w:val="clear" w:color="auto" w:fill="FFFFFF" w:themeFill="background1"/>
          </w:tcPr>
          <w:p w14:paraId="36FDB31C"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**All**</w:t>
            </w:r>
          </w:p>
        </w:tc>
        <w:tc>
          <w:tcPr>
            <w:tcW w:w="3543" w:type="dxa"/>
            <w:shd w:val="clear" w:color="auto" w:fill="FFFFFF" w:themeFill="background1"/>
          </w:tcPr>
          <w:p w14:paraId="7DAD1F49" w14:textId="77777777" w:rsidR="00043D89" w:rsidRPr="00071419" w:rsidRDefault="00043D89" w:rsidP="00D750F6">
            <w:pPr>
              <w:spacing w:before="60" w:after="60"/>
              <w:ind w:left="126" w:firstLine="0"/>
              <w:jc w:val="left"/>
              <w:rPr>
                <w:rFonts w:cs="Arial"/>
                <w:color w:val="444444"/>
                <w:sz w:val="20"/>
                <w:lang w:eastAsia="es-ES"/>
              </w:rPr>
            </w:pPr>
            <w:r w:rsidRPr="00071419">
              <w:rPr>
                <w:rFonts w:cs="Arial"/>
                <w:color w:val="444444"/>
                <w:sz w:val="20"/>
                <w:lang w:eastAsia="es-ES"/>
              </w:rPr>
              <w:t>Summary list of titles and references of harmonized standards under Directive 2014/53/EU on radio equipment</w:t>
            </w:r>
          </w:p>
        </w:tc>
        <w:tc>
          <w:tcPr>
            <w:tcW w:w="1701" w:type="dxa"/>
            <w:shd w:val="clear" w:color="auto" w:fill="FFFFFF" w:themeFill="background1"/>
          </w:tcPr>
          <w:p w14:paraId="75963BBC" w14:textId="77777777" w:rsidR="00043D89" w:rsidRPr="00071419" w:rsidRDefault="00043D89" w:rsidP="000D7088">
            <w:pPr>
              <w:spacing w:before="60" w:after="60"/>
              <w:ind w:left="142"/>
              <w:jc w:val="left"/>
              <w:rPr>
                <w:rFonts w:cs="Arial"/>
                <w:color w:val="444444"/>
                <w:sz w:val="20"/>
                <w:lang w:eastAsia="es-ES"/>
              </w:rPr>
            </w:pPr>
            <w:r w:rsidRPr="00071419">
              <w:rPr>
                <w:rFonts w:cs="Arial"/>
                <w:color w:val="444444"/>
                <w:sz w:val="20"/>
                <w:lang w:eastAsia="es-ES"/>
              </w:rPr>
              <w:t>12 April 2022</w:t>
            </w:r>
          </w:p>
        </w:tc>
        <w:tc>
          <w:tcPr>
            <w:tcW w:w="2694" w:type="dxa"/>
            <w:shd w:val="clear" w:color="auto" w:fill="FFFFFF" w:themeFill="background1"/>
          </w:tcPr>
          <w:p w14:paraId="1F7EA40B" w14:textId="77777777" w:rsidR="00043D89" w:rsidRPr="00071419" w:rsidRDefault="00043D89" w:rsidP="000D7088">
            <w:pPr>
              <w:spacing w:after="120"/>
              <w:jc w:val="left"/>
              <w:rPr>
                <w:rFonts w:cs="Arial"/>
                <w:b/>
                <w:color w:val="007D40"/>
                <w:sz w:val="40"/>
                <w:szCs w:val="40"/>
              </w:rPr>
            </w:pPr>
            <w:hyperlink r:id="rId27">
              <w:r w:rsidRPr="00071419">
                <w:rPr>
                  <w:rStyle w:val="Hyperlink"/>
                  <w:rFonts w:cs="Arial"/>
                  <w:sz w:val="20"/>
                  <w:lang w:eastAsia="es-ES"/>
                </w:rPr>
                <w:t>Directive 2014/53/EU on radio equipment - Summary list as pdf document</w:t>
              </w:r>
            </w:hyperlink>
          </w:p>
        </w:tc>
      </w:tr>
    </w:tbl>
    <w:p w14:paraId="2473D562" w14:textId="77777777" w:rsidR="001B7207" w:rsidRDefault="001B7207" w:rsidP="00B836CC"/>
    <w:p w14:paraId="5E58D17F" w14:textId="1157F48E" w:rsidR="00043D89" w:rsidRDefault="00043D89" w:rsidP="00043D89">
      <w:pPr>
        <w:pStyle w:val="Heading2"/>
      </w:pPr>
      <w:bookmarkStart w:id="93" w:name="_Toc191368494"/>
      <w:r>
        <w:t>Certification Requirements</w:t>
      </w:r>
      <w:bookmarkEnd w:id="93"/>
      <w:r>
        <w:t xml:space="preserve"> </w:t>
      </w:r>
    </w:p>
    <w:p w14:paraId="61DBAD7D" w14:textId="77777777" w:rsidR="00043D89" w:rsidRPr="00071419" w:rsidRDefault="00043D89" w:rsidP="00043D89">
      <w:pPr>
        <w:rPr>
          <w:rFonts w:cs="Arial"/>
          <w:color w:val="444444"/>
          <w:sz w:val="20"/>
          <w:lang w:eastAsia="es-ES"/>
        </w:rPr>
      </w:pPr>
      <w:r w:rsidRPr="00071419">
        <w:rPr>
          <w:rFonts w:cs="Arial"/>
          <w:color w:val="444444"/>
          <w:sz w:val="20"/>
          <w:lang w:eastAsia="es-ES"/>
        </w:rPr>
        <w:t>The current type approval regulation at European Union level, Radio equipment Directive (RED), is in effect as of 13th June 2016, with a transition period that expires on 12th June 2017. After 12th June 2017 all devices must meet the RED requirements, so that devices in compliance with R&amp;TTE must be re-certified in order to be placed on the European market after such date.</w:t>
      </w:r>
    </w:p>
    <w:p w14:paraId="419FD852" w14:textId="77777777" w:rsidR="00043D89" w:rsidRPr="00071419" w:rsidRDefault="00043D89" w:rsidP="00043D89">
      <w:pPr>
        <w:rPr>
          <w:rFonts w:cs="Arial"/>
          <w:color w:val="444444"/>
          <w:sz w:val="20"/>
          <w:lang w:eastAsia="es-ES"/>
        </w:rPr>
      </w:pPr>
      <w:r w:rsidRPr="00071419">
        <w:rPr>
          <w:rFonts w:cs="Arial"/>
          <w:color w:val="444444"/>
          <w:sz w:val="20"/>
          <w:lang w:eastAsia="es-ES"/>
        </w:rPr>
        <w:t>Since there are harmonized standards available to show compliance with all the essential requirements, conformity assessment can be carried out following annex II or III of the RE Directive.</w:t>
      </w:r>
    </w:p>
    <w:p w14:paraId="5DADF576" w14:textId="77777777" w:rsidR="00043D89" w:rsidRDefault="00043D89" w:rsidP="00043D89">
      <w:pPr>
        <w:rPr>
          <w:rFonts w:cs="Arial"/>
          <w:color w:val="444444"/>
          <w:sz w:val="20"/>
          <w:lang w:eastAsia="es-ES"/>
        </w:rPr>
      </w:pPr>
      <w:r w:rsidRPr="00071419">
        <w:rPr>
          <w:rFonts w:cs="Arial"/>
          <w:color w:val="444444"/>
          <w:sz w:val="20"/>
          <w:lang w:eastAsia="es-ES"/>
        </w:rPr>
        <w:t>While no harmonized standards available to show compliance with RED requirements, it is required to follow the Annex III or IV Conformity assessment procedure (Notified Bodies involvement) to show compliance with the RED.</w:t>
      </w:r>
    </w:p>
    <w:p w14:paraId="62883CB3" w14:textId="6B4FCF08" w:rsidR="00043D89" w:rsidRPr="00071419" w:rsidRDefault="00043D89" w:rsidP="00043D89">
      <w:pPr>
        <w:rPr>
          <w:rFonts w:cs="Arial"/>
          <w:color w:val="444444"/>
          <w:sz w:val="20"/>
          <w:lang w:eastAsia="es-ES"/>
        </w:rPr>
      </w:pPr>
      <w:r>
        <w:rPr>
          <w:rFonts w:cs="Arial"/>
          <w:color w:val="444444"/>
          <w:sz w:val="20"/>
          <w:lang w:eastAsia="es-ES"/>
        </w:rPr>
        <w:t xml:space="preserve">At 60GHz bands </w:t>
      </w:r>
      <w:r w:rsidRPr="00043D89">
        <w:rPr>
          <w:rFonts w:cs="Arial"/>
          <w:color w:val="444444"/>
          <w:sz w:val="20"/>
          <w:lang w:eastAsia="es-ES"/>
        </w:rPr>
        <w:t>Devices working in the 60 GHz frequency band are classified as Class 2 devices</w:t>
      </w:r>
      <w:r>
        <w:rPr>
          <w:rFonts w:cs="Arial"/>
          <w:color w:val="444444"/>
          <w:sz w:val="20"/>
          <w:lang w:eastAsia="es-ES"/>
        </w:rPr>
        <w:t>.</w:t>
      </w:r>
    </w:p>
    <w:p w14:paraId="3D253B9D" w14:textId="77777777" w:rsidR="00043D89" w:rsidRPr="00B836CC" w:rsidRDefault="00043D89" w:rsidP="00B836CC"/>
    <w:p w14:paraId="5E396443" w14:textId="59C45BD2" w:rsidR="00055254" w:rsidRPr="00903913" w:rsidRDefault="00055254" w:rsidP="000D7BE3">
      <w:pPr>
        <w:pStyle w:val="Heading1"/>
      </w:pPr>
      <w:bookmarkStart w:id="94" w:name="_Toc191368495"/>
      <w:r w:rsidRPr="00903913">
        <w:t xml:space="preserve">Licensed </w:t>
      </w:r>
      <w:proofErr w:type="spellStart"/>
      <w:r w:rsidRPr="00903913">
        <w:t>mmWave</w:t>
      </w:r>
      <w:proofErr w:type="spellEnd"/>
      <w:r w:rsidRPr="00903913">
        <w:t xml:space="preserve"> Band</w:t>
      </w:r>
      <w:r w:rsidR="00BD64D8">
        <w:t xml:space="preserve"> Regulatory Framework</w:t>
      </w:r>
      <w:bookmarkEnd w:id="82"/>
      <w:bookmarkEnd w:id="94"/>
    </w:p>
    <w:p w14:paraId="4A930679" w14:textId="77777777" w:rsidR="00BD64D8" w:rsidRPr="00BD64D8" w:rsidRDefault="00BD64D8" w:rsidP="00372000">
      <w:bookmarkStart w:id="95" w:name="_Toc190098404"/>
      <w:r w:rsidRPr="00BD64D8">
        <w:t xml:space="preserve">High-priority uses including 5G networks, satellite services, and private wireless deployments fall under licensed </w:t>
      </w:r>
      <w:proofErr w:type="spellStart"/>
      <w:r w:rsidRPr="00BD64D8">
        <w:t>mmWave</w:t>
      </w:r>
      <w:proofErr w:type="spellEnd"/>
      <w:r w:rsidRPr="00BD64D8">
        <w:t xml:space="preserve"> spectrum. Important regulatory factors consist in:</w:t>
      </w:r>
      <w:bookmarkEnd w:id="95"/>
    </w:p>
    <w:p w14:paraId="2124CD70" w14:textId="77777777" w:rsidR="00BD64D8" w:rsidRPr="00BD64D8" w:rsidRDefault="00BD64D8" w:rsidP="000D2CB8">
      <w:pPr>
        <w:pStyle w:val="ListParagraph"/>
        <w:numPr>
          <w:ilvl w:val="0"/>
          <w:numId w:val="8"/>
        </w:numPr>
      </w:pPr>
      <w:bookmarkStart w:id="96" w:name="_Toc190098405"/>
      <w:r w:rsidRPr="00372000">
        <w:rPr>
          <w:b/>
          <w:bCs/>
        </w:rPr>
        <w:lastRenderedPageBreak/>
        <w:t>Frequency Allocations:</w:t>
      </w:r>
      <w:r w:rsidRPr="00BD64D8">
        <w:t xml:space="preserve"> Under Decision (EU) 2019/784 the 24.25–27.5 GHz band (26 GHz) has been set aside for 5G services in the EU.</w:t>
      </w:r>
      <w:bookmarkEnd w:id="96"/>
    </w:p>
    <w:p w14:paraId="507F5E05" w14:textId="77777777" w:rsidR="00BD64D8" w:rsidRPr="00372000" w:rsidRDefault="00BD64D8" w:rsidP="000D2CB8">
      <w:pPr>
        <w:pStyle w:val="ListParagraph"/>
        <w:numPr>
          <w:ilvl w:val="0"/>
          <w:numId w:val="8"/>
        </w:numPr>
        <w:rPr>
          <w:b/>
          <w:bCs/>
          <w:smallCaps/>
        </w:rPr>
      </w:pPr>
      <w:bookmarkStart w:id="97" w:name="_Toc190098406"/>
      <w:r w:rsidRPr="00372000">
        <w:rPr>
          <w:b/>
          <w:bCs/>
        </w:rPr>
        <w:t>Licensing Methods:</w:t>
      </w:r>
      <w:r w:rsidRPr="00BD64D8">
        <w:t xml:space="preserve"> Direct assignments, beauty contests, or auctions all help to allocate spectrum</w:t>
      </w:r>
      <w:r w:rsidRPr="00372000">
        <w:rPr>
          <w:b/>
          <w:bCs/>
          <w:smallCaps/>
        </w:rPr>
        <w:t>.</w:t>
      </w:r>
      <w:bookmarkEnd w:id="97"/>
    </w:p>
    <w:p w14:paraId="5A6C753A" w14:textId="1C6C3179" w:rsidR="00BD64D8" w:rsidRPr="00BD64D8" w:rsidRDefault="00372000" w:rsidP="000D2CB8">
      <w:pPr>
        <w:pStyle w:val="ListParagraph"/>
        <w:numPr>
          <w:ilvl w:val="0"/>
          <w:numId w:val="8"/>
        </w:numPr>
      </w:pPr>
      <w:bookmarkStart w:id="98" w:name="_Toc190098407"/>
      <w:r>
        <w:rPr>
          <w:rFonts w:cs="Arial (Body CS)"/>
          <w:b/>
          <w:bCs/>
        </w:rPr>
        <w:t>Interference Management:</w:t>
      </w:r>
      <w:r w:rsidR="00BD64D8" w:rsidRPr="00372000">
        <w:rPr>
          <w:b/>
          <w:bCs/>
          <w:smallCaps/>
        </w:rPr>
        <w:t xml:space="preserve"> </w:t>
      </w:r>
      <w:r w:rsidR="00BD64D8" w:rsidRPr="00372000">
        <w:t>Operators</w:t>
      </w:r>
      <w:r w:rsidR="00BD64D8" w:rsidRPr="00BD64D8">
        <w:t xml:space="preserve"> have to follow spectrum sharing guidelines described in ECC Recommendation (19)01.</w:t>
      </w:r>
      <w:bookmarkEnd w:id="98"/>
    </w:p>
    <w:p w14:paraId="2203B6F9" w14:textId="4BD16E2E" w:rsidR="00055254" w:rsidRPr="00903913" w:rsidRDefault="00646E50" w:rsidP="00BD64D8">
      <w:pPr>
        <w:pStyle w:val="Heading1"/>
      </w:pPr>
      <w:bookmarkStart w:id="99" w:name="_Toc190098408"/>
      <w:bookmarkStart w:id="100" w:name="_Toc191368496"/>
      <w:r w:rsidRPr="00646E50">
        <w:t xml:space="preserve">Licensed </w:t>
      </w:r>
      <w:proofErr w:type="spellStart"/>
      <w:r w:rsidRPr="00646E50">
        <w:t>mmWave</w:t>
      </w:r>
      <w:proofErr w:type="spellEnd"/>
      <w:r w:rsidRPr="00646E50">
        <w:t xml:space="preserve"> Rules Throughout European Union</w:t>
      </w:r>
      <w:bookmarkEnd w:id="99"/>
      <w:bookmarkEnd w:id="100"/>
      <w:r w:rsidR="00055254" w:rsidRPr="00903913">
        <w:t xml:space="preserve"> </w:t>
      </w:r>
    </w:p>
    <w:p w14:paraId="7BB4EF33" w14:textId="286E2F3D" w:rsidR="00646E50" w:rsidRPr="00646E50" w:rsidRDefault="00646E50" w:rsidP="00646E50">
      <w:pPr>
        <w:spacing w:before="100" w:beforeAutospacing="1" w:after="100" w:afterAutospacing="1"/>
        <w:ind w:left="360" w:firstLine="0"/>
        <w:rPr>
          <w:rFonts w:eastAsia="Times New Roman" w:cs="Times New Roman"/>
        </w:rPr>
      </w:pPr>
      <w:proofErr w:type="spellStart"/>
      <w:r w:rsidRPr="00646E50">
        <w:rPr>
          <w:rFonts w:eastAsia="Times New Roman" w:cs="Times New Roman"/>
        </w:rPr>
        <w:t>Licenced</w:t>
      </w:r>
      <w:proofErr w:type="spellEnd"/>
      <w:r w:rsidRPr="00646E50">
        <w:rPr>
          <w:rFonts w:eastAsia="Times New Roman" w:cs="Times New Roman"/>
        </w:rPr>
        <w:t xml:space="preserve"> </w:t>
      </w:r>
      <w:proofErr w:type="spellStart"/>
      <w:r w:rsidRPr="00646E50">
        <w:rPr>
          <w:rFonts w:eastAsia="Times New Roman" w:cs="Times New Roman"/>
        </w:rPr>
        <w:t>mmWave</w:t>
      </w:r>
      <w:proofErr w:type="spellEnd"/>
      <w:r w:rsidRPr="00646E50">
        <w:rPr>
          <w:rFonts w:eastAsia="Times New Roman" w:cs="Times New Roman"/>
        </w:rPr>
        <w:t xml:space="preserve"> spectrum allocation varies throughout EU countries. Here is a synopsis of the various regulatory strategies:</w:t>
      </w:r>
    </w:p>
    <w:p w14:paraId="082716D3" w14:textId="77777777" w:rsidR="00646E50" w:rsidRPr="00646E50" w:rsidRDefault="00646E50" w:rsidP="000D2CB8">
      <w:pPr>
        <w:numPr>
          <w:ilvl w:val="0"/>
          <w:numId w:val="1"/>
        </w:numPr>
        <w:spacing w:before="100" w:beforeAutospacing="1" w:after="100" w:afterAutospacing="1"/>
        <w:rPr>
          <w:rFonts w:eastAsia="Times New Roman" w:cs="Times New Roman"/>
        </w:rPr>
      </w:pPr>
      <w:r w:rsidRPr="00646E50">
        <w:rPr>
          <w:rFonts w:eastAsia="Times New Roman" w:cs="Times New Roman"/>
          <w:b/>
          <w:bCs/>
        </w:rPr>
        <w:t>Germany, France, Italy, Spain:</w:t>
      </w:r>
      <w:r w:rsidRPr="00646E50">
        <w:rPr>
          <w:rFonts w:eastAsia="Times New Roman" w:cs="Times New Roman"/>
        </w:rPr>
        <w:t xml:space="preserve"> 5G installations have been auctioned over the 26 GHz spectrum.</w:t>
      </w:r>
    </w:p>
    <w:p w14:paraId="38040DA8" w14:textId="77777777" w:rsidR="00646E50" w:rsidRPr="00646E50" w:rsidRDefault="00646E50" w:rsidP="000D2CB8">
      <w:pPr>
        <w:numPr>
          <w:ilvl w:val="0"/>
          <w:numId w:val="1"/>
        </w:numPr>
        <w:spacing w:before="100" w:beforeAutospacing="1" w:after="100" w:afterAutospacing="1"/>
        <w:rPr>
          <w:rFonts w:eastAsia="Times New Roman" w:cs="Times New Roman"/>
        </w:rPr>
      </w:pPr>
      <w:r w:rsidRPr="00646E50">
        <w:rPr>
          <w:rFonts w:eastAsia="Times New Roman" w:cs="Times New Roman"/>
          <w:b/>
          <w:bCs/>
        </w:rPr>
        <w:t>Scandinavian Countries:</w:t>
      </w:r>
      <w:r w:rsidRPr="00646E50">
        <w:rPr>
          <w:rFonts w:eastAsia="Times New Roman" w:cs="Times New Roman"/>
        </w:rPr>
        <w:t xml:space="preserve"> Provide flexible licenses for commercial and industrial application.</w:t>
      </w:r>
    </w:p>
    <w:p w14:paraId="6E2674D3" w14:textId="12327D80" w:rsidR="00055254" w:rsidRPr="00646E50" w:rsidRDefault="00646E50" w:rsidP="000D2CB8">
      <w:pPr>
        <w:numPr>
          <w:ilvl w:val="0"/>
          <w:numId w:val="1"/>
        </w:numPr>
        <w:spacing w:before="100" w:beforeAutospacing="1" w:after="100" w:afterAutospacing="1"/>
        <w:rPr>
          <w:rFonts w:eastAsia="Times New Roman" w:cs="Times New Roman"/>
        </w:rPr>
      </w:pPr>
      <w:r w:rsidRPr="00646E50">
        <w:rPr>
          <w:rFonts w:eastAsia="Times New Roman" w:cs="Times New Roman"/>
          <w:b/>
          <w:bCs/>
        </w:rPr>
        <w:t>Eastern and Central European Nations:</w:t>
      </w:r>
      <w:r w:rsidRPr="00646E50">
        <w:rPr>
          <w:rFonts w:eastAsia="Times New Roman" w:cs="Times New Roman"/>
        </w:rPr>
        <w:t xml:space="preserve"> Gradually phasing in licensed </w:t>
      </w:r>
      <w:proofErr w:type="spellStart"/>
      <w:r w:rsidRPr="00646E50">
        <w:rPr>
          <w:rFonts w:eastAsia="Times New Roman" w:cs="Times New Roman"/>
        </w:rPr>
        <w:t>mmWave</w:t>
      </w:r>
      <w:proofErr w:type="spellEnd"/>
      <w:r w:rsidR="00055254" w:rsidRPr="00646E50">
        <w:rPr>
          <w:rFonts w:eastAsia="Times New Roman" w:cs="Times New Roman"/>
        </w:rPr>
        <w:t>.</w:t>
      </w:r>
    </w:p>
    <w:p w14:paraId="545CAEEC" w14:textId="18010D78" w:rsidR="00055254" w:rsidRPr="00903913" w:rsidRDefault="00646E50" w:rsidP="000D7BE3">
      <w:pPr>
        <w:pStyle w:val="Heading1"/>
      </w:pPr>
      <w:bookmarkStart w:id="101" w:name="_Toc190098409"/>
      <w:bookmarkStart w:id="102" w:name="_Toc191368497"/>
      <w:r w:rsidRPr="00646E50">
        <w:t>EU Deployment Scenarios for Short-Range Communications (SRC)</w:t>
      </w:r>
      <w:bookmarkEnd w:id="101"/>
      <w:bookmarkEnd w:id="102"/>
    </w:p>
    <w:p w14:paraId="02AF7FB6" w14:textId="77777777" w:rsidR="00055254" w:rsidRPr="00903913" w:rsidRDefault="00055254" w:rsidP="00F131B7">
      <w:pPr>
        <w:spacing w:before="100" w:beforeAutospacing="1" w:after="100" w:afterAutospacing="1"/>
        <w:rPr>
          <w:rFonts w:eastAsia="Times New Roman" w:cs="Times New Roman"/>
        </w:rPr>
      </w:pPr>
      <w:r w:rsidRPr="00903913">
        <w:rPr>
          <w:rFonts w:eastAsia="Times New Roman" w:cs="Times New Roman"/>
        </w:rPr>
        <w:t xml:space="preserve">Short-range communications (SRC) leverage </w:t>
      </w:r>
      <w:proofErr w:type="spellStart"/>
      <w:r w:rsidRPr="00903913">
        <w:rPr>
          <w:rFonts w:eastAsia="Times New Roman" w:cs="Times New Roman"/>
        </w:rPr>
        <w:t>mmWave</w:t>
      </w:r>
      <w:proofErr w:type="spellEnd"/>
      <w:r w:rsidRPr="00903913">
        <w:rPr>
          <w:rFonts w:eastAsia="Times New Roman" w:cs="Times New Roman"/>
        </w:rPr>
        <w:t xml:space="preserve"> spectrum for diverse applications, including:</w:t>
      </w:r>
    </w:p>
    <w:p w14:paraId="21C312C8" w14:textId="77777777" w:rsidR="00055254" w:rsidRPr="00903913" w:rsidRDefault="00055254" w:rsidP="000D2CB8">
      <w:pPr>
        <w:numPr>
          <w:ilvl w:val="0"/>
          <w:numId w:val="5"/>
        </w:numPr>
        <w:spacing w:before="100" w:beforeAutospacing="1" w:after="100" w:afterAutospacing="1"/>
        <w:rPr>
          <w:rFonts w:eastAsia="Times New Roman" w:cs="Times New Roman"/>
        </w:rPr>
      </w:pPr>
      <w:r w:rsidRPr="00903913">
        <w:rPr>
          <w:rFonts w:eastAsia="Times New Roman" w:cs="Times New Roman"/>
          <w:b/>
          <w:bCs/>
        </w:rPr>
        <w:t>Industrial 5G Networks</w:t>
      </w:r>
      <w:r w:rsidRPr="00903913">
        <w:rPr>
          <w:rFonts w:eastAsia="Times New Roman" w:cs="Times New Roman"/>
        </w:rPr>
        <w:t xml:space="preserve">: Private </w:t>
      </w:r>
      <w:proofErr w:type="spellStart"/>
      <w:r w:rsidRPr="00903913">
        <w:rPr>
          <w:rFonts w:eastAsia="Times New Roman" w:cs="Times New Roman"/>
        </w:rPr>
        <w:t>mmWave</w:t>
      </w:r>
      <w:proofErr w:type="spellEnd"/>
      <w:r w:rsidRPr="00903913">
        <w:rPr>
          <w:rFonts w:eastAsia="Times New Roman" w:cs="Times New Roman"/>
        </w:rPr>
        <w:t xml:space="preserve"> 5G deployments enhance connectivity in manufacturing, logistics, and smart factories, guided by ECC Recommendation (20)01.</w:t>
      </w:r>
    </w:p>
    <w:p w14:paraId="53B435D5" w14:textId="77777777" w:rsidR="00055254" w:rsidRPr="00903913" w:rsidRDefault="00055254" w:rsidP="000D2CB8">
      <w:pPr>
        <w:numPr>
          <w:ilvl w:val="0"/>
          <w:numId w:val="5"/>
        </w:numPr>
        <w:spacing w:before="100" w:beforeAutospacing="1" w:after="100" w:afterAutospacing="1"/>
        <w:rPr>
          <w:rFonts w:eastAsia="Times New Roman" w:cs="Times New Roman"/>
        </w:rPr>
      </w:pPr>
      <w:r w:rsidRPr="00903913">
        <w:rPr>
          <w:rFonts w:eastAsia="Times New Roman" w:cs="Times New Roman"/>
          <w:b/>
          <w:bCs/>
        </w:rPr>
        <w:t>Vehicle-to-Everything (V2X) Systems</w:t>
      </w:r>
      <w:r w:rsidRPr="00903913">
        <w:rPr>
          <w:rFonts w:eastAsia="Times New Roman" w:cs="Times New Roman"/>
        </w:rPr>
        <w:t xml:space="preserve">: Autonomous vehicle networks rely on </w:t>
      </w:r>
      <w:proofErr w:type="spellStart"/>
      <w:r w:rsidRPr="00903913">
        <w:rPr>
          <w:rFonts w:eastAsia="Times New Roman" w:cs="Times New Roman"/>
        </w:rPr>
        <w:t>mmWave</w:t>
      </w:r>
      <w:proofErr w:type="spellEnd"/>
      <w:r w:rsidRPr="00903913">
        <w:rPr>
          <w:rFonts w:eastAsia="Times New Roman" w:cs="Times New Roman"/>
        </w:rPr>
        <w:t xml:space="preserve"> for ultra-low latency communication, regulated under ETSI EN 302 571.</w:t>
      </w:r>
    </w:p>
    <w:p w14:paraId="43821F8B" w14:textId="77777777" w:rsidR="00055254" w:rsidRPr="00903913" w:rsidRDefault="00055254" w:rsidP="000D2CB8">
      <w:pPr>
        <w:numPr>
          <w:ilvl w:val="0"/>
          <w:numId w:val="5"/>
        </w:numPr>
        <w:spacing w:before="100" w:beforeAutospacing="1" w:after="100" w:afterAutospacing="1"/>
        <w:rPr>
          <w:rFonts w:eastAsia="Times New Roman" w:cs="Times New Roman"/>
        </w:rPr>
      </w:pPr>
      <w:r w:rsidRPr="00903913">
        <w:rPr>
          <w:rFonts w:eastAsia="Times New Roman" w:cs="Times New Roman"/>
          <w:b/>
          <w:bCs/>
        </w:rPr>
        <w:t>Public Wi-Fi and FWA</w:t>
      </w:r>
      <w:r w:rsidRPr="00903913">
        <w:rPr>
          <w:rFonts w:eastAsia="Times New Roman" w:cs="Times New Roman"/>
        </w:rPr>
        <w:t xml:space="preserve">: Urban and remote areas benefit from high-speed wireless access using </w:t>
      </w:r>
      <w:proofErr w:type="spellStart"/>
      <w:r w:rsidRPr="00903913">
        <w:rPr>
          <w:rFonts w:eastAsia="Times New Roman" w:cs="Times New Roman"/>
        </w:rPr>
        <w:t>mmWave</w:t>
      </w:r>
      <w:proofErr w:type="spellEnd"/>
      <w:r w:rsidRPr="00903913">
        <w:rPr>
          <w:rFonts w:eastAsia="Times New Roman" w:cs="Times New Roman"/>
        </w:rPr>
        <w:t xml:space="preserve"> bands under ETSI EN 305 550.</w:t>
      </w:r>
    </w:p>
    <w:p w14:paraId="7200F84D" w14:textId="77777777" w:rsidR="00055254" w:rsidRPr="00903913" w:rsidRDefault="00055254" w:rsidP="000D2CB8">
      <w:pPr>
        <w:numPr>
          <w:ilvl w:val="0"/>
          <w:numId w:val="5"/>
        </w:numPr>
        <w:spacing w:before="100" w:beforeAutospacing="1" w:after="100" w:afterAutospacing="1"/>
        <w:rPr>
          <w:rFonts w:eastAsia="Times New Roman" w:cs="Times New Roman"/>
        </w:rPr>
      </w:pPr>
      <w:r w:rsidRPr="00903913">
        <w:rPr>
          <w:rFonts w:eastAsia="Times New Roman" w:cs="Times New Roman"/>
          <w:b/>
          <w:bCs/>
        </w:rPr>
        <w:t>Immersive AR/VR</w:t>
      </w:r>
      <w:r w:rsidRPr="00903913">
        <w:rPr>
          <w:rFonts w:eastAsia="Times New Roman" w:cs="Times New Roman"/>
        </w:rPr>
        <w:t xml:space="preserve">: Virtual reality applications depend on </w:t>
      </w:r>
      <w:proofErr w:type="spellStart"/>
      <w:r w:rsidRPr="00903913">
        <w:rPr>
          <w:rFonts w:eastAsia="Times New Roman" w:cs="Times New Roman"/>
        </w:rPr>
        <w:t>mmWave’s</w:t>
      </w:r>
      <w:proofErr w:type="spellEnd"/>
      <w:r w:rsidRPr="00903913">
        <w:rPr>
          <w:rFonts w:eastAsia="Times New Roman" w:cs="Times New Roman"/>
        </w:rPr>
        <w:t xml:space="preserve"> high-bandwidth capabilities, governed by IEEE 802.11ay standards.</w:t>
      </w:r>
    </w:p>
    <w:p w14:paraId="2A4295E3" w14:textId="0D245FEF" w:rsidR="00055254" w:rsidRDefault="00C30C21" w:rsidP="000D7BE3">
      <w:pPr>
        <w:pStyle w:val="Heading1"/>
      </w:pPr>
      <w:bookmarkStart w:id="103" w:name="_Toc190098410"/>
      <w:bookmarkStart w:id="104" w:name="_Toc191368498"/>
      <w:r>
        <w:t>Factors</w:t>
      </w:r>
      <w:r w:rsidR="00055254" w:rsidRPr="00F131B7">
        <w:t xml:space="preserve"> for SRC Deployment</w:t>
      </w:r>
      <w:bookmarkEnd w:id="103"/>
      <w:bookmarkEnd w:id="104"/>
    </w:p>
    <w:p w14:paraId="1F1414E7" w14:textId="77777777" w:rsidR="00C30C21" w:rsidRPr="00903913" w:rsidRDefault="00C30C21" w:rsidP="000D2CB8">
      <w:pPr>
        <w:numPr>
          <w:ilvl w:val="0"/>
          <w:numId w:val="6"/>
        </w:numPr>
        <w:spacing w:before="100" w:beforeAutospacing="1" w:after="100" w:afterAutospacing="1"/>
        <w:rPr>
          <w:rFonts w:eastAsia="Times New Roman" w:cs="Times New Roman"/>
        </w:rPr>
      </w:pPr>
      <w:r w:rsidRPr="00903913">
        <w:rPr>
          <w:rFonts w:eastAsia="Times New Roman" w:cs="Times New Roman"/>
          <w:b/>
          <w:bCs/>
        </w:rPr>
        <w:t>Regulatory Compliance</w:t>
      </w:r>
      <w:r w:rsidRPr="00903913">
        <w:rPr>
          <w:rFonts w:eastAsia="Times New Roman" w:cs="Times New Roman"/>
        </w:rPr>
        <w:t>: Adhering to EU and national standards ensures legal and functional interoperability.</w:t>
      </w:r>
    </w:p>
    <w:p w14:paraId="577CFF4E" w14:textId="77777777" w:rsidR="00055254" w:rsidRPr="00903913" w:rsidRDefault="00055254" w:rsidP="000D2CB8">
      <w:pPr>
        <w:numPr>
          <w:ilvl w:val="0"/>
          <w:numId w:val="6"/>
        </w:numPr>
        <w:spacing w:before="100" w:beforeAutospacing="1" w:after="100" w:afterAutospacing="1"/>
        <w:rPr>
          <w:rFonts w:eastAsia="Times New Roman" w:cs="Times New Roman"/>
        </w:rPr>
      </w:pPr>
      <w:r w:rsidRPr="00903913">
        <w:rPr>
          <w:rFonts w:eastAsia="Times New Roman" w:cs="Times New Roman"/>
          <w:b/>
          <w:bCs/>
        </w:rPr>
        <w:t>Overcoming Signal Attenuation</w:t>
      </w:r>
      <w:r w:rsidRPr="00903913">
        <w:rPr>
          <w:rFonts w:eastAsia="Times New Roman" w:cs="Times New Roman"/>
        </w:rPr>
        <w:t xml:space="preserve">: Advanced MIMO techniques and beamforming mitigate </w:t>
      </w:r>
      <w:proofErr w:type="spellStart"/>
      <w:r w:rsidRPr="00903913">
        <w:rPr>
          <w:rFonts w:eastAsia="Times New Roman" w:cs="Times New Roman"/>
        </w:rPr>
        <w:t>mmWave</w:t>
      </w:r>
      <w:proofErr w:type="spellEnd"/>
      <w:r w:rsidRPr="00903913">
        <w:rPr>
          <w:rFonts w:eastAsia="Times New Roman" w:cs="Times New Roman"/>
        </w:rPr>
        <w:t xml:space="preserve"> path loss.</w:t>
      </w:r>
    </w:p>
    <w:p w14:paraId="715B2501" w14:textId="77777777" w:rsidR="00055254" w:rsidRDefault="00055254" w:rsidP="000D2CB8">
      <w:pPr>
        <w:numPr>
          <w:ilvl w:val="0"/>
          <w:numId w:val="6"/>
        </w:numPr>
        <w:spacing w:before="100" w:beforeAutospacing="1" w:after="100" w:afterAutospacing="1"/>
        <w:rPr>
          <w:rFonts w:eastAsia="Times New Roman" w:cs="Times New Roman"/>
        </w:rPr>
      </w:pPr>
      <w:r w:rsidRPr="00903913">
        <w:rPr>
          <w:rFonts w:eastAsia="Times New Roman" w:cs="Times New Roman"/>
          <w:b/>
          <w:bCs/>
        </w:rPr>
        <w:t>Spectrum Sharing Efficiency</w:t>
      </w:r>
      <w:r w:rsidRPr="00903913">
        <w:rPr>
          <w:rFonts w:eastAsia="Times New Roman" w:cs="Times New Roman"/>
        </w:rPr>
        <w:t>: Dynamic allocation strategies enhance coexistence between users.</w:t>
      </w:r>
    </w:p>
    <w:p w14:paraId="27F1177A" w14:textId="1A86D453" w:rsidR="00C30C21" w:rsidRDefault="00C30C21" w:rsidP="00C30C21">
      <w:pPr>
        <w:pStyle w:val="Heading1"/>
      </w:pPr>
      <w:bookmarkStart w:id="105" w:name="_Toc190098411"/>
      <w:bookmarkStart w:id="106" w:name="_Toc191368499"/>
      <w:r>
        <w:t>Conclusion</w:t>
      </w:r>
      <w:bookmarkEnd w:id="105"/>
      <w:bookmarkEnd w:id="106"/>
    </w:p>
    <w:p w14:paraId="485D2833" w14:textId="1E43E95C" w:rsidR="00055254" w:rsidRDefault="00055254" w:rsidP="00E85305">
      <w:pPr>
        <w:spacing w:before="100" w:beforeAutospacing="1" w:after="100" w:afterAutospacing="1"/>
        <w:rPr>
          <w:rFonts w:eastAsia="Times New Roman" w:cs="Times New Roman"/>
        </w:rPr>
      </w:pPr>
      <w:r w:rsidRPr="00903913">
        <w:rPr>
          <w:rFonts w:eastAsia="Times New Roman" w:cs="Times New Roman"/>
        </w:rPr>
        <w:t xml:space="preserve">This report offers </w:t>
      </w:r>
      <w:r w:rsidR="00E85305">
        <w:rPr>
          <w:rFonts w:eastAsia="Times New Roman" w:cs="Times New Roman"/>
        </w:rPr>
        <w:t>a preliminary</w:t>
      </w:r>
      <w:r w:rsidRPr="00903913">
        <w:rPr>
          <w:rFonts w:eastAsia="Times New Roman" w:cs="Times New Roman"/>
        </w:rPr>
        <w:t xml:space="preserve"> exploration of </w:t>
      </w:r>
      <w:proofErr w:type="spellStart"/>
      <w:r w:rsidRPr="00903913">
        <w:rPr>
          <w:rFonts w:eastAsia="Times New Roman" w:cs="Times New Roman"/>
        </w:rPr>
        <w:t>mmWave</w:t>
      </w:r>
      <w:proofErr w:type="spellEnd"/>
      <w:r w:rsidRPr="00903913">
        <w:rPr>
          <w:rFonts w:eastAsia="Times New Roman" w:cs="Times New Roman"/>
        </w:rPr>
        <w:t xml:space="preserve"> regulations and short-range deployment strategies </w:t>
      </w:r>
      <w:r w:rsidR="00BA2F39">
        <w:rPr>
          <w:rFonts w:eastAsia="Times New Roman" w:cs="Times New Roman"/>
        </w:rPr>
        <w:t xml:space="preserve">and regulations </w:t>
      </w:r>
      <w:r w:rsidRPr="00903913">
        <w:rPr>
          <w:rFonts w:eastAsia="Times New Roman" w:cs="Times New Roman"/>
        </w:rPr>
        <w:t xml:space="preserve">across the EU. It highlights the potential for </w:t>
      </w:r>
      <w:proofErr w:type="spellStart"/>
      <w:r w:rsidR="00BA2F39">
        <w:rPr>
          <w:rFonts w:eastAsia="Times New Roman" w:cs="Times New Roman"/>
        </w:rPr>
        <w:t>Sparklink</w:t>
      </w:r>
      <w:proofErr w:type="spellEnd"/>
      <w:r w:rsidRPr="00903913">
        <w:rPr>
          <w:rFonts w:eastAsia="Times New Roman" w:cs="Times New Roman"/>
        </w:rPr>
        <w:t xml:space="preserve"> technology to </w:t>
      </w:r>
      <w:r w:rsidR="00BA2F39">
        <w:rPr>
          <w:rFonts w:eastAsia="Times New Roman" w:cs="Times New Roman"/>
        </w:rPr>
        <w:t>be a competitive short range communication standard across</w:t>
      </w:r>
      <w:r w:rsidRPr="00903913">
        <w:rPr>
          <w:rFonts w:eastAsia="Times New Roman" w:cs="Times New Roman"/>
        </w:rPr>
        <w:t xml:space="preserve"> </w:t>
      </w:r>
      <w:r w:rsidR="00BA2F39">
        <w:rPr>
          <w:rFonts w:eastAsia="Times New Roman" w:cs="Times New Roman"/>
        </w:rPr>
        <w:t>EU countries</w:t>
      </w:r>
      <w:r w:rsidRPr="00903913">
        <w:rPr>
          <w:rFonts w:eastAsia="Times New Roman" w:cs="Times New Roman"/>
        </w:rPr>
        <w:t>.</w:t>
      </w:r>
    </w:p>
    <w:p w14:paraId="195C7402" w14:textId="77777777" w:rsidR="00C4268E" w:rsidRDefault="00C4268E" w:rsidP="00E85305">
      <w:pPr>
        <w:spacing w:before="100" w:beforeAutospacing="1" w:after="100" w:afterAutospacing="1"/>
        <w:rPr>
          <w:rFonts w:eastAsia="Times New Roman" w:cs="Times New Roman"/>
        </w:rPr>
      </w:pPr>
    </w:p>
    <w:p w14:paraId="15955EB8" w14:textId="77777777" w:rsidR="00C4268E" w:rsidRDefault="00C4268E" w:rsidP="00E85305">
      <w:pPr>
        <w:spacing w:before="100" w:beforeAutospacing="1" w:after="100" w:afterAutospacing="1"/>
        <w:rPr>
          <w:rFonts w:eastAsia="Times New Roman" w:cs="Times New Roman"/>
        </w:rPr>
      </w:pPr>
    </w:p>
    <w:p w14:paraId="4EBCCC99" w14:textId="77421FDA" w:rsidR="00C4268E" w:rsidRDefault="00C4268E" w:rsidP="00C4268E">
      <w:pPr>
        <w:pStyle w:val="Heading1"/>
        <w:numPr>
          <w:ilvl w:val="0"/>
          <w:numId w:val="0"/>
        </w:numPr>
        <w:ind w:left="720"/>
      </w:pPr>
      <w:bookmarkStart w:id="107" w:name="_Toc191368500"/>
      <w:r>
        <w:t>References</w:t>
      </w:r>
      <w:bookmarkEnd w:id="107"/>
    </w:p>
    <w:p w14:paraId="76D3DD9A" w14:textId="301DC67E" w:rsidR="00C4268E" w:rsidRDefault="00C4268E" w:rsidP="000D2CB8">
      <w:pPr>
        <w:pStyle w:val="ListParagraph"/>
        <w:numPr>
          <w:ilvl w:val="0"/>
          <w:numId w:val="9"/>
        </w:numPr>
      </w:pPr>
      <w:hyperlink r:id="rId28" w:history="1">
        <w:bookmarkStart w:id="108" w:name="_Ref190157104"/>
        <w:r w:rsidRPr="008E368E">
          <w:rPr>
            <w:rStyle w:val="Hyperlink"/>
          </w:rPr>
          <w:t>https://docdb.cept.org/download/1564</w:t>
        </w:r>
        <w:bookmarkEnd w:id="108"/>
      </w:hyperlink>
      <w:r>
        <w:t xml:space="preserve"> </w:t>
      </w:r>
    </w:p>
    <w:p w14:paraId="37F8E7F2" w14:textId="22FAAFF2" w:rsidR="00C4268E" w:rsidRDefault="00C4268E" w:rsidP="000D2CB8">
      <w:pPr>
        <w:pStyle w:val="ListParagraph"/>
        <w:numPr>
          <w:ilvl w:val="0"/>
          <w:numId w:val="9"/>
        </w:numPr>
      </w:pPr>
      <w:hyperlink r:id="rId29" w:history="1">
        <w:bookmarkStart w:id="109" w:name="_Ref190157200"/>
        <w:r w:rsidRPr="008E368E">
          <w:rPr>
            <w:rStyle w:val="Hyperlink"/>
          </w:rPr>
          <w:t>https://www.wi-fi.org/discover-wi-fi/wi-fi-certified-wigig</w:t>
        </w:r>
        <w:bookmarkEnd w:id="109"/>
      </w:hyperlink>
      <w:r>
        <w:t xml:space="preserve"> </w:t>
      </w:r>
    </w:p>
    <w:p w14:paraId="4C978B96" w14:textId="3CAF47E4" w:rsidR="00C4268E" w:rsidRDefault="00C4268E" w:rsidP="000D2CB8">
      <w:pPr>
        <w:pStyle w:val="ListParagraph"/>
        <w:numPr>
          <w:ilvl w:val="0"/>
          <w:numId w:val="9"/>
        </w:numPr>
      </w:pPr>
      <w:hyperlink r:id="rId30" w:history="1">
        <w:bookmarkStart w:id="110" w:name="_Ref190157251"/>
        <w:r w:rsidRPr="008E368E">
          <w:rPr>
            <w:rStyle w:val="Hyperlink"/>
          </w:rPr>
          <w:t>https://www.etsi.org/deliver/etsi_en/305500_305599/30555002/01.02.01_60/en_30555002v010201p.pdf</w:t>
        </w:r>
        <w:bookmarkEnd w:id="110"/>
      </w:hyperlink>
      <w:r>
        <w:t xml:space="preserve"> </w:t>
      </w:r>
    </w:p>
    <w:p w14:paraId="158A3078" w14:textId="46E73091" w:rsidR="003E1281" w:rsidRDefault="003E1281" w:rsidP="000D2CB8">
      <w:pPr>
        <w:pStyle w:val="ListParagraph"/>
        <w:numPr>
          <w:ilvl w:val="0"/>
          <w:numId w:val="9"/>
        </w:numPr>
      </w:pPr>
      <w:hyperlink r:id="rId31" w:history="1">
        <w:bookmarkStart w:id="111" w:name="_Ref190157332"/>
        <w:r w:rsidRPr="008E368E">
          <w:rPr>
            <w:rStyle w:val="Hyperlink"/>
          </w:rPr>
          <w:t>https://single-market-economy.ec.europa.eu/sectors/electrical-and-electronic-engineering-industries-eei/radio-equipment-directive-red_en</w:t>
        </w:r>
        <w:bookmarkEnd w:id="111"/>
      </w:hyperlink>
      <w:r>
        <w:t xml:space="preserve"> </w:t>
      </w:r>
    </w:p>
    <w:p w14:paraId="2E3F184C" w14:textId="73C939CF" w:rsidR="0061320E" w:rsidRDefault="0061320E" w:rsidP="000D2CB8">
      <w:pPr>
        <w:pStyle w:val="ListParagraph"/>
        <w:numPr>
          <w:ilvl w:val="0"/>
          <w:numId w:val="9"/>
        </w:numPr>
      </w:pPr>
      <w:bookmarkStart w:id="112" w:name="_Ref191270850"/>
      <w:r>
        <w:t xml:space="preserve">European process of </w:t>
      </w:r>
      <w:proofErr w:type="spellStart"/>
      <w:r>
        <w:t>standardisation</w:t>
      </w:r>
      <w:proofErr w:type="spellEnd"/>
      <w:r>
        <w:t xml:space="preserve"> and regulation for radiocommunications devices and systems – cooperation between CEPT/ECC and ETSI, related to MoU between CEPT and ETSI, June 2018.</w:t>
      </w:r>
      <w:bookmarkEnd w:id="112"/>
    </w:p>
    <w:p w14:paraId="303F8FC8" w14:textId="15152589" w:rsidR="00C4268E" w:rsidRPr="00043D89" w:rsidRDefault="003E1281" w:rsidP="000D2CB8">
      <w:pPr>
        <w:pStyle w:val="ListParagraph"/>
        <w:numPr>
          <w:ilvl w:val="0"/>
          <w:numId w:val="9"/>
        </w:numPr>
        <w:rPr>
          <w:b/>
          <w:bCs/>
        </w:rPr>
      </w:pPr>
      <w:bookmarkStart w:id="113" w:name="_Ref190157973"/>
      <w:r w:rsidRPr="00043D89">
        <w:rPr>
          <w:b/>
          <w:bCs/>
        </w:rPr>
        <w:t>European Union – Spectrum and Certification, Technical Report, DEKRA, 26.12.2024.</w:t>
      </w:r>
      <w:bookmarkEnd w:id="113"/>
    </w:p>
    <w:p w14:paraId="38DBFF40" w14:textId="77777777" w:rsidR="00055254" w:rsidRPr="00903913" w:rsidRDefault="00055254" w:rsidP="00F131B7"/>
    <w:p w14:paraId="21C3231F" w14:textId="1CD1EBC4" w:rsidR="00855982" w:rsidRPr="00055254" w:rsidRDefault="00855982" w:rsidP="00F131B7"/>
    <w:sectPr w:rsidR="00855982" w:rsidRPr="00055254" w:rsidSect="00855982">
      <w:footerReference w:type="default" r:id="rId3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43CA9" w14:textId="77777777" w:rsidR="00167730" w:rsidRDefault="00167730" w:rsidP="00855982">
      <w:pPr>
        <w:spacing w:after="0"/>
      </w:pPr>
      <w:r>
        <w:separator/>
      </w:r>
    </w:p>
  </w:endnote>
  <w:endnote w:type="continuationSeparator" w:id="0">
    <w:p w14:paraId="7F1AAB2D" w14:textId="77777777" w:rsidR="00167730" w:rsidRDefault="00167730" w:rsidP="00855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Body C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759961"/>
      <w:docPartObj>
        <w:docPartGallery w:val="Page Numbers (Bottom of Page)"/>
        <w:docPartUnique/>
      </w:docPartObj>
    </w:sdtPr>
    <w:sdtEndPr>
      <w:rPr>
        <w:noProof/>
      </w:rPr>
    </w:sdtEndPr>
    <w:sdtContent>
      <w:p w14:paraId="680B668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6901936"/>
      <w:docPartObj>
        <w:docPartGallery w:val="Page Numbers (Bottom of Page)"/>
        <w:docPartUnique/>
      </w:docPartObj>
    </w:sdtPr>
    <w:sdtEndPr>
      <w:rPr>
        <w:noProof/>
      </w:rPr>
    </w:sdtEndPr>
    <w:sdtContent>
      <w:p w14:paraId="32A6DFF2" w14:textId="26A009CF" w:rsidR="00A315BF" w:rsidRDefault="00A315BF">
        <w:pPr>
          <w:pStyle w:val="Footer"/>
        </w:pPr>
        <w:proofErr w:type="spellStart"/>
        <w:r>
          <w:t>iSLA</w:t>
        </w:r>
        <w:proofErr w:type="spellEnd"/>
        <w:r>
          <w:t xml:space="preserve"> Technical Report: Spectrum Study</w:t>
        </w:r>
        <w:r>
          <w:tab/>
        </w: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BF67D" w14:textId="77777777" w:rsidR="00167730" w:rsidRDefault="00167730" w:rsidP="00855982">
      <w:pPr>
        <w:spacing w:after="0"/>
      </w:pPr>
      <w:r>
        <w:separator/>
      </w:r>
    </w:p>
  </w:footnote>
  <w:footnote w:type="continuationSeparator" w:id="0">
    <w:p w14:paraId="030B2F69" w14:textId="77777777" w:rsidR="00167730" w:rsidRDefault="00167730" w:rsidP="008559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EE9E0" w14:textId="1365790C" w:rsidR="00C4268E" w:rsidRDefault="00C4268E">
    <w:pPr>
      <w:pStyle w:val="Header"/>
    </w:pPr>
    <w:r w:rsidRPr="00C4268E">
      <w:rPr>
        <w:noProof/>
      </w:rPr>
      <w:drawing>
        <wp:inline distT="0" distB="0" distL="0" distR="0" wp14:anchorId="36E19009" wp14:editId="065F7879">
          <wp:extent cx="467953" cy="416689"/>
          <wp:effectExtent l="0" t="0" r="2540" b="2540"/>
          <wp:docPr id="299601864" name="Picture 2" descr="https://img0.baidu.com/it/u=2707654702,1591402717&amp;fm=253&amp;fmt=auto&amp;app=120&amp;f=JPEG?w=712&amp;h=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img0.baidu.com/it/u=2707654702,1591402717&amp;fm=253&amp;fmt=auto&amp;app=120&amp;f=JPEG?w=712&amp;h=63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2562" cy="429697"/>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71912" w14:textId="0C2D146E" w:rsidR="00C4268E" w:rsidRDefault="00C4268E">
    <w:pPr>
      <w:pStyle w:val="Header"/>
    </w:pPr>
    <w:r w:rsidRPr="00C4268E">
      <w:rPr>
        <w:noProof/>
      </w:rPr>
      <w:drawing>
        <wp:inline distT="0" distB="0" distL="0" distR="0" wp14:anchorId="38756BA5" wp14:editId="08769AA9">
          <wp:extent cx="467953" cy="416689"/>
          <wp:effectExtent l="0" t="0" r="2540" b="2540"/>
          <wp:docPr id="11" name="Picture 2" descr="https://img0.baidu.com/it/u=2707654702,1591402717&amp;fm=253&amp;fmt=auto&amp;app=120&amp;f=JPEG?w=712&amp;h=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img0.baidu.com/it/u=2707654702,1591402717&amp;fm=253&amp;fmt=auto&amp;app=120&amp;f=JPEG?w=712&amp;h=63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2562" cy="429697"/>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16A9A"/>
    <w:multiLevelType w:val="hybridMultilevel"/>
    <w:tmpl w:val="CAD84948"/>
    <w:lvl w:ilvl="0" w:tplc="89225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F5820"/>
    <w:multiLevelType w:val="hybridMultilevel"/>
    <w:tmpl w:val="05DAC40E"/>
    <w:lvl w:ilvl="0" w:tplc="8E2E0CEC">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DCC79D2"/>
    <w:multiLevelType w:val="multilevel"/>
    <w:tmpl w:val="6CC2C550"/>
    <w:styleLink w:val="CurrentList3"/>
    <w:lvl w:ilvl="0">
      <w:start w:val="1"/>
      <w:numFmt w:val="decimal"/>
      <w:lvlText w:val="%1."/>
      <w:lvlJc w:val="left"/>
      <w:pPr>
        <w:ind w:left="1872" w:hanging="360"/>
      </w:pPr>
    </w:lvl>
    <w:lvl w:ilvl="1">
      <w:start w:val="1"/>
      <w:numFmt w:val="decimal"/>
      <w:lvlText w:val="%1.%2."/>
      <w:lvlJc w:val="left"/>
      <w:pPr>
        <w:ind w:left="2304" w:hanging="432"/>
      </w:pPr>
    </w:lvl>
    <w:lvl w:ilvl="2">
      <w:start w:val="1"/>
      <w:numFmt w:val="decimal"/>
      <w:lvlText w:val="%1.%2.%3."/>
      <w:lvlJc w:val="left"/>
      <w:pPr>
        <w:ind w:left="2736" w:hanging="504"/>
      </w:pPr>
    </w:lvl>
    <w:lvl w:ilvl="3">
      <w:start w:val="1"/>
      <w:numFmt w:val="decimal"/>
      <w:lvlText w:val="%1.%2.%3.%4."/>
      <w:lvlJc w:val="left"/>
      <w:pPr>
        <w:ind w:left="3240" w:hanging="648"/>
      </w:pPr>
    </w:lvl>
    <w:lvl w:ilvl="4">
      <w:start w:val="1"/>
      <w:numFmt w:val="decimal"/>
      <w:lvlText w:val="%1.%2.%3.%4.%5."/>
      <w:lvlJc w:val="left"/>
      <w:pPr>
        <w:ind w:left="3744" w:hanging="792"/>
      </w:pPr>
    </w:lvl>
    <w:lvl w:ilvl="5">
      <w:start w:val="1"/>
      <w:numFmt w:val="decimal"/>
      <w:lvlText w:val="%1.%2.%3.%4.%5.%6."/>
      <w:lvlJc w:val="left"/>
      <w:pPr>
        <w:ind w:left="4248" w:hanging="936"/>
      </w:pPr>
    </w:lvl>
    <w:lvl w:ilvl="6">
      <w:start w:val="1"/>
      <w:numFmt w:val="decimal"/>
      <w:lvlText w:val="%1.%2.%3.%4.%5.%6.%7."/>
      <w:lvlJc w:val="left"/>
      <w:pPr>
        <w:ind w:left="4752" w:hanging="1080"/>
      </w:pPr>
    </w:lvl>
    <w:lvl w:ilvl="7">
      <w:start w:val="1"/>
      <w:numFmt w:val="decimal"/>
      <w:lvlText w:val="%1.%2.%3.%4.%5.%6.%7.%8."/>
      <w:lvlJc w:val="left"/>
      <w:pPr>
        <w:ind w:left="5256" w:hanging="1224"/>
      </w:pPr>
    </w:lvl>
    <w:lvl w:ilvl="8">
      <w:start w:val="1"/>
      <w:numFmt w:val="decimal"/>
      <w:lvlText w:val="%1.%2.%3.%4.%5.%6.%7.%8.%9."/>
      <w:lvlJc w:val="left"/>
      <w:pPr>
        <w:ind w:left="5832" w:hanging="1440"/>
      </w:pPr>
    </w:lvl>
  </w:abstractNum>
  <w:abstractNum w:abstractNumId="3" w15:restartNumberingAfterBreak="0">
    <w:nsid w:val="15187855"/>
    <w:multiLevelType w:val="hybridMultilevel"/>
    <w:tmpl w:val="582875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767CCC"/>
    <w:multiLevelType w:val="multilevel"/>
    <w:tmpl w:val="D08E65D8"/>
    <w:styleLink w:val="CurrentList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34E22BE"/>
    <w:multiLevelType w:val="multilevel"/>
    <w:tmpl w:val="ED7439C6"/>
    <w:styleLink w:val="CurrentList1"/>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73275CE"/>
    <w:multiLevelType w:val="hybridMultilevel"/>
    <w:tmpl w:val="6CEC1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2A16F2"/>
    <w:multiLevelType w:val="multilevel"/>
    <w:tmpl w:val="00AC1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F6440B7"/>
    <w:multiLevelType w:val="multilevel"/>
    <w:tmpl w:val="E946C64A"/>
    <w:lvl w:ilvl="0">
      <w:start w:val="1"/>
      <w:numFmt w:val="lowerLetter"/>
      <w:lvlText w:val="%1)"/>
      <w:lvlJc w:val="left"/>
      <w:pPr>
        <w:ind w:left="1080" w:hanging="360"/>
      </w:pPr>
      <w:rPr>
        <w:rFonts w:hint="default"/>
        <w:sz w:val="20"/>
      </w:rPr>
    </w:lvl>
    <w:lvl w:ilvl="1" w:tentative="1">
      <w:start w:val="1"/>
      <w:numFmt w:val="bullet"/>
      <w:lvlText w:val="o"/>
      <w:lvlJc w:val="left"/>
      <w:pPr>
        <w:tabs>
          <w:tab w:val="num" w:pos="1428"/>
        </w:tabs>
        <w:ind w:left="1428" w:hanging="360"/>
      </w:pPr>
      <w:rPr>
        <w:rFonts w:ascii="Courier New" w:hAnsi="Courier New" w:hint="default"/>
        <w:sz w:val="20"/>
      </w:rPr>
    </w:lvl>
    <w:lvl w:ilvl="2" w:tentative="1">
      <w:start w:val="1"/>
      <w:numFmt w:val="bullet"/>
      <w:lvlText w:val=""/>
      <w:lvlJc w:val="left"/>
      <w:pPr>
        <w:tabs>
          <w:tab w:val="num" w:pos="2148"/>
        </w:tabs>
        <w:ind w:left="2148" w:hanging="360"/>
      </w:pPr>
      <w:rPr>
        <w:rFonts w:ascii="Wingdings" w:hAnsi="Wingdings" w:hint="default"/>
        <w:sz w:val="20"/>
      </w:rPr>
    </w:lvl>
    <w:lvl w:ilvl="3" w:tentative="1">
      <w:start w:val="1"/>
      <w:numFmt w:val="bullet"/>
      <w:lvlText w:val=""/>
      <w:lvlJc w:val="left"/>
      <w:pPr>
        <w:tabs>
          <w:tab w:val="num" w:pos="2868"/>
        </w:tabs>
        <w:ind w:left="2868" w:hanging="360"/>
      </w:pPr>
      <w:rPr>
        <w:rFonts w:ascii="Wingdings" w:hAnsi="Wingdings" w:hint="default"/>
        <w:sz w:val="20"/>
      </w:rPr>
    </w:lvl>
    <w:lvl w:ilvl="4" w:tentative="1">
      <w:start w:val="1"/>
      <w:numFmt w:val="bullet"/>
      <w:lvlText w:val=""/>
      <w:lvlJc w:val="left"/>
      <w:pPr>
        <w:tabs>
          <w:tab w:val="num" w:pos="3588"/>
        </w:tabs>
        <w:ind w:left="3588" w:hanging="360"/>
      </w:pPr>
      <w:rPr>
        <w:rFonts w:ascii="Wingdings" w:hAnsi="Wingdings" w:hint="default"/>
        <w:sz w:val="20"/>
      </w:rPr>
    </w:lvl>
    <w:lvl w:ilvl="5" w:tentative="1">
      <w:start w:val="1"/>
      <w:numFmt w:val="bullet"/>
      <w:lvlText w:val=""/>
      <w:lvlJc w:val="left"/>
      <w:pPr>
        <w:tabs>
          <w:tab w:val="num" w:pos="4308"/>
        </w:tabs>
        <w:ind w:left="4308" w:hanging="360"/>
      </w:pPr>
      <w:rPr>
        <w:rFonts w:ascii="Wingdings" w:hAnsi="Wingdings" w:hint="default"/>
        <w:sz w:val="20"/>
      </w:rPr>
    </w:lvl>
    <w:lvl w:ilvl="6" w:tentative="1">
      <w:start w:val="1"/>
      <w:numFmt w:val="bullet"/>
      <w:lvlText w:val=""/>
      <w:lvlJc w:val="left"/>
      <w:pPr>
        <w:tabs>
          <w:tab w:val="num" w:pos="5028"/>
        </w:tabs>
        <w:ind w:left="5028" w:hanging="360"/>
      </w:pPr>
      <w:rPr>
        <w:rFonts w:ascii="Wingdings" w:hAnsi="Wingdings" w:hint="default"/>
        <w:sz w:val="20"/>
      </w:rPr>
    </w:lvl>
    <w:lvl w:ilvl="7" w:tentative="1">
      <w:start w:val="1"/>
      <w:numFmt w:val="bullet"/>
      <w:lvlText w:val=""/>
      <w:lvlJc w:val="left"/>
      <w:pPr>
        <w:tabs>
          <w:tab w:val="num" w:pos="5748"/>
        </w:tabs>
        <w:ind w:left="5748" w:hanging="360"/>
      </w:pPr>
      <w:rPr>
        <w:rFonts w:ascii="Wingdings" w:hAnsi="Wingdings" w:hint="default"/>
        <w:sz w:val="20"/>
      </w:rPr>
    </w:lvl>
    <w:lvl w:ilvl="8" w:tentative="1">
      <w:start w:val="1"/>
      <w:numFmt w:val="bullet"/>
      <w:lvlText w:val=""/>
      <w:lvlJc w:val="left"/>
      <w:pPr>
        <w:tabs>
          <w:tab w:val="num" w:pos="6468"/>
        </w:tabs>
        <w:ind w:left="6468" w:hanging="360"/>
      </w:pPr>
      <w:rPr>
        <w:rFonts w:ascii="Wingdings" w:hAnsi="Wingdings" w:hint="default"/>
        <w:sz w:val="20"/>
      </w:rPr>
    </w:lvl>
  </w:abstractNum>
  <w:abstractNum w:abstractNumId="9" w15:restartNumberingAfterBreak="0">
    <w:nsid w:val="48E406B5"/>
    <w:multiLevelType w:val="multilevel"/>
    <w:tmpl w:val="86A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02511"/>
    <w:multiLevelType w:val="multilevel"/>
    <w:tmpl w:val="B99AB87E"/>
    <w:lvl w:ilvl="0">
      <w:start w:val="1"/>
      <w:numFmt w:val="lowerLetter"/>
      <w:lvlText w:val="%1)"/>
      <w:lvlJc w:val="left"/>
      <w:pPr>
        <w:ind w:left="1068" w:hanging="360"/>
      </w:pPr>
      <w:rPr>
        <w:rFonts w:hint="default"/>
        <w:sz w:val="20"/>
      </w:rPr>
    </w:lvl>
    <w:lvl w:ilvl="1" w:tentative="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1788"/>
        </w:tabs>
        <w:ind w:left="1788" w:hanging="360"/>
      </w:pPr>
      <w:rPr>
        <w:rFonts w:ascii="Wingdings" w:hAnsi="Wingdings" w:hint="default"/>
        <w:sz w:val="20"/>
      </w:rPr>
    </w:lvl>
    <w:lvl w:ilvl="3" w:tentative="1">
      <w:start w:val="1"/>
      <w:numFmt w:val="bullet"/>
      <w:lvlText w:val=""/>
      <w:lvlJc w:val="left"/>
      <w:pPr>
        <w:tabs>
          <w:tab w:val="num" w:pos="2508"/>
        </w:tabs>
        <w:ind w:left="2508" w:hanging="360"/>
      </w:pPr>
      <w:rPr>
        <w:rFonts w:ascii="Wingdings" w:hAnsi="Wingdings" w:hint="default"/>
        <w:sz w:val="20"/>
      </w:rPr>
    </w:lvl>
    <w:lvl w:ilvl="4" w:tentative="1">
      <w:start w:val="1"/>
      <w:numFmt w:val="bullet"/>
      <w:lvlText w:val=""/>
      <w:lvlJc w:val="left"/>
      <w:pPr>
        <w:tabs>
          <w:tab w:val="num" w:pos="3228"/>
        </w:tabs>
        <w:ind w:left="3228" w:hanging="360"/>
      </w:pPr>
      <w:rPr>
        <w:rFonts w:ascii="Wingdings" w:hAnsi="Wingdings" w:hint="default"/>
        <w:sz w:val="20"/>
      </w:rPr>
    </w:lvl>
    <w:lvl w:ilvl="5" w:tentative="1">
      <w:start w:val="1"/>
      <w:numFmt w:val="bullet"/>
      <w:lvlText w:val=""/>
      <w:lvlJc w:val="left"/>
      <w:pPr>
        <w:tabs>
          <w:tab w:val="num" w:pos="3948"/>
        </w:tabs>
        <w:ind w:left="3948" w:hanging="360"/>
      </w:pPr>
      <w:rPr>
        <w:rFonts w:ascii="Wingdings" w:hAnsi="Wingdings" w:hint="default"/>
        <w:sz w:val="20"/>
      </w:rPr>
    </w:lvl>
    <w:lvl w:ilvl="6" w:tentative="1">
      <w:start w:val="1"/>
      <w:numFmt w:val="bullet"/>
      <w:lvlText w:val=""/>
      <w:lvlJc w:val="left"/>
      <w:pPr>
        <w:tabs>
          <w:tab w:val="num" w:pos="4668"/>
        </w:tabs>
        <w:ind w:left="4668" w:hanging="360"/>
      </w:pPr>
      <w:rPr>
        <w:rFonts w:ascii="Wingdings" w:hAnsi="Wingdings" w:hint="default"/>
        <w:sz w:val="20"/>
      </w:rPr>
    </w:lvl>
    <w:lvl w:ilvl="7" w:tentative="1">
      <w:start w:val="1"/>
      <w:numFmt w:val="bullet"/>
      <w:lvlText w:val=""/>
      <w:lvlJc w:val="left"/>
      <w:pPr>
        <w:tabs>
          <w:tab w:val="num" w:pos="5388"/>
        </w:tabs>
        <w:ind w:left="5388" w:hanging="360"/>
      </w:pPr>
      <w:rPr>
        <w:rFonts w:ascii="Wingdings" w:hAnsi="Wingdings" w:hint="default"/>
        <w:sz w:val="20"/>
      </w:rPr>
    </w:lvl>
    <w:lvl w:ilvl="8" w:tentative="1">
      <w:start w:val="1"/>
      <w:numFmt w:val="bullet"/>
      <w:lvlText w:val=""/>
      <w:lvlJc w:val="left"/>
      <w:pPr>
        <w:tabs>
          <w:tab w:val="num" w:pos="6108"/>
        </w:tabs>
        <w:ind w:left="6108" w:hanging="360"/>
      </w:pPr>
      <w:rPr>
        <w:rFonts w:ascii="Wingdings" w:hAnsi="Wingdings" w:hint="default"/>
        <w:sz w:val="20"/>
      </w:rPr>
    </w:lvl>
  </w:abstractNum>
  <w:abstractNum w:abstractNumId="11" w15:restartNumberingAfterBreak="0">
    <w:nsid w:val="527E613B"/>
    <w:multiLevelType w:val="multilevel"/>
    <w:tmpl w:val="840A18BA"/>
    <w:lvl w:ilvl="0">
      <w:start w:val="1"/>
      <w:numFmt w:val="decimal"/>
      <w:pStyle w:val="Heading1"/>
      <w:lvlText w:val="%1."/>
      <w:lvlJc w:val="left"/>
      <w:pPr>
        <w:ind w:left="1080" w:hanging="360"/>
      </w:pPr>
    </w:lvl>
    <w:lvl w:ilvl="1">
      <w:start w:val="1"/>
      <w:numFmt w:val="decimal"/>
      <w:pStyle w:val="Heading2"/>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563727F"/>
    <w:multiLevelType w:val="multilevel"/>
    <w:tmpl w:val="2BAE1CCE"/>
    <w:styleLink w:val="CurrentList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F673AEB"/>
    <w:multiLevelType w:val="hybridMultilevel"/>
    <w:tmpl w:val="F248483E"/>
    <w:lvl w:ilvl="0" w:tplc="146242D6">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619D0961"/>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EFF449E"/>
    <w:multiLevelType w:val="multilevel"/>
    <w:tmpl w:val="46BAC0B2"/>
    <w:styleLink w:val="CurrentList4"/>
    <w:lvl w:ilvl="0">
      <w:start w:val="1"/>
      <w:numFmt w:val="decimal"/>
      <w:lvlText w:val="%1."/>
      <w:lvlJc w:val="left"/>
      <w:pPr>
        <w:ind w:left="1872" w:hanging="360"/>
      </w:pPr>
    </w:lvl>
    <w:lvl w:ilvl="1">
      <w:start w:val="1"/>
      <w:numFmt w:val="decimal"/>
      <w:lvlText w:val="%1.%2."/>
      <w:lvlJc w:val="left"/>
      <w:pPr>
        <w:ind w:left="2304" w:hanging="432"/>
      </w:pPr>
    </w:lvl>
    <w:lvl w:ilvl="2">
      <w:start w:val="1"/>
      <w:numFmt w:val="decimal"/>
      <w:lvlText w:val="%1.%2.%3."/>
      <w:lvlJc w:val="left"/>
      <w:pPr>
        <w:ind w:left="2736" w:hanging="504"/>
      </w:pPr>
    </w:lvl>
    <w:lvl w:ilvl="3">
      <w:start w:val="1"/>
      <w:numFmt w:val="decimal"/>
      <w:lvlText w:val="%1.%2.%3.%4."/>
      <w:lvlJc w:val="left"/>
      <w:pPr>
        <w:ind w:left="3240" w:hanging="648"/>
      </w:pPr>
    </w:lvl>
    <w:lvl w:ilvl="4">
      <w:start w:val="1"/>
      <w:numFmt w:val="decimal"/>
      <w:lvlText w:val="%1.%2.%3.%4.%5."/>
      <w:lvlJc w:val="left"/>
      <w:pPr>
        <w:ind w:left="3744" w:hanging="792"/>
      </w:pPr>
    </w:lvl>
    <w:lvl w:ilvl="5">
      <w:start w:val="1"/>
      <w:numFmt w:val="decimal"/>
      <w:lvlText w:val="%1.%2.%3.%4.%5.%6."/>
      <w:lvlJc w:val="left"/>
      <w:pPr>
        <w:ind w:left="4248" w:hanging="936"/>
      </w:pPr>
    </w:lvl>
    <w:lvl w:ilvl="6">
      <w:start w:val="1"/>
      <w:numFmt w:val="decimal"/>
      <w:lvlText w:val="%1.%2.%3.%4.%5.%6.%7."/>
      <w:lvlJc w:val="left"/>
      <w:pPr>
        <w:ind w:left="4752" w:hanging="1080"/>
      </w:pPr>
    </w:lvl>
    <w:lvl w:ilvl="7">
      <w:start w:val="1"/>
      <w:numFmt w:val="decimal"/>
      <w:lvlText w:val="%1.%2.%3.%4.%5.%6.%7.%8."/>
      <w:lvlJc w:val="left"/>
      <w:pPr>
        <w:ind w:left="5256" w:hanging="1224"/>
      </w:pPr>
    </w:lvl>
    <w:lvl w:ilvl="8">
      <w:start w:val="1"/>
      <w:numFmt w:val="decimal"/>
      <w:lvlText w:val="%1.%2.%3.%4.%5.%6.%7.%8.%9."/>
      <w:lvlJc w:val="left"/>
      <w:pPr>
        <w:ind w:left="5832" w:hanging="1440"/>
      </w:pPr>
    </w:lvl>
  </w:abstractNum>
  <w:num w:numId="1" w16cid:durableId="968826798">
    <w:abstractNumId w:val="7"/>
  </w:num>
  <w:num w:numId="2" w16cid:durableId="1031222736">
    <w:abstractNumId w:val="11"/>
  </w:num>
  <w:num w:numId="3" w16cid:durableId="1394045184">
    <w:abstractNumId w:val="11"/>
    <w:lvlOverride w:ilvl="0">
      <w:startOverride w:val="1"/>
    </w:lvlOverride>
  </w:num>
  <w:num w:numId="4" w16cid:durableId="1231042979">
    <w:abstractNumId w:val="13"/>
  </w:num>
  <w:num w:numId="5" w16cid:durableId="424888162">
    <w:abstractNumId w:val="10"/>
  </w:num>
  <w:num w:numId="6" w16cid:durableId="2107190059">
    <w:abstractNumId w:val="8"/>
  </w:num>
  <w:num w:numId="7" w16cid:durableId="2122456961">
    <w:abstractNumId w:val="3"/>
  </w:num>
  <w:num w:numId="8" w16cid:durableId="2074041908">
    <w:abstractNumId w:val="9"/>
  </w:num>
  <w:num w:numId="9" w16cid:durableId="267130486">
    <w:abstractNumId w:val="0"/>
  </w:num>
  <w:num w:numId="10" w16cid:durableId="1527017230">
    <w:abstractNumId w:val="5"/>
  </w:num>
  <w:num w:numId="11" w16cid:durableId="1710564438">
    <w:abstractNumId w:val="12"/>
  </w:num>
  <w:num w:numId="12" w16cid:durableId="1007253576">
    <w:abstractNumId w:val="2"/>
  </w:num>
  <w:num w:numId="13" w16cid:durableId="836069529">
    <w:abstractNumId w:val="15"/>
  </w:num>
  <w:num w:numId="14" w16cid:durableId="2001732112">
    <w:abstractNumId w:val="14"/>
  </w:num>
  <w:num w:numId="15" w16cid:durableId="1534342770">
    <w:abstractNumId w:val="4"/>
  </w:num>
  <w:num w:numId="16" w16cid:durableId="1366833743">
    <w:abstractNumId w:val="6"/>
  </w:num>
  <w:num w:numId="17" w16cid:durableId="2320611">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54"/>
    <w:rsid w:val="00043D89"/>
    <w:rsid w:val="00055254"/>
    <w:rsid w:val="000D2CB8"/>
    <w:rsid w:val="000D3E98"/>
    <w:rsid w:val="000D7BE3"/>
    <w:rsid w:val="00116995"/>
    <w:rsid w:val="00167730"/>
    <w:rsid w:val="001B7207"/>
    <w:rsid w:val="001D4362"/>
    <w:rsid w:val="003173B2"/>
    <w:rsid w:val="00372000"/>
    <w:rsid w:val="00390EEA"/>
    <w:rsid w:val="003E1281"/>
    <w:rsid w:val="00447157"/>
    <w:rsid w:val="00481834"/>
    <w:rsid w:val="004D1E22"/>
    <w:rsid w:val="0059647A"/>
    <w:rsid w:val="005C6DD3"/>
    <w:rsid w:val="0061320E"/>
    <w:rsid w:val="00646E50"/>
    <w:rsid w:val="00657670"/>
    <w:rsid w:val="007833A7"/>
    <w:rsid w:val="007D1019"/>
    <w:rsid w:val="007E3953"/>
    <w:rsid w:val="008161C4"/>
    <w:rsid w:val="00855982"/>
    <w:rsid w:val="008D5616"/>
    <w:rsid w:val="0098432B"/>
    <w:rsid w:val="009D2093"/>
    <w:rsid w:val="00A10484"/>
    <w:rsid w:val="00A315BF"/>
    <w:rsid w:val="00AC342E"/>
    <w:rsid w:val="00AD4178"/>
    <w:rsid w:val="00B36ABE"/>
    <w:rsid w:val="00B836CC"/>
    <w:rsid w:val="00BA2F39"/>
    <w:rsid w:val="00BD64D8"/>
    <w:rsid w:val="00BE5B1C"/>
    <w:rsid w:val="00C30C21"/>
    <w:rsid w:val="00C4268E"/>
    <w:rsid w:val="00C51D44"/>
    <w:rsid w:val="00CE37B2"/>
    <w:rsid w:val="00D3037B"/>
    <w:rsid w:val="00D750F6"/>
    <w:rsid w:val="00D9776C"/>
    <w:rsid w:val="00E6220B"/>
    <w:rsid w:val="00E81757"/>
    <w:rsid w:val="00E85305"/>
    <w:rsid w:val="00F131B7"/>
    <w:rsid w:val="00FD262C"/>
    <w:rsid w:val="00FE09A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7783"/>
  <w15:chartTrackingRefBased/>
  <w15:docId w15:val="{37F473C5-FF6D-3341-8B38-661CDDEA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D89"/>
    <w:pPr>
      <w:spacing w:after="240" w:line="240" w:lineRule="auto"/>
      <w:ind w:firstLine="360"/>
      <w:jc w:val="both"/>
    </w:pPr>
    <w:rPr>
      <w:rFonts w:ascii="Times New Roman" w:hAnsi="Times New Roman"/>
      <w:lang w:eastAsia="en-US"/>
    </w:rPr>
  </w:style>
  <w:style w:type="paragraph" w:styleId="Heading1">
    <w:name w:val="heading 1"/>
    <w:basedOn w:val="Normal"/>
    <w:next w:val="Normal"/>
    <w:link w:val="Heading1Char"/>
    <w:autoRedefine/>
    <w:uiPriority w:val="9"/>
    <w:qFormat/>
    <w:rsid w:val="001B7207"/>
    <w:pPr>
      <w:keepNext/>
      <w:keepLines/>
      <w:numPr>
        <w:numId w:val="2"/>
      </w:numPr>
      <w:spacing w:before="240"/>
      <w:outlineLvl w:val="0"/>
    </w:pPr>
    <w:rPr>
      <w:rFonts w:eastAsiaTheme="majorEastAsia" w:cs="Times New Roman (Headings CS)"/>
      <w:b/>
      <w:bCs/>
      <w:smallCaps/>
      <w:sz w:val="32"/>
      <w:szCs w:val="36"/>
    </w:rPr>
  </w:style>
  <w:style w:type="paragraph" w:styleId="Heading2">
    <w:name w:val="heading 2"/>
    <w:basedOn w:val="Normal"/>
    <w:next w:val="Normal"/>
    <w:link w:val="Heading2Char"/>
    <w:autoRedefine/>
    <w:uiPriority w:val="9"/>
    <w:unhideWhenUsed/>
    <w:qFormat/>
    <w:rsid w:val="00043D89"/>
    <w:pPr>
      <w:keepNext/>
      <w:keepLines/>
      <w:numPr>
        <w:ilvl w:val="1"/>
        <w:numId w:val="2"/>
      </w:numPr>
      <w:spacing w:before="360" w:after="0"/>
      <w:outlineLvl w:val="1"/>
    </w:pPr>
    <w:rPr>
      <w:rFonts w:eastAsiaTheme="majorEastAsia" w:cstheme="majorBidi"/>
      <w:b/>
      <w:bCs/>
      <w:smallCaps/>
      <w:sz w:val="24"/>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4268E"/>
    <w:pPr>
      <w:spacing w:after="0"/>
      <w:contextualSpacing/>
    </w:pPr>
    <w:rPr>
      <w:rFonts w:eastAsiaTheme="majorEastAsia" w:cstheme="majorBidi"/>
      <w:sz w:val="56"/>
      <w:szCs w:val="56"/>
    </w:rPr>
  </w:style>
  <w:style w:type="character" w:customStyle="1" w:styleId="TitleChar">
    <w:name w:val="Title Char"/>
    <w:basedOn w:val="DefaultParagraphFont"/>
    <w:link w:val="Title"/>
    <w:uiPriority w:val="1"/>
    <w:rsid w:val="00C4268E"/>
    <w:rPr>
      <w:rFonts w:ascii="Times New Roman" w:eastAsiaTheme="majorEastAsia" w:hAnsi="Times New Roman" w:cstheme="majorBidi"/>
      <w:sz w:val="56"/>
      <w:szCs w:val="56"/>
      <w:lang w:eastAsia="en-US"/>
    </w:rPr>
  </w:style>
  <w:style w:type="paragraph" w:styleId="Header">
    <w:name w:val="header"/>
    <w:basedOn w:val="Normal"/>
    <w:link w:val="HeaderChar"/>
    <w:uiPriority w:val="99"/>
    <w:unhideWhenUsed/>
    <w:rsid w:val="00855982"/>
    <w:pPr>
      <w:spacing w:after="0"/>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1B7207"/>
    <w:rPr>
      <w:rFonts w:ascii="Times New Roman" w:eastAsiaTheme="majorEastAsia" w:hAnsi="Times New Roman" w:cs="Times New Roman (Headings CS)"/>
      <w:b/>
      <w:bCs/>
      <w:smallCaps/>
      <w:sz w:val="32"/>
      <w:szCs w:val="36"/>
      <w:lang w:eastAsia="en-US"/>
    </w:rPr>
  </w:style>
  <w:style w:type="character" w:customStyle="1" w:styleId="Heading2Char">
    <w:name w:val="Heading 2 Char"/>
    <w:basedOn w:val="DefaultParagraphFont"/>
    <w:link w:val="Heading2"/>
    <w:uiPriority w:val="9"/>
    <w:rsid w:val="00043D89"/>
    <w:rPr>
      <w:rFonts w:ascii="Times New Roman" w:eastAsiaTheme="majorEastAsia" w:hAnsi="Times New Roman" w:cstheme="majorBidi"/>
      <w:b/>
      <w:bCs/>
      <w:smallCaps/>
      <w:sz w:val="24"/>
      <w:szCs w:val="28"/>
      <w:lang w:eastAsia="en-US"/>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pPr>
    <w:rPr>
      <w:i/>
      <w:iCs/>
      <w:color w:val="0E2841"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0A2F41" w:themeColor="accent1" w:themeShade="80" w:shadow="1"/>
        <w:left w:val="single" w:sz="2" w:space="10" w:color="0A2F41" w:themeColor="accent1" w:themeShade="80" w:shadow="1"/>
        <w:bottom w:val="single" w:sz="2" w:space="10" w:color="0A2F41" w:themeColor="accent1" w:themeShade="80" w:shadow="1"/>
        <w:right w:val="single" w:sz="2" w:space="10" w:color="0A2F41" w:themeColor="accent1" w:themeShade="80" w:shadow="1"/>
      </w:pBdr>
      <w:ind w:left="1152" w:right="1152"/>
    </w:pPr>
    <w:rPr>
      <w:i/>
      <w:iCs/>
      <w:color w:val="0A2F41" w:themeColor="accent1" w:themeShade="80"/>
    </w:rPr>
  </w:style>
  <w:style w:type="character" w:styleId="FollowedHyperlink">
    <w:name w:val="FollowedHyperlink"/>
    <w:basedOn w:val="DefaultParagraphFont"/>
    <w:uiPriority w:val="99"/>
    <w:semiHidden/>
    <w:unhideWhenUsed/>
    <w:rsid w:val="007833A7"/>
    <w:rPr>
      <w:color w:val="0A2F41" w:themeColor="accent1" w:themeShade="80"/>
      <w:u w:val="single"/>
    </w:rPr>
  </w:style>
  <w:style w:type="character" w:styleId="Hyperlink">
    <w:name w:val="Hyperlink"/>
    <w:basedOn w:val="DefaultParagraphFont"/>
    <w:uiPriority w:val="99"/>
    <w:unhideWhenUsed/>
    <w:rsid w:val="007833A7"/>
    <w:rPr>
      <w:color w:val="0B769F"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0F4761"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FD262C"/>
    <w:rPr>
      <w:i/>
      <w:iCs/>
      <w:color w:val="0F4761" w:themeColor="accent1" w:themeShade="BF"/>
    </w:rPr>
  </w:style>
  <w:style w:type="character" w:styleId="IntenseReference">
    <w:name w:val="Intense Reference"/>
    <w:basedOn w:val="DefaultParagraphFont"/>
    <w:uiPriority w:val="32"/>
    <w:semiHidden/>
    <w:unhideWhenUsed/>
    <w:qFormat/>
    <w:rsid w:val="00FD262C"/>
    <w:rPr>
      <w:b/>
      <w:bCs/>
      <w:caps w:val="0"/>
      <w:smallCaps/>
      <w:color w:val="0F4761" w:themeColor="accent1" w:themeShade="BF"/>
      <w:spacing w:val="5"/>
    </w:rPr>
  </w:style>
  <w:style w:type="paragraph" w:styleId="ListParagraph">
    <w:name w:val="List Paragraph"/>
    <w:basedOn w:val="Normal"/>
    <w:uiPriority w:val="34"/>
    <w:unhideWhenUsed/>
    <w:qFormat/>
    <w:rsid w:val="00F131B7"/>
    <w:pPr>
      <w:ind w:left="720"/>
      <w:contextualSpacing/>
    </w:pPr>
  </w:style>
  <w:style w:type="paragraph" w:styleId="TOC1">
    <w:name w:val="toc 1"/>
    <w:basedOn w:val="Normal"/>
    <w:next w:val="Normal"/>
    <w:autoRedefine/>
    <w:uiPriority w:val="39"/>
    <w:unhideWhenUsed/>
    <w:rsid w:val="00F131B7"/>
    <w:pPr>
      <w:spacing w:before="120" w:after="0"/>
    </w:pPr>
    <w:rPr>
      <w:b/>
      <w:bCs/>
      <w:i/>
      <w:iCs/>
      <w:sz w:val="24"/>
      <w:szCs w:val="24"/>
    </w:rPr>
  </w:style>
  <w:style w:type="paragraph" w:styleId="TOC2">
    <w:name w:val="toc 2"/>
    <w:basedOn w:val="Normal"/>
    <w:next w:val="Normal"/>
    <w:autoRedefine/>
    <w:uiPriority w:val="39"/>
    <w:unhideWhenUsed/>
    <w:rsid w:val="00F131B7"/>
    <w:pPr>
      <w:spacing w:before="120" w:after="0"/>
      <w:ind w:left="220"/>
    </w:pPr>
    <w:rPr>
      <w:b/>
      <w:bCs/>
    </w:rPr>
  </w:style>
  <w:style w:type="paragraph" w:styleId="TOC3">
    <w:name w:val="toc 3"/>
    <w:basedOn w:val="Normal"/>
    <w:next w:val="Normal"/>
    <w:autoRedefine/>
    <w:uiPriority w:val="39"/>
    <w:unhideWhenUsed/>
    <w:rsid w:val="00F131B7"/>
    <w:pPr>
      <w:spacing w:after="0"/>
      <w:ind w:left="440"/>
    </w:pPr>
    <w:rPr>
      <w:sz w:val="20"/>
      <w:szCs w:val="20"/>
    </w:rPr>
  </w:style>
  <w:style w:type="paragraph" w:styleId="TOC4">
    <w:name w:val="toc 4"/>
    <w:basedOn w:val="Normal"/>
    <w:next w:val="Normal"/>
    <w:autoRedefine/>
    <w:uiPriority w:val="39"/>
    <w:semiHidden/>
    <w:unhideWhenUsed/>
    <w:rsid w:val="00F131B7"/>
    <w:pPr>
      <w:spacing w:after="0"/>
      <w:ind w:left="660"/>
    </w:pPr>
    <w:rPr>
      <w:sz w:val="20"/>
      <w:szCs w:val="20"/>
    </w:rPr>
  </w:style>
  <w:style w:type="paragraph" w:styleId="TOC5">
    <w:name w:val="toc 5"/>
    <w:basedOn w:val="Normal"/>
    <w:next w:val="Normal"/>
    <w:autoRedefine/>
    <w:uiPriority w:val="39"/>
    <w:semiHidden/>
    <w:unhideWhenUsed/>
    <w:rsid w:val="00F131B7"/>
    <w:pPr>
      <w:spacing w:after="0"/>
      <w:ind w:left="880"/>
    </w:pPr>
    <w:rPr>
      <w:sz w:val="20"/>
      <w:szCs w:val="20"/>
    </w:rPr>
  </w:style>
  <w:style w:type="paragraph" w:styleId="TOC6">
    <w:name w:val="toc 6"/>
    <w:basedOn w:val="Normal"/>
    <w:next w:val="Normal"/>
    <w:autoRedefine/>
    <w:uiPriority w:val="39"/>
    <w:semiHidden/>
    <w:unhideWhenUsed/>
    <w:rsid w:val="00F131B7"/>
    <w:pPr>
      <w:spacing w:after="0"/>
      <w:ind w:left="1100"/>
    </w:pPr>
    <w:rPr>
      <w:sz w:val="20"/>
      <w:szCs w:val="20"/>
    </w:rPr>
  </w:style>
  <w:style w:type="paragraph" w:styleId="TOC7">
    <w:name w:val="toc 7"/>
    <w:basedOn w:val="Normal"/>
    <w:next w:val="Normal"/>
    <w:autoRedefine/>
    <w:uiPriority w:val="39"/>
    <w:semiHidden/>
    <w:unhideWhenUsed/>
    <w:rsid w:val="00F131B7"/>
    <w:pPr>
      <w:spacing w:after="0"/>
      <w:ind w:left="1320"/>
    </w:pPr>
    <w:rPr>
      <w:sz w:val="20"/>
      <w:szCs w:val="20"/>
    </w:rPr>
  </w:style>
  <w:style w:type="paragraph" w:styleId="TOC8">
    <w:name w:val="toc 8"/>
    <w:basedOn w:val="Normal"/>
    <w:next w:val="Normal"/>
    <w:autoRedefine/>
    <w:uiPriority w:val="39"/>
    <w:semiHidden/>
    <w:unhideWhenUsed/>
    <w:rsid w:val="00F131B7"/>
    <w:pPr>
      <w:spacing w:after="0"/>
      <w:ind w:left="1540"/>
    </w:pPr>
    <w:rPr>
      <w:sz w:val="20"/>
      <w:szCs w:val="20"/>
    </w:rPr>
  </w:style>
  <w:style w:type="paragraph" w:styleId="TOC9">
    <w:name w:val="toc 9"/>
    <w:basedOn w:val="Normal"/>
    <w:next w:val="Normal"/>
    <w:autoRedefine/>
    <w:uiPriority w:val="39"/>
    <w:semiHidden/>
    <w:unhideWhenUsed/>
    <w:rsid w:val="00F131B7"/>
    <w:pPr>
      <w:spacing w:after="0"/>
      <w:ind w:left="1760"/>
    </w:pPr>
    <w:rPr>
      <w:sz w:val="20"/>
      <w:szCs w:val="20"/>
    </w:rPr>
  </w:style>
  <w:style w:type="paragraph" w:customStyle="1" w:styleId="paragraph">
    <w:name w:val="paragraph"/>
    <w:basedOn w:val="Normal"/>
    <w:rsid w:val="009D2093"/>
    <w:pPr>
      <w:spacing w:before="100" w:beforeAutospacing="1" w:after="100" w:afterAutospacing="1"/>
      <w:ind w:firstLine="0"/>
      <w:jc w:val="left"/>
    </w:pPr>
    <w:rPr>
      <w:rFonts w:eastAsia="Times New Roman" w:cs="Times New Roman"/>
      <w:sz w:val="24"/>
      <w:szCs w:val="24"/>
    </w:rPr>
  </w:style>
  <w:style w:type="character" w:customStyle="1" w:styleId="normaltextrun">
    <w:name w:val="normaltextrun"/>
    <w:basedOn w:val="DefaultParagraphFont"/>
    <w:rsid w:val="009D2093"/>
  </w:style>
  <w:style w:type="character" w:customStyle="1" w:styleId="eop">
    <w:name w:val="eop"/>
    <w:basedOn w:val="DefaultParagraphFont"/>
    <w:rsid w:val="009D2093"/>
  </w:style>
  <w:style w:type="character" w:styleId="UnresolvedMention">
    <w:name w:val="Unresolved Mention"/>
    <w:basedOn w:val="DefaultParagraphFont"/>
    <w:uiPriority w:val="99"/>
    <w:semiHidden/>
    <w:unhideWhenUsed/>
    <w:rsid w:val="00C4268E"/>
    <w:rPr>
      <w:color w:val="605E5C"/>
      <w:shd w:val="clear" w:color="auto" w:fill="E1DFDD"/>
    </w:rPr>
  </w:style>
  <w:style w:type="numbering" w:customStyle="1" w:styleId="CurrentList1">
    <w:name w:val="Current List1"/>
    <w:uiPriority w:val="99"/>
    <w:rsid w:val="003173B2"/>
    <w:pPr>
      <w:numPr>
        <w:numId w:val="10"/>
      </w:numPr>
    </w:pPr>
  </w:style>
  <w:style w:type="numbering" w:customStyle="1" w:styleId="CurrentList2">
    <w:name w:val="Current List2"/>
    <w:uiPriority w:val="99"/>
    <w:rsid w:val="003173B2"/>
    <w:pPr>
      <w:numPr>
        <w:numId w:val="11"/>
      </w:numPr>
    </w:pPr>
  </w:style>
  <w:style w:type="numbering" w:customStyle="1" w:styleId="CurrentList3">
    <w:name w:val="Current List3"/>
    <w:uiPriority w:val="99"/>
    <w:rsid w:val="003173B2"/>
    <w:pPr>
      <w:numPr>
        <w:numId w:val="12"/>
      </w:numPr>
    </w:pPr>
  </w:style>
  <w:style w:type="numbering" w:customStyle="1" w:styleId="CurrentList4">
    <w:name w:val="Current List4"/>
    <w:uiPriority w:val="99"/>
    <w:rsid w:val="003173B2"/>
    <w:pPr>
      <w:numPr>
        <w:numId w:val="13"/>
      </w:numPr>
    </w:pPr>
  </w:style>
  <w:style w:type="numbering" w:customStyle="1" w:styleId="CurrentList5">
    <w:name w:val="Current List5"/>
    <w:uiPriority w:val="99"/>
    <w:rsid w:val="001B7207"/>
    <w:pPr>
      <w:numPr>
        <w:numId w:val="14"/>
      </w:numPr>
    </w:pPr>
  </w:style>
  <w:style w:type="numbering" w:customStyle="1" w:styleId="CurrentList6">
    <w:name w:val="Current List6"/>
    <w:uiPriority w:val="99"/>
    <w:rsid w:val="001B7207"/>
    <w:pPr>
      <w:numPr>
        <w:numId w:val="15"/>
      </w:numPr>
    </w:pPr>
  </w:style>
  <w:style w:type="paragraph" w:styleId="Revision">
    <w:name w:val="Revision"/>
    <w:hidden/>
    <w:uiPriority w:val="99"/>
    <w:semiHidden/>
    <w:rsid w:val="00D9776C"/>
    <w:pPr>
      <w:spacing w:after="0" w:line="240" w:lineRule="auto"/>
    </w:pPr>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89482">
      <w:bodyDiv w:val="1"/>
      <w:marLeft w:val="0"/>
      <w:marRight w:val="0"/>
      <w:marTop w:val="0"/>
      <w:marBottom w:val="0"/>
      <w:divBdr>
        <w:top w:val="none" w:sz="0" w:space="0" w:color="auto"/>
        <w:left w:val="none" w:sz="0" w:space="0" w:color="auto"/>
        <w:bottom w:val="none" w:sz="0" w:space="0" w:color="auto"/>
        <w:right w:val="none" w:sz="0" w:space="0" w:color="auto"/>
      </w:divBdr>
      <w:divsChild>
        <w:div w:id="1050114044">
          <w:marLeft w:val="0"/>
          <w:marRight w:val="0"/>
          <w:marTop w:val="0"/>
          <w:marBottom w:val="0"/>
          <w:divBdr>
            <w:top w:val="none" w:sz="0" w:space="0" w:color="auto"/>
            <w:left w:val="none" w:sz="0" w:space="0" w:color="auto"/>
            <w:bottom w:val="none" w:sz="0" w:space="0" w:color="auto"/>
            <w:right w:val="none" w:sz="0" w:space="0" w:color="auto"/>
          </w:divBdr>
          <w:divsChild>
            <w:div w:id="1793284120">
              <w:marLeft w:val="0"/>
              <w:marRight w:val="0"/>
              <w:marTop w:val="0"/>
              <w:marBottom w:val="0"/>
              <w:divBdr>
                <w:top w:val="none" w:sz="0" w:space="0" w:color="auto"/>
                <w:left w:val="none" w:sz="0" w:space="0" w:color="auto"/>
                <w:bottom w:val="none" w:sz="0" w:space="0" w:color="auto"/>
                <w:right w:val="none" w:sz="0" w:space="0" w:color="auto"/>
              </w:divBdr>
            </w:div>
          </w:divsChild>
        </w:div>
        <w:div w:id="1773431887">
          <w:marLeft w:val="0"/>
          <w:marRight w:val="0"/>
          <w:marTop w:val="0"/>
          <w:marBottom w:val="0"/>
          <w:divBdr>
            <w:top w:val="none" w:sz="0" w:space="0" w:color="auto"/>
            <w:left w:val="none" w:sz="0" w:space="0" w:color="auto"/>
            <w:bottom w:val="none" w:sz="0" w:space="0" w:color="auto"/>
            <w:right w:val="none" w:sz="0" w:space="0" w:color="auto"/>
          </w:divBdr>
          <w:divsChild>
            <w:div w:id="483745548">
              <w:marLeft w:val="0"/>
              <w:marRight w:val="0"/>
              <w:marTop w:val="0"/>
              <w:marBottom w:val="0"/>
              <w:divBdr>
                <w:top w:val="none" w:sz="0" w:space="0" w:color="auto"/>
                <w:left w:val="none" w:sz="0" w:space="0" w:color="auto"/>
                <w:bottom w:val="none" w:sz="0" w:space="0" w:color="auto"/>
                <w:right w:val="none" w:sz="0" w:space="0" w:color="auto"/>
              </w:divBdr>
            </w:div>
          </w:divsChild>
        </w:div>
        <w:div w:id="1730349499">
          <w:marLeft w:val="0"/>
          <w:marRight w:val="0"/>
          <w:marTop w:val="0"/>
          <w:marBottom w:val="0"/>
          <w:divBdr>
            <w:top w:val="none" w:sz="0" w:space="0" w:color="auto"/>
            <w:left w:val="none" w:sz="0" w:space="0" w:color="auto"/>
            <w:bottom w:val="none" w:sz="0" w:space="0" w:color="auto"/>
            <w:right w:val="none" w:sz="0" w:space="0" w:color="auto"/>
          </w:divBdr>
          <w:divsChild>
            <w:div w:id="995646016">
              <w:marLeft w:val="0"/>
              <w:marRight w:val="0"/>
              <w:marTop w:val="0"/>
              <w:marBottom w:val="0"/>
              <w:divBdr>
                <w:top w:val="none" w:sz="0" w:space="0" w:color="auto"/>
                <w:left w:val="none" w:sz="0" w:space="0" w:color="auto"/>
                <w:bottom w:val="none" w:sz="0" w:space="0" w:color="auto"/>
                <w:right w:val="none" w:sz="0" w:space="0" w:color="auto"/>
              </w:divBdr>
            </w:div>
          </w:divsChild>
        </w:div>
        <w:div w:id="734158292">
          <w:marLeft w:val="0"/>
          <w:marRight w:val="0"/>
          <w:marTop w:val="0"/>
          <w:marBottom w:val="0"/>
          <w:divBdr>
            <w:top w:val="none" w:sz="0" w:space="0" w:color="auto"/>
            <w:left w:val="none" w:sz="0" w:space="0" w:color="auto"/>
            <w:bottom w:val="none" w:sz="0" w:space="0" w:color="auto"/>
            <w:right w:val="none" w:sz="0" w:space="0" w:color="auto"/>
          </w:divBdr>
          <w:divsChild>
            <w:div w:id="1429425532">
              <w:marLeft w:val="0"/>
              <w:marRight w:val="0"/>
              <w:marTop w:val="0"/>
              <w:marBottom w:val="0"/>
              <w:divBdr>
                <w:top w:val="none" w:sz="0" w:space="0" w:color="auto"/>
                <w:left w:val="none" w:sz="0" w:space="0" w:color="auto"/>
                <w:bottom w:val="none" w:sz="0" w:space="0" w:color="auto"/>
                <w:right w:val="none" w:sz="0" w:space="0" w:color="auto"/>
              </w:divBdr>
            </w:div>
          </w:divsChild>
        </w:div>
        <w:div w:id="40790335">
          <w:marLeft w:val="0"/>
          <w:marRight w:val="0"/>
          <w:marTop w:val="0"/>
          <w:marBottom w:val="0"/>
          <w:divBdr>
            <w:top w:val="none" w:sz="0" w:space="0" w:color="auto"/>
            <w:left w:val="none" w:sz="0" w:space="0" w:color="auto"/>
            <w:bottom w:val="none" w:sz="0" w:space="0" w:color="auto"/>
            <w:right w:val="none" w:sz="0" w:space="0" w:color="auto"/>
          </w:divBdr>
          <w:divsChild>
            <w:div w:id="725450270">
              <w:marLeft w:val="0"/>
              <w:marRight w:val="0"/>
              <w:marTop w:val="0"/>
              <w:marBottom w:val="0"/>
              <w:divBdr>
                <w:top w:val="none" w:sz="0" w:space="0" w:color="auto"/>
                <w:left w:val="none" w:sz="0" w:space="0" w:color="auto"/>
                <w:bottom w:val="none" w:sz="0" w:space="0" w:color="auto"/>
                <w:right w:val="none" w:sz="0" w:space="0" w:color="auto"/>
              </w:divBdr>
            </w:div>
          </w:divsChild>
        </w:div>
        <w:div w:id="1419716475">
          <w:marLeft w:val="0"/>
          <w:marRight w:val="0"/>
          <w:marTop w:val="0"/>
          <w:marBottom w:val="0"/>
          <w:divBdr>
            <w:top w:val="none" w:sz="0" w:space="0" w:color="auto"/>
            <w:left w:val="none" w:sz="0" w:space="0" w:color="auto"/>
            <w:bottom w:val="none" w:sz="0" w:space="0" w:color="auto"/>
            <w:right w:val="none" w:sz="0" w:space="0" w:color="auto"/>
          </w:divBdr>
          <w:divsChild>
            <w:div w:id="1005597398">
              <w:marLeft w:val="0"/>
              <w:marRight w:val="0"/>
              <w:marTop w:val="0"/>
              <w:marBottom w:val="0"/>
              <w:divBdr>
                <w:top w:val="none" w:sz="0" w:space="0" w:color="auto"/>
                <w:left w:val="none" w:sz="0" w:space="0" w:color="auto"/>
                <w:bottom w:val="none" w:sz="0" w:space="0" w:color="auto"/>
                <w:right w:val="none" w:sz="0" w:space="0" w:color="auto"/>
              </w:divBdr>
            </w:div>
          </w:divsChild>
        </w:div>
        <w:div w:id="1335450692">
          <w:marLeft w:val="0"/>
          <w:marRight w:val="0"/>
          <w:marTop w:val="0"/>
          <w:marBottom w:val="0"/>
          <w:divBdr>
            <w:top w:val="none" w:sz="0" w:space="0" w:color="auto"/>
            <w:left w:val="none" w:sz="0" w:space="0" w:color="auto"/>
            <w:bottom w:val="none" w:sz="0" w:space="0" w:color="auto"/>
            <w:right w:val="none" w:sz="0" w:space="0" w:color="auto"/>
          </w:divBdr>
          <w:divsChild>
            <w:div w:id="657346874">
              <w:marLeft w:val="0"/>
              <w:marRight w:val="0"/>
              <w:marTop w:val="0"/>
              <w:marBottom w:val="0"/>
              <w:divBdr>
                <w:top w:val="none" w:sz="0" w:space="0" w:color="auto"/>
                <w:left w:val="none" w:sz="0" w:space="0" w:color="auto"/>
                <w:bottom w:val="none" w:sz="0" w:space="0" w:color="auto"/>
                <w:right w:val="none" w:sz="0" w:space="0" w:color="auto"/>
              </w:divBdr>
            </w:div>
          </w:divsChild>
        </w:div>
        <w:div w:id="1118722719">
          <w:marLeft w:val="0"/>
          <w:marRight w:val="0"/>
          <w:marTop w:val="0"/>
          <w:marBottom w:val="0"/>
          <w:divBdr>
            <w:top w:val="none" w:sz="0" w:space="0" w:color="auto"/>
            <w:left w:val="none" w:sz="0" w:space="0" w:color="auto"/>
            <w:bottom w:val="none" w:sz="0" w:space="0" w:color="auto"/>
            <w:right w:val="none" w:sz="0" w:space="0" w:color="auto"/>
          </w:divBdr>
          <w:divsChild>
            <w:div w:id="946733545">
              <w:marLeft w:val="0"/>
              <w:marRight w:val="0"/>
              <w:marTop w:val="0"/>
              <w:marBottom w:val="0"/>
              <w:divBdr>
                <w:top w:val="none" w:sz="0" w:space="0" w:color="auto"/>
                <w:left w:val="none" w:sz="0" w:space="0" w:color="auto"/>
                <w:bottom w:val="none" w:sz="0" w:space="0" w:color="auto"/>
                <w:right w:val="none" w:sz="0" w:space="0" w:color="auto"/>
              </w:divBdr>
            </w:div>
          </w:divsChild>
        </w:div>
        <w:div w:id="906262002">
          <w:marLeft w:val="0"/>
          <w:marRight w:val="0"/>
          <w:marTop w:val="0"/>
          <w:marBottom w:val="0"/>
          <w:divBdr>
            <w:top w:val="none" w:sz="0" w:space="0" w:color="auto"/>
            <w:left w:val="none" w:sz="0" w:space="0" w:color="auto"/>
            <w:bottom w:val="none" w:sz="0" w:space="0" w:color="auto"/>
            <w:right w:val="none" w:sz="0" w:space="0" w:color="auto"/>
          </w:divBdr>
          <w:divsChild>
            <w:div w:id="778796479">
              <w:marLeft w:val="0"/>
              <w:marRight w:val="0"/>
              <w:marTop w:val="0"/>
              <w:marBottom w:val="0"/>
              <w:divBdr>
                <w:top w:val="none" w:sz="0" w:space="0" w:color="auto"/>
                <w:left w:val="none" w:sz="0" w:space="0" w:color="auto"/>
                <w:bottom w:val="none" w:sz="0" w:space="0" w:color="auto"/>
                <w:right w:val="none" w:sz="0" w:space="0" w:color="auto"/>
              </w:divBdr>
            </w:div>
          </w:divsChild>
        </w:div>
        <w:div w:id="1326936925">
          <w:marLeft w:val="0"/>
          <w:marRight w:val="0"/>
          <w:marTop w:val="0"/>
          <w:marBottom w:val="0"/>
          <w:divBdr>
            <w:top w:val="none" w:sz="0" w:space="0" w:color="auto"/>
            <w:left w:val="none" w:sz="0" w:space="0" w:color="auto"/>
            <w:bottom w:val="none" w:sz="0" w:space="0" w:color="auto"/>
            <w:right w:val="none" w:sz="0" w:space="0" w:color="auto"/>
          </w:divBdr>
          <w:divsChild>
            <w:div w:id="1648320914">
              <w:marLeft w:val="0"/>
              <w:marRight w:val="0"/>
              <w:marTop w:val="0"/>
              <w:marBottom w:val="0"/>
              <w:divBdr>
                <w:top w:val="none" w:sz="0" w:space="0" w:color="auto"/>
                <w:left w:val="none" w:sz="0" w:space="0" w:color="auto"/>
                <w:bottom w:val="none" w:sz="0" w:space="0" w:color="auto"/>
                <w:right w:val="none" w:sz="0" w:space="0" w:color="auto"/>
              </w:divBdr>
            </w:div>
          </w:divsChild>
        </w:div>
        <w:div w:id="1914048229">
          <w:marLeft w:val="0"/>
          <w:marRight w:val="0"/>
          <w:marTop w:val="0"/>
          <w:marBottom w:val="0"/>
          <w:divBdr>
            <w:top w:val="none" w:sz="0" w:space="0" w:color="auto"/>
            <w:left w:val="none" w:sz="0" w:space="0" w:color="auto"/>
            <w:bottom w:val="none" w:sz="0" w:space="0" w:color="auto"/>
            <w:right w:val="none" w:sz="0" w:space="0" w:color="auto"/>
          </w:divBdr>
          <w:divsChild>
            <w:div w:id="1945452088">
              <w:marLeft w:val="0"/>
              <w:marRight w:val="0"/>
              <w:marTop w:val="0"/>
              <w:marBottom w:val="0"/>
              <w:divBdr>
                <w:top w:val="none" w:sz="0" w:space="0" w:color="auto"/>
                <w:left w:val="none" w:sz="0" w:space="0" w:color="auto"/>
                <w:bottom w:val="none" w:sz="0" w:space="0" w:color="auto"/>
                <w:right w:val="none" w:sz="0" w:space="0" w:color="auto"/>
              </w:divBdr>
            </w:div>
          </w:divsChild>
        </w:div>
        <w:div w:id="1465342685">
          <w:marLeft w:val="0"/>
          <w:marRight w:val="0"/>
          <w:marTop w:val="0"/>
          <w:marBottom w:val="0"/>
          <w:divBdr>
            <w:top w:val="none" w:sz="0" w:space="0" w:color="auto"/>
            <w:left w:val="none" w:sz="0" w:space="0" w:color="auto"/>
            <w:bottom w:val="none" w:sz="0" w:space="0" w:color="auto"/>
            <w:right w:val="none" w:sz="0" w:space="0" w:color="auto"/>
          </w:divBdr>
          <w:divsChild>
            <w:div w:id="1654137524">
              <w:marLeft w:val="0"/>
              <w:marRight w:val="0"/>
              <w:marTop w:val="0"/>
              <w:marBottom w:val="0"/>
              <w:divBdr>
                <w:top w:val="none" w:sz="0" w:space="0" w:color="auto"/>
                <w:left w:val="none" w:sz="0" w:space="0" w:color="auto"/>
                <w:bottom w:val="none" w:sz="0" w:space="0" w:color="auto"/>
                <w:right w:val="none" w:sz="0" w:space="0" w:color="auto"/>
              </w:divBdr>
            </w:div>
          </w:divsChild>
        </w:div>
        <w:div w:id="876355527">
          <w:marLeft w:val="0"/>
          <w:marRight w:val="0"/>
          <w:marTop w:val="0"/>
          <w:marBottom w:val="0"/>
          <w:divBdr>
            <w:top w:val="none" w:sz="0" w:space="0" w:color="auto"/>
            <w:left w:val="none" w:sz="0" w:space="0" w:color="auto"/>
            <w:bottom w:val="none" w:sz="0" w:space="0" w:color="auto"/>
            <w:right w:val="none" w:sz="0" w:space="0" w:color="auto"/>
          </w:divBdr>
          <w:divsChild>
            <w:div w:id="1913393121">
              <w:marLeft w:val="0"/>
              <w:marRight w:val="0"/>
              <w:marTop w:val="0"/>
              <w:marBottom w:val="0"/>
              <w:divBdr>
                <w:top w:val="none" w:sz="0" w:space="0" w:color="auto"/>
                <w:left w:val="none" w:sz="0" w:space="0" w:color="auto"/>
                <w:bottom w:val="none" w:sz="0" w:space="0" w:color="auto"/>
                <w:right w:val="none" w:sz="0" w:space="0" w:color="auto"/>
              </w:divBdr>
            </w:div>
          </w:divsChild>
        </w:div>
        <w:div w:id="1262181693">
          <w:marLeft w:val="0"/>
          <w:marRight w:val="0"/>
          <w:marTop w:val="0"/>
          <w:marBottom w:val="0"/>
          <w:divBdr>
            <w:top w:val="none" w:sz="0" w:space="0" w:color="auto"/>
            <w:left w:val="none" w:sz="0" w:space="0" w:color="auto"/>
            <w:bottom w:val="none" w:sz="0" w:space="0" w:color="auto"/>
            <w:right w:val="none" w:sz="0" w:space="0" w:color="auto"/>
          </w:divBdr>
          <w:divsChild>
            <w:div w:id="434138492">
              <w:marLeft w:val="0"/>
              <w:marRight w:val="0"/>
              <w:marTop w:val="0"/>
              <w:marBottom w:val="0"/>
              <w:divBdr>
                <w:top w:val="none" w:sz="0" w:space="0" w:color="auto"/>
                <w:left w:val="none" w:sz="0" w:space="0" w:color="auto"/>
                <w:bottom w:val="none" w:sz="0" w:space="0" w:color="auto"/>
                <w:right w:val="none" w:sz="0" w:space="0" w:color="auto"/>
              </w:divBdr>
            </w:div>
          </w:divsChild>
        </w:div>
        <w:div w:id="1351949927">
          <w:marLeft w:val="0"/>
          <w:marRight w:val="0"/>
          <w:marTop w:val="0"/>
          <w:marBottom w:val="0"/>
          <w:divBdr>
            <w:top w:val="none" w:sz="0" w:space="0" w:color="auto"/>
            <w:left w:val="none" w:sz="0" w:space="0" w:color="auto"/>
            <w:bottom w:val="none" w:sz="0" w:space="0" w:color="auto"/>
            <w:right w:val="none" w:sz="0" w:space="0" w:color="auto"/>
          </w:divBdr>
          <w:divsChild>
            <w:div w:id="460268629">
              <w:marLeft w:val="0"/>
              <w:marRight w:val="0"/>
              <w:marTop w:val="0"/>
              <w:marBottom w:val="0"/>
              <w:divBdr>
                <w:top w:val="none" w:sz="0" w:space="0" w:color="auto"/>
                <w:left w:val="none" w:sz="0" w:space="0" w:color="auto"/>
                <w:bottom w:val="none" w:sz="0" w:space="0" w:color="auto"/>
                <w:right w:val="none" w:sz="0" w:space="0" w:color="auto"/>
              </w:divBdr>
            </w:div>
          </w:divsChild>
        </w:div>
        <w:div w:id="1264806116">
          <w:marLeft w:val="0"/>
          <w:marRight w:val="0"/>
          <w:marTop w:val="0"/>
          <w:marBottom w:val="0"/>
          <w:divBdr>
            <w:top w:val="none" w:sz="0" w:space="0" w:color="auto"/>
            <w:left w:val="none" w:sz="0" w:space="0" w:color="auto"/>
            <w:bottom w:val="none" w:sz="0" w:space="0" w:color="auto"/>
            <w:right w:val="none" w:sz="0" w:space="0" w:color="auto"/>
          </w:divBdr>
          <w:divsChild>
            <w:div w:id="1903826000">
              <w:marLeft w:val="0"/>
              <w:marRight w:val="0"/>
              <w:marTop w:val="0"/>
              <w:marBottom w:val="0"/>
              <w:divBdr>
                <w:top w:val="none" w:sz="0" w:space="0" w:color="auto"/>
                <w:left w:val="none" w:sz="0" w:space="0" w:color="auto"/>
                <w:bottom w:val="none" w:sz="0" w:space="0" w:color="auto"/>
                <w:right w:val="none" w:sz="0" w:space="0" w:color="auto"/>
              </w:divBdr>
            </w:div>
          </w:divsChild>
        </w:div>
        <w:div w:id="1777946710">
          <w:marLeft w:val="0"/>
          <w:marRight w:val="0"/>
          <w:marTop w:val="0"/>
          <w:marBottom w:val="0"/>
          <w:divBdr>
            <w:top w:val="none" w:sz="0" w:space="0" w:color="auto"/>
            <w:left w:val="none" w:sz="0" w:space="0" w:color="auto"/>
            <w:bottom w:val="none" w:sz="0" w:space="0" w:color="auto"/>
            <w:right w:val="none" w:sz="0" w:space="0" w:color="auto"/>
          </w:divBdr>
          <w:divsChild>
            <w:div w:id="403992707">
              <w:marLeft w:val="0"/>
              <w:marRight w:val="0"/>
              <w:marTop w:val="0"/>
              <w:marBottom w:val="0"/>
              <w:divBdr>
                <w:top w:val="none" w:sz="0" w:space="0" w:color="auto"/>
                <w:left w:val="none" w:sz="0" w:space="0" w:color="auto"/>
                <w:bottom w:val="none" w:sz="0" w:space="0" w:color="auto"/>
                <w:right w:val="none" w:sz="0" w:space="0" w:color="auto"/>
              </w:divBdr>
            </w:div>
          </w:divsChild>
        </w:div>
        <w:div w:id="304244134">
          <w:marLeft w:val="0"/>
          <w:marRight w:val="0"/>
          <w:marTop w:val="0"/>
          <w:marBottom w:val="0"/>
          <w:divBdr>
            <w:top w:val="none" w:sz="0" w:space="0" w:color="auto"/>
            <w:left w:val="none" w:sz="0" w:space="0" w:color="auto"/>
            <w:bottom w:val="none" w:sz="0" w:space="0" w:color="auto"/>
            <w:right w:val="none" w:sz="0" w:space="0" w:color="auto"/>
          </w:divBdr>
          <w:divsChild>
            <w:div w:id="623535001">
              <w:marLeft w:val="0"/>
              <w:marRight w:val="0"/>
              <w:marTop w:val="0"/>
              <w:marBottom w:val="0"/>
              <w:divBdr>
                <w:top w:val="none" w:sz="0" w:space="0" w:color="auto"/>
                <w:left w:val="none" w:sz="0" w:space="0" w:color="auto"/>
                <w:bottom w:val="none" w:sz="0" w:space="0" w:color="auto"/>
                <w:right w:val="none" w:sz="0" w:space="0" w:color="auto"/>
              </w:divBdr>
            </w:div>
          </w:divsChild>
        </w:div>
        <w:div w:id="180555989">
          <w:marLeft w:val="0"/>
          <w:marRight w:val="0"/>
          <w:marTop w:val="0"/>
          <w:marBottom w:val="0"/>
          <w:divBdr>
            <w:top w:val="none" w:sz="0" w:space="0" w:color="auto"/>
            <w:left w:val="none" w:sz="0" w:space="0" w:color="auto"/>
            <w:bottom w:val="none" w:sz="0" w:space="0" w:color="auto"/>
            <w:right w:val="none" w:sz="0" w:space="0" w:color="auto"/>
          </w:divBdr>
          <w:divsChild>
            <w:div w:id="977955954">
              <w:marLeft w:val="0"/>
              <w:marRight w:val="0"/>
              <w:marTop w:val="0"/>
              <w:marBottom w:val="0"/>
              <w:divBdr>
                <w:top w:val="none" w:sz="0" w:space="0" w:color="auto"/>
                <w:left w:val="none" w:sz="0" w:space="0" w:color="auto"/>
                <w:bottom w:val="none" w:sz="0" w:space="0" w:color="auto"/>
                <w:right w:val="none" w:sz="0" w:space="0" w:color="auto"/>
              </w:divBdr>
            </w:div>
          </w:divsChild>
        </w:div>
        <w:div w:id="1550796206">
          <w:marLeft w:val="0"/>
          <w:marRight w:val="0"/>
          <w:marTop w:val="0"/>
          <w:marBottom w:val="0"/>
          <w:divBdr>
            <w:top w:val="none" w:sz="0" w:space="0" w:color="auto"/>
            <w:left w:val="none" w:sz="0" w:space="0" w:color="auto"/>
            <w:bottom w:val="none" w:sz="0" w:space="0" w:color="auto"/>
            <w:right w:val="none" w:sz="0" w:space="0" w:color="auto"/>
          </w:divBdr>
          <w:divsChild>
            <w:div w:id="1421753958">
              <w:marLeft w:val="0"/>
              <w:marRight w:val="0"/>
              <w:marTop w:val="0"/>
              <w:marBottom w:val="0"/>
              <w:divBdr>
                <w:top w:val="none" w:sz="0" w:space="0" w:color="auto"/>
                <w:left w:val="none" w:sz="0" w:space="0" w:color="auto"/>
                <w:bottom w:val="none" w:sz="0" w:space="0" w:color="auto"/>
                <w:right w:val="none" w:sz="0" w:space="0" w:color="auto"/>
              </w:divBdr>
            </w:div>
          </w:divsChild>
        </w:div>
        <w:div w:id="994917800">
          <w:marLeft w:val="0"/>
          <w:marRight w:val="0"/>
          <w:marTop w:val="0"/>
          <w:marBottom w:val="0"/>
          <w:divBdr>
            <w:top w:val="none" w:sz="0" w:space="0" w:color="auto"/>
            <w:left w:val="none" w:sz="0" w:space="0" w:color="auto"/>
            <w:bottom w:val="none" w:sz="0" w:space="0" w:color="auto"/>
            <w:right w:val="none" w:sz="0" w:space="0" w:color="auto"/>
          </w:divBdr>
          <w:divsChild>
            <w:div w:id="1188787663">
              <w:marLeft w:val="0"/>
              <w:marRight w:val="0"/>
              <w:marTop w:val="0"/>
              <w:marBottom w:val="0"/>
              <w:divBdr>
                <w:top w:val="none" w:sz="0" w:space="0" w:color="auto"/>
                <w:left w:val="none" w:sz="0" w:space="0" w:color="auto"/>
                <w:bottom w:val="none" w:sz="0" w:space="0" w:color="auto"/>
                <w:right w:val="none" w:sz="0" w:space="0" w:color="auto"/>
              </w:divBdr>
            </w:div>
          </w:divsChild>
        </w:div>
        <w:div w:id="1277297672">
          <w:marLeft w:val="0"/>
          <w:marRight w:val="0"/>
          <w:marTop w:val="0"/>
          <w:marBottom w:val="0"/>
          <w:divBdr>
            <w:top w:val="none" w:sz="0" w:space="0" w:color="auto"/>
            <w:left w:val="none" w:sz="0" w:space="0" w:color="auto"/>
            <w:bottom w:val="none" w:sz="0" w:space="0" w:color="auto"/>
            <w:right w:val="none" w:sz="0" w:space="0" w:color="auto"/>
          </w:divBdr>
          <w:divsChild>
            <w:div w:id="40597454">
              <w:marLeft w:val="0"/>
              <w:marRight w:val="0"/>
              <w:marTop w:val="0"/>
              <w:marBottom w:val="0"/>
              <w:divBdr>
                <w:top w:val="none" w:sz="0" w:space="0" w:color="auto"/>
                <w:left w:val="none" w:sz="0" w:space="0" w:color="auto"/>
                <w:bottom w:val="none" w:sz="0" w:space="0" w:color="auto"/>
                <w:right w:val="none" w:sz="0" w:space="0" w:color="auto"/>
              </w:divBdr>
            </w:div>
          </w:divsChild>
        </w:div>
        <w:div w:id="747121213">
          <w:marLeft w:val="0"/>
          <w:marRight w:val="0"/>
          <w:marTop w:val="0"/>
          <w:marBottom w:val="0"/>
          <w:divBdr>
            <w:top w:val="none" w:sz="0" w:space="0" w:color="auto"/>
            <w:left w:val="none" w:sz="0" w:space="0" w:color="auto"/>
            <w:bottom w:val="none" w:sz="0" w:space="0" w:color="auto"/>
            <w:right w:val="none" w:sz="0" w:space="0" w:color="auto"/>
          </w:divBdr>
          <w:divsChild>
            <w:div w:id="985209388">
              <w:marLeft w:val="0"/>
              <w:marRight w:val="0"/>
              <w:marTop w:val="0"/>
              <w:marBottom w:val="0"/>
              <w:divBdr>
                <w:top w:val="none" w:sz="0" w:space="0" w:color="auto"/>
                <w:left w:val="none" w:sz="0" w:space="0" w:color="auto"/>
                <w:bottom w:val="none" w:sz="0" w:space="0" w:color="auto"/>
                <w:right w:val="none" w:sz="0" w:space="0" w:color="auto"/>
              </w:divBdr>
            </w:div>
          </w:divsChild>
        </w:div>
        <w:div w:id="1232737199">
          <w:marLeft w:val="0"/>
          <w:marRight w:val="0"/>
          <w:marTop w:val="0"/>
          <w:marBottom w:val="0"/>
          <w:divBdr>
            <w:top w:val="none" w:sz="0" w:space="0" w:color="auto"/>
            <w:left w:val="none" w:sz="0" w:space="0" w:color="auto"/>
            <w:bottom w:val="none" w:sz="0" w:space="0" w:color="auto"/>
            <w:right w:val="none" w:sz="0" w:space="0" w:color="auto"/>
          </w:divBdr>
          <w:divsChild>
            <w:div w:id="221865956">
              <w:marLeft w:val="0"/>
              <w:marRight w:val="0"/>
              <w:marTop w:val="0"/>
              <w:marBottom w:val="0"/>
              <w:divBdr>
                <w:top w:val="none" w:sz="0" w:space="0" w:color="auto"/>
                <w:left w:val="none" w:sz="0" w:space="0" w:color="auto"/>
                <w:bottom w:val="none" w:sz="0" w:space="0" w:color="auto"/>
                <w:right w:val="none" w:sz="0" w:space="0" w:color="auto"/>
              </w:divBdr>
            </w:div>
          </w:divsChild>
        </w:div>
        <w:div w:id="1863085554">
          <w:marLeft w:val="0"/>
          <w:marRight w:val="0"/>
          <w:marTop w:val="0"/>
          <w:marBottom w:val="0"/>
          <w:divBdr>
            <w:top w:val="none" w:sz="0" w:space="0" w:color="auto"/>
            <w:left w:val="none" w:sz="0" w:space="0" w:color="auto"/>
            <w:bottom w:val="none" w:sz="0" w:space="0" w:color="auto"/>
            <w:right w:val="none" w:sz="0" w:space="0" w:color="auto"/>
          </w:divBdr>
          <w:divsChild>
            <w:div w:id="805126208">
              <w:marLeft w:val="0"/>
              <w:marRight w:val="0"/>
              <w:marTop w:val="0"/>
              <w:marBottom w:val="0"/>
              <w:divBdr>
                <w:top w:val="none" w:sz="0" w:space="0" w:color="auto"/>
                <w:left w:val="none" w:sz="0" w:space="0" w:color="auto"/>
                <w:bottom w:val="none" w:sz="0" w:space="0" w:color="auto"/>
                <w:right w:val="none" w:sz="0" w:space="0" w:color="auto"/>
              </w:divBdr>
            </w:div>
          </w:divsChild>
        </w:div>
        <w:div w:id="2125495863">
          <w:marLeft w:val="0"/>
          <w:marRight w:val="0"/>
          <w:marTop w:val="0"/>
          <w:marBottom w:val="0"/>
          <w:divBdr>
            <w:top w:val="none" w:sz="0" w:space="0" w:color="auto"/>
            <w:left w:val="none" w:sz="0" w:space="0" w:color="auto"/>
            <w:bottom w:val="none" w:sz="0" w:space="0" w:color="auto"/>
            <w:right w:val="none" w:sz="0" w:space="0" w:color="auto"/>
          </w:divBdr>
          <w:divsChild>
            <w:div w:id="2124184464">
              <w:marLeft w:val="0"/>
              <w:marRight w:val="0"/>
              <w:marTop w:val="0"/>
              <w:marBottom w:val="0"/>
              <w:divBdr>
                <w:top w:val="none" w:sz="0" w:space="0" w:color="auto"/>
                <w:left w:val="none" w:sz="0" w:space="0" w:color="auto"/>
                <w:bottom w:val="none" w:sz="0" w:space="0" w:color="auto"/>
                <w:right w:val="none" w:sz="0" w:space="0" w:color="auto"/>
              </w:divBdr>
            </w:div>
          </w:divsChild>
        </w:div>
        <w:div w:id="137849191">
          <w:marLeft w:val="0"/>
          <w:marRight w:val="0"/>
          <w:marTop w:val="0"/>
          <w:marBottom w:val="0"/>
          <w:divBdr>
            <w:top w:val="none" w:sz="0" w:space="0" w:color="auto"/>
            <w:left w:val="none" w:sz="0" w:space="0" w:color="auto"/>
            <w:bottom w:val="none" w:sz="0" w:space="0" w:color="auto"/>
            <w:right w:val="none" w:sz="0" w:space="0" w:color="auto"/>
          </w:divBdr>
          <w:divsChild>
            <w:div w:id="518855892">
              <w:marLeft w:val="0"/>
              <w:marRight w:val="0"/>
              <w:marTop w:val="0"/>
              <w:marBottom w:val="0"/>
              <w:divBdr>
                <w:top w:val="none" w:sz="0" w:space="0" w:color="auto"/>
                <w:left w:val="none" w:sz="0" w:space="0" w:color="auto"/>
                <w:bottom w:val="none" w:sz="0" w:space="0" w:color="auto"/>
                <w:right w:val="none" w:sz="0" w:space="0" w:color="auto"/>
              </w:divBdr>
            </w:div>
          </w:divsChild>
        </w:div>
        <w:div w:id="311061793">
          <w:marLeft w:val="0"/>
          <w:marRight w:val="0"/>
          <w:marTop w:val="0"/>
          <w:marBottom w:val="0"/>
          <w:divBdr>
            <w:top w:val="none" w:sz="0" w:space="0" w:color="auto"/>
            <w:left w:val="none" w:sz="0" w:space="0" w:color="auto"/>
            <w:bottom w:val="none" w:sz="0" w:space="0" w:color="auto"/>
            <w:right w:val="none" w:sz="0" w:space="0" w:color="auto"/>
          </w:divBdr>
          <w:divsChild>
            <w:div w:id="1120026088">
              <w:marLeft w:val="0"/>
              <w:marRight w:val="0"/>
              <w:marTop w:val="0"/>
              <w:marBottom w:val="0"/>
              <w:divBdr>
                <w:top w:val="none" w:sz="0" w:space="0" w:color="auto"/>
                <w:left w:val="none" w:sz="0" w:space="0" w:color="auto"/>
                <w:bottom w:val="none" w:sz="0" w:space="0" w:color="auto"/>
                <w:right w:val="none" w:sz="0" w:space="0" w:color="auto"/>
              </w:divBdr>
            </w:div>
          </w:divsChild>
        </w:div>
        <w:div w:id="1802571065">
          <w:marLeft w:val="0"/>
          <w:marRight w:val="0"/>
          <w:marTop w:val="0"/>
          <w:marBottom w:val="0"/>
          <w:divBdr>
            <w:top w:val="none" w:sz="0" w:space="0" w:color="auto"/>
            <w:left w:val="none" w:sz="0" w:space="0" w:color="auto"/>
            <w:bottom w:val="none" w:sz="0" w:space="0" w:color="auto"/>
            <w:right w:val="none" w:sz="0" w:space="0" w:color="auto"/>
          </w:divBdr>
          <w:divsChild>
            <w:div w:id="1149664724">
              <w:marLeft w:val="0"/>
              <w:marRight w:val="0"/>
              <w:marTop w:val="0"/>
              <w:marBottom w:val="0"/>
              <w:divBdr>
                <w:top w:val="none" w:sz="0" w:space="0" w:color="auto"/>
                <w:left w:val="none" w:sz="0" w:space="0" w:color="auto"/>
                <w:bottom w:val="none" w:sz="0" w:space="0" w:color="auto"/>
                <w:right w:val="none" w:sz="0" w:space="0" w:color="auto"/>
              </w:divBdr>
            </w:div>
          </w:divsChild>
        </w:div>
        <w:div w:id="293948031">
          <w:marLeft w:val="0"/>
          <w:marRight w:val="0"/>
          <w:marTop w:val="0"/>
          <w:marBottom w:val="0"/>
          <w:divBdr>
            <w:top w:val="none" w:sz="0" w:space="0" w:color="auto"/>
            <w:left w:val="none" w:sz="0" w:space="0" w:color="auto"/>
            <w:bottom w:val="none" w:sz="0" w:space="0" w:color="auto"/>
            <w:right w:val="none" w:sz="0" w:space="0" w:color="auto"/>
          </w:divBdr>
          <w:divsChild>
            <w:div w:id="10131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eur-lex.europa.eu/legal-content/EN/TXT/PDF/?uri=OJ:L_202403157" TargetMode="External"/><Relationship Id="rId26" Type="http://schemas.openxmlformats.org/officeDocument/2006/relationships/hyperlink" Target="https://www.etsi.org/deliver/etsi_en/302500_302599/302567/02.02.01_60/en_302567v020201p.pdf" TargetMode="External"/><Relationship Id="rId3" Type="http://schemas.openxmlformats.org/officeDocument/2006/relationships/customXml" Target="../customXml/item3.xml"/><Relationship Id="rId21" Type="http://schemas.openxmlformats.org/officeDocument/2006/relationships/hyperlink" Target="https://docdb.cept.org/download/1448"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ur-lex.europa.eu/legal-content/EN/TXT/?uri=uriserv%3AOJ.L_.2022.305.01.0063.01.ENG&amp;toc=OJ%3AL%3A2022%3A305%3ATOC" TargetMode="External"/><Relationship Id="rId25" Type="http://schemas.openxmlformats.org/officeDocument/2006/relationships/hyperlink" Target="https://www.etsi.org/deliver/etsi_en/301400_301499/30148917/03.03.01_60/en_30148917v030301p.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ur-lex.europa.eu/legal-content/EN/TXT/?uri=celex%3A32022D0180" TargetMode="External"/><Relationship Id="rId20" Type="http://schemas.openxmlformats.org/officeDocument/2006/relationships/hyperlink" Target="https://www.ecodocdb.dk/document/432" TargetMode="External"/><Relationship Id="rId29" Type="http://schemas.openxmlformats.org/officeDocument/2006/relationships/hyperlink" Target="https://www.wi-fi.org/discover-wi-fi/wi-fi-certified-wigi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ur-lex.europa.eu/eli/dec_impl/2022/498/oj"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ur-lex.europa.eu/LexUriServ/LexUriServ.do?uri=OJ:L:2006:312:0066:0070:EN:PDF" TargetMode="External"/><Relationship Id="rId23" Type="http://schemas.openxmlformats.org/officeDocument/2006/relationships/hyperlink" Target="https://ec.europa.eu/docsroom/documents/40361" TargetMode="External"/><Relationship Id="rId28" Type="http://schemas.openxmlformats.org/officeDocument/2006/relationships/hyperlink" Target="https://docdb.cept.org/download/1564" TargetMode="External"/><Relationship Id="rId10" Type="http://schemas.openxmlformats.org/officeDocument/2006/relationships/endnotes" Target="endnotes.xml"/><Relationship Id="rId19" Type="http://schemas.openxmlformats.org/officeDocument/2006/relationships/hyperlink" Target="https://www.ecodocdb.dk/download/e8ea9a29-3ce3/ECCDEC1105.PDF" TargetMode="External"/><Relationship Id="rId31" Type="http://schemas.openxmlformats.org/officeDocument/2006/relationships/hyperlink" Target="https://single-market-economy.ec.europa.eu/sectors/electrical-and-electronic-engineering-industries-eei/radio-equipment-directive-red_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lex.europa.eu/legal-content/EN/TXT/PDF/?uri=CELEX:32022D0179&amp;from=EN" TargetMode="External"/><Relationship Id="rId22" Type="http://schemas.openxmlformats.org/officeDocument/2006/relationships/hyperlink" Target="https://www.erodocdb.dk/download/22449946-d68b/ECCRep277.pdf" TargetMode="External"/><Relationship Id="rId27" Type="http://schemas.openxmlformats.org/officeDocument/2006/relationships/hyperlink" Target="https://ec.europa.eu/docsroom/documents/40222" TargetMode="External"/><Relationship Id="rId30" Type="http://schemas.openxmlformats.org/officeDocument/2006/relationships/hyperlink" Target="https://www.etsi.org/deliver/etsi_en/305500_305599/30555002/01.02.01_60/en_30555002v010201p.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51C5AB3-177B-AC49-B347-5A237811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Theodoros Tsiftsis</dc:creator>
  <cp:lastModifiedBy>TSIFTSIS THEODOROS</cp:lastModifiedBy>
  <cp:revision>3</cp:revision>
  <dcterms:created xsi:type="dcterms:W3CDTF">2025-02-25T07:32:00Z</dcterms:created>
  <dcterms:modified xsi:type="dcterms:W3CDTF">2025-02-25T07:35:00Z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