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a="http://schemas.openxmlformats.org/drawingml/2006/main" xmlns:pic="http://schemas.openxmlformats.org/drawingml/2006/pictur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20"/>
        <w:gridCol w:w="4320"/>
      </w:tblGrid>
      <w:tr>
        <w:tc>
          <w:tcPr>
            <w:tcW w:w="4320" w:type="dxa"/>
          </w:tcPr>
          <w:p>
            <w:pPr>
              <w:jc w:val="left"/>
            </w:pPr>
            <w:r>
              <w:drawing>
                <wp:inline xmlns:a="http://schemas.openxmlformats.org/drawingml/2006/main" xmlns:pic="http://schemas.openxmlformats.org/drawingml/2006/picture">
                  <wp:extent cx="1097280" cy="1097280"/>
                  <wp:docPr id="1" name="Picture 1"/>
                  <wp:cNvGraphicFramePr>
                    <a:graphicFrameLocks noChangeAspect="1"/>
                  </wp:cNvGraphicFramePr>
                  <a:graphic>
                    <a:graphicData uri="http://schemas.openxmlformats.org/drawingml/2006/picture">
                      <pic:pic>
                        <pic:nvPicPr>
                          <pic:cNvPr id="0" name="logo_yarenokten.png"/>
                          <pic:cNvPicPr/>
                        </pic:nvPicPr>
                        <pic:blipFill>
                          <a:blip r:embed="rId9"/>
                          <a:stretch>
                            <a:fillRect/>
                          </a:stretch>
                        </pic:blipFill>
                        <pic:spPr>
                          <a:xfrm>
                            <a:off x="0" y="0"/>
                            <a:ext cx="1097280" cy="1097280"/>
                          </a:xfrm>
                          <a:prstGeom prst="rect"/>
                        </pic:spPr>
                      </pic:pic>
                    </a:graphicData>
                  </a:graphic>
                </wp:inline>
              </w:drawing>
            </w:r>
          </w:p>
        </w:tc>
        <w:tc>
          <w:tcPr>
            <w:tcW w:w="4320" w:type="dxa"/>
          </w:tcPr>
          <w:p>
            <w:pPr>
              <w:jc w:val="center"/>
            </w:pPr>
            <w:r>
              <w:rPr>
                <w:b/>
                <w:sz w:val="24"/>
              </w:rPr>
              <w:t>T.C.</w:t>
              <w:br/>
              <w:t>STAJYER BAKANLIĞI</w:t>
              <w:br/>
              <w:t>Bilgisayar Mühendisliği Departmanı</w:t>
            </w:r>
          </w:p>
        </w:tc>
      </w:tr>
    </w:tbl>
    <w:p>
      <w:pPr/>
      <w:r>
        <w:br/>
        <w:t>Sayı   : E-2025/001</w:t>
      </w:r>
    </w:p>
    <w:p>
      <w:pPr/>
      <w:r>
        <w:t>Konu   : Staj Programı Hakkında</w:t>
      </w:r>
    </w:p>
    <w:p>
      <w:r>
        <w:br/>
        <w:br/>
      </w:r>
    </w:p>
    <w:p>
      <w:pPr/>
      <w:r>
        <w:t>Sayın İlgili,</w:t>
        <w:br/>
        <w:br/>
        <w:t>Bakanlığımız bünyesinde yürütülen 2025 yılı Yaz Staj Programı kapsamında, bilgisayar mühendisliği öğrencilerine yönelik olarak çeşitli proje ve eğitim faaliyetleri düzenlenecektir. Program süresince stajyerler, yazılım geliştirme, veri analizi, yapay zeka uygulamaları ve ağ yönetimi gibi alanlarda deneyim kazanacaktır.</w:t>
        <w:br/>
        <w:br/>
        <w:t>Bilgilerinize arz ederim.</w:t>
        <w:br/>
      </w:r>
    </w:p>
    <w:p>
      <w:r>
        <w:br/>
        <w:br/>
        <w:br/>
      </w:r>
    </w:p>
    <w:p>
      <w:pPr/>
      <w:r>
        <w:t>Ad Soyad</w:t>
      </w:r>
    </w:p>
    <w:p>
      <w:pPr/>
      <w:r>
        <w:t>Unvan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