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ORDINANCE NO. 12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 </w:t>
      </w:r>
      <w:r w:rsidDel="00000000" w:rsidR="00000000" w:rsidRPr="00000000">
        <w:rPr>
          <w:sz w:val="24"/>
          <w:szCs w:val="24"/>
          <w:rtl w:val="0"/>
        </w:rPr>
        <w:t xml:space="preserve">ordinance conditionally creating a property tax and creating a fund for small and medium businesses.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Whereas</w:t>
      </w:r>
      <w:r w:rsidDel="00000000" w:rsidR="00000000" w:rsidRPr="00000000">
        <w:rPr>
          <w:sz w:val="24"/>
          <w:szCs w:val="24"/>
          <w:rtl w:val="0"/>
        </w:rPr>
        <w:t xml:space="preserve"> the Wimbishville City Council recognizes that efforts must be made to correct the solvency of Wimbishville businesses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Whereas</w:t>
      </w:r>
      <w:r w:rsidDel="00000000" w:rsidR="00000000" w:rsidRPr="00000000">
        <w:rPr>
          <w:sz w:val="24"/>
          <w:szCs w:val="24"/>
          <w:rtl w:val="0"/>
        </w:rPr>
        <w:t xml:space="preserve"> the City Council acknowledges the need to fund the Wimbishville city government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NOW THEREFORE, 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PEOPLE OF THE CITY OF WIMBISHVILLE DO ORDAIN AS FOLLOWS: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1. Title and Purpose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ordinance shall hereby be known as and may be cited as the Wimbishville Business Act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purpose of this ordinance is to establish a general property tax for the funding of the Wimbishville government and a Business Finance Fund to provide funding for small and medium businesses.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2. Definitions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small business is defined as a business enterprise with fewer than 200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employees.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medium business is defined as a business enterprise with 200-500 employees.</w:t>
      </w:r>
    </w:p>
    <w:p w:rsidR="00000000" w:rsidDel="00000000" w:rsidP="00000000" w:rsidRDefault="00000000" w:rsidRPr="00000000" w14:paraId="0000001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3. The Wimbishville Property Tax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City Council establishes a general graduated property tax on all properties within Wimbishville.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Levels of the property tax will be determined based on the assessed value of a property: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Under $100,000: 1.1%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$100,000 – $500,000: 2.5%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$500,000 – $1,000,000: 3.5%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$1,000,000 – $2,000,000: 4.5%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$2,000,000 – $10,000,000: 6.5%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Over $10,000,000: 10%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Wimbishville City Council may adjust rates on the property tax with a majority vote of voters in a municipal election.</w:t>
      </w:r>
    </w:p>
    <w:p w:rsidR="00000000" w:rsidDel="00000000" w:rsidP="00000000" w:rsidRDefault="00000000" w:rsidRPr="00000000" w14:paraId="0000001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4. Use of Property Tax Proceeds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Proceeds of the property tax will be used to fund the Wimbishville government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Proceeds are to be used for government purposes, including but not limited to: 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Funding departments under the Wimbishville City Council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Financing public works projects 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Providing financing to small and medium businesses under the provisions listed in Section 5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Proceeds will be allocated through a budget passed by the Wimbishville City Council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5. Voter Approval of Property Tax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Property Tax will take effect if approved by Wimbishville voters in a 2/3rds voting on the measure in an election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election on the Property Tax will be held one week after passage </w:t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6. Business Finance Fund 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Wimbishville City Council establishes a Business Finance Fund for the purposes of funding small to medium sized businesses within the Wimbishville area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Business Finance Fund will have a minimum spending allocation of $1,500,000, although more discretionary spending may be added through budget allocation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Business Finance Fund will provide 0.5% interest loans to small and medium businesses through an application process developed by the Business Finance Fund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Business Finance Fund may also arrange subsidies of up to $50,000 of small businesses within designating industries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Business Finance Fund will be lead by the Deputy Mayor with the Treasury Secretary serving an advisory role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6. Adjustment of Work Days and the Minimum Wage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minimum wage established by Ordinance 5 (otherwise known as the Revised Wimbishville Fair Work and Work-Life Balance Act) will be lowered to $16 an hour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Overtime compensation mandated by Ordinance 5 will be reduced to one-and-a-half (1.5) times the employer’s hourly rate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Overtime eligibility as established by Ordinance 5 will be increased to 45 hours in a single work week</w:t>
      </w:r>
    </w:p>
    <w:p w:rsidR="00000000" w:rsidDel="00000000" w:rsidP="00000000" w:rsidRDefault="00000000" w:rsidRPr="00000000" w14:paraId="0000003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7. Severability</w:t>
      </w:r>
    </w:p>
    <w:p w:rsidR="00000000" w:rsidDel="00000000" w:rsidP="00000000" w:rsidRDefault="00000000" w:rsidRPr="00000000" w14:paraId="0000003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any provision of this ordinance or any portion thereof is held invalid or unconstitutional, the remainder shall continue in full force and effect.</w:t>
      </w:r>
    </w:p>
    <w:p w:rsidR="00000000" w:rsidDel="00000000" w:rsidP="00000000" w:rsidRDefault="00000000" w:rsidRPr="00000000" w14:paraId="0000003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8. Effective Date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Unless otherwise stated in 5(b), all sections of this ordinance shall take effect one (1) week from passage.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Sections 3 and 4 of this ordinance shall take effect one (1) week after approval by voters.</w:t>
      </w:r>
    </w:p>
    <w:p w:rsidR="00000000" w:rsidDel="00000000" w:rsidP="00000000" w:rsidRDefault="00000000" w:rsidRPr="00000000" w14:paraId="0000003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8. Certification</w:t>
      </w:r>
    </w:p>
    <w:p w:rsidR="00000000" w:rsidDel="00000000" w:rsidP="00000000" w:rsidRDefault="00000000" w:rsidRPr="00000000" w14:paraId="0000003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City Council shall certify the passage of this ordinance and ensure its publication as required by law.</w:t>
      </w:r>
    </w:p>
    <w:p w:rsidR="00000000" w:rsidDel="00000000" w:rsidP="00000000" w:rsidRDefault="00000000" w:rsidRPr="00000000" w14:paraId="0000003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