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Original Manuscript ID:</w:t>
      </w:r>
      <w:r w:rsidDel="00000000" w:rsidR="00000000" w:rsidRPr="00000000">
        <w:rPr>
          <w:rFonts w:ascii="Calibri" w:cs="Calibri" w:eastAsia="Calibri" w:hAnsi="Calibri"/>
          <w:sz w:val="22"/>
          <w:szCs w:val="22"/>
          <w:vertAlign w:val="baseline"/>
          <w:rtl w:val="0"/>
        </w:rPr>
        <w:t xml:space="preserve"> Access-</w:t>
      </w:r>
      <w:r w:rsidDel="00000000" w:rsidR="00000000" w:rsidRPr="00000000">
        <w:rPr>
          <w:rFonts w:ascii="Calibri" w:cs="Calibri" w:eastAsia="Calibri" w:hAnsi="Calibri"/>
          <w:sz w:val="22"/>
          <w:szCs w:val="22"/>
          <w:rtl w:val="0"/>
        </w:rPr>
        <w:t xml:space="preserve">2021-01435</w:t>
      </w:r>
      <w:r w:rsidDel="00000000" w:rsidR="00000000" w:rsidRPr="00000000">
        <w:rPr>
          <w:rFonts w:ascii="Calibri" w:cs="Calibri" w:eastAsia="Calibri" w:hAnsi="Calibri"/>
          <w:sz w:val="22"/>
          <w:szCs w:val="22"/>
          <w:vertAlign w:val="baseline"/>
          <w:rtl w:val="0"/>
        </w:rPr>
        <w:tab/>
      </w:r>
      <w:r w:rsidDel="00000000" w:rsidR="00000000" w:rsidRPr="00000000">
        <w:rPr>
          <w:rtl w:val="0"/>
        </w:rPr>
      </w:r>
    </w:p>
    <w:p w:rsidR="00000000" w:rsidDel="00000000" w:rsidP="00000000" w:rsidRDefault="00000000" w:rsidRPr="00000000" w14:paraId="00000002">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Original Article Title: “</w:t>
      </w:r>
      <w:r w:rsidDel="00000000" w:rsidR="00000000" w:rsidRPr="00000000">
        <w:rPr>
          <w:rFonts w:ascii="Calibri" w:cs="Calibri" w:eastAsia="Calibri" w:hAnsi="Calibri"/>
          <w:sz w:val="22"/>
          <w:szCs w:val="22"/>
          <w:vertAlign w:val="baseline"/>
          <w:rtl w:val="0"/>
        </w:rPr>
        <w:t xml:space="preserve"> Accelerating Spike-by-Spike Neural Networks on FPGA with Hybrid Custom Floating-Point and Logarithmic Dot-Product Approximation”</w:t>
      </w:r>
    </w:p>
    <w:p w:rsidR="00000000" w:rsidDel="00000000" w:rsidP="00000000" w:rsidRDefault="00000000" w:rsidRPr="00000000" w14:paraId="00000003">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4">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To:</w:t>
      </w:r>
      <w:r w:rsidDel="00000000" w:rsidR="00000000" w:rsidRPr="00000000">
        <w:rPr>
          <w:rFonts w:ascii="Calibri" w:cs="Calibri" w:eastAsia="Calibri" w:hAnsi="Calibri"/>
          <w:sz w:val="22"/>
          <w:szCs w:val="22"/>
          <w:vertAlign w:val="baseline"/>
          <w:rtl w:val="0"/>
        </w:rPr>
        <w:t xml:space="preserve"> IEEE Access Editor</w:t>
      </w:r>
    </w:p>
    <w:p w:rsidR="00000000" w:rsidDel="00000000" w:rsidP="00000000" w:rsidRDefault="00000000" w:rsidRPr="00000000" w14:paraId="00000005">
      <w:pPr>
        <w:jc w:val="both"/>
        <w:rPr>
          <w:rFonts w:ascii="Calibri" w:cs="Calibri" w:eastAsia="Calibri" w:hAnsi="Calibri"/>
          <w:i w:val="0"/>
          <w:sz w:val="22"/>
          <w:szCs w:val="22"/>
          <w:vertAlign w:val="baseline"/>
        </w:rPr>
      </w:pPr>
      <w:r w:rsidDel="00000000" w:rsidR="00000000" w:rsidRPr="00000000">
        <w:rPr>
          <w:rFonts w:ascii="Calibri" w:cs="Calibri" w:eastAsia="Calibri" w:hAnsi="Calibri"/>
          <w:b w:val="1"/>
          <w:sz w:val="22"/>
          <w:szCs w:val="22"/>
          <w:vertAlign w:val="baseline"/>
          <w:rtl w:val="0"/>
        </w:rPr>
        <w:t xml:space="preserve">Re:</w:t>
      </w:r>
      <w:r w:rsidDel="00000000" w:rsidR="00000000" w:rsidRPr="00000000">
        <w:rPr>
          <w:rFonts w:ascii="Calibri" w:cs="Calibri" w:eastAsia="Calibri" w:hAnsi="Calibri"/>
          <w:sz w:val="22"/>
          <w:szCs w:val="22"/>
          <w:vertAlign w:val="baseline"/>
          <w:rtl w:val="0"/>
        </w:rPr>
        <w:t xml:space="preserve"> Response to reviewers</w:t>
      </w:r>
      <w:r w:rsidDel="00000000" w:rsidR="00000000" w:rsidRPr="00000000">
        <w:rPr>
          <w:rtl w:val="0"/>
        </w:rPr>
      </w:r>
    </w:p>
    <w:p w:rsidR="00000000" w:rsidDel="00000000" w:rsidP="00000000" w:rsidRDefault="00000000" w:rsidRPr="00000000" w14:paraId="00000006">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8">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9">
      <w:pPr>
        <w:jc w:val="both"/>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Dear Editor,</w:t>
      </w:r>
    </w:p>
    <w:p w:rsidR="00000000" w:rsidDel="00000000" w:rsidP="00000000" w:rsidRDefault="00000000" w:rsidRPr="00000000" w14:paraId="0000000A">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B">
      <w:pPr>
        <w:jc w:val="both"/>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Thank you for allowing a resubmission of our manuscript, with an opportunity to address the reviewers’ comments.</w:t>
      </w:r>
    </w:p>
    <w:p w:rsidR="00000000" w:rsidDel="00000000" w:rsidP="00000000" w:rsidRDefault="00000000" w:rsidRPr="00000000" w14:paraId="0000000C">
      <w:pPr>
        <w:jc w:val="both"/>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We are uploading (a) our point-by-point response to the comments (below) (response to reviewers), (b) an updated manuscript with yellow highlighting indicating changes, and (c) a clean updated manuscript without highlights (PDF main document).</w:t>
      </w:r>
    </w:p>
    <w:p w:rsidR="00000000" w:rsidDel="00000000" w:rsidP="00000000" w:rsidRDefault="00000000" w:rsidRPr="00000000" w14:paraId="0000000D">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Best regards,</w:t>
      </w:r>
    </w:p>
    <w:p w:rsidR="00000000" w:rsidDel="00000000" w:rsidP="00000000" w:rsidRDefault="00000000" w:rsidRPr="00000000" w14:paraId="00000010">
      <w:pPr>
        <w:spacing w:after="0" w:lineRule="auto"/>
        <w:rPr>
          <w:rFonts w:ascii="Calibri" w:cs="Calibri" w:eastAsia="Calibri" w:hAnsi="Calibri"/>
          <w:sz w:val="22"/>
          <w:szCs w:val="22"/>
          <w:vertAlign w:val="baseline"/>
        </w:rPr>
      </w:pPr>
      <w:r w:rsidDel="00000000" w:rsidR="00000000" w:rsidRPr="00000000">
        <w:rPr>
          <w:rFonts w:ascii="Calibri" w:cs="Calibri" w:eastAsia="Calibri" w:hAnsi="Calibri"/>
          <w:sz w:val="22"/>
          <w:szCs w:val="22"/>
          <w:rtl w:val="0"/>
        </w:rPr>
        <w:t xml:space="preserve">Yarib Nevarez</w:t>
      </w:r>
      <w:r w:rsidDel="00000000" w:rsidR="00000000" w:rsidRPr="00000000">
        <w:rPr>
          <w:rFonts w:ascii="Calibri" w:cs="Calibri" w:eastAsia="Calibri" w:hAnsi="Calibri"/>
          <w:sz w:val="22"/>
          <w:szCs w:val="22"/>
          <w:vertAlign w:val="baseline"/>
          <w:rtl w:val="0"/>
        </w:rPr>
        <w:t xml:space="preserve"> et al.</w:t>
      </w:r>
    </w:p>
    <w:p w:rsidR="00000000" w:rsidDel="00000000" w:rsidP="00000000" w:rsidRDefault="00000000" w:rsidRPr="00000000" w14:paraId="00000011">
      <w:pPr>
        <w:spacing w:after="0" w:lineRule="auto"/>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3">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7">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18">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9">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B">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C">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D">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1E">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1F">
      <w:pPr>
        <w:jc w:val="both"/>
        <w:rPr>
          <w:rFonts w:ascii="Calibri" w:cs="Calibri" w:eastAsia="Calibri" w:hAnsi="Calibri"/>
          <w:color w:val="008000"/>
          <w:sz w:val="22"/>
          <w:szCs w:val="22"/>
        </w:rPr>
      </w:pPr>
      <w:r w:rsidDel="00000000" w:rsidR="00000000" w:rsidRPr="00000000">
        <w:br w:type="page"/>
      </w:r>
      <w:r w:rsidDel="00000000" w:rsidR="00000000" w:rsidRPr="00000000">
        <w:rPr>
          <w:rFonts w:ascii="Calibri" w:cs="Calibri" w:eastAsia="Calibri" w:hAnsi="Calibri"/>
          <w:b w:val="1"/>
          <w:color w:val="008000"/>
          <w:sz w:val="22"/>
          <w:szCs w:val="22"/>
          <w:vertAlign w:val="baseline"/>
          <w:rtl w:val="0"/>
        </w:rPr>
        <w:t xml:space="preserve">Reviewer#1, Concern # 1:</w:t>
      </w:r>
      <w:r w:rsidDel="00000000" w:rsidR="00000000" w:rsidRPr="00000000">
        <w:rPr>
          <w:rtl w:val="0"/>
        </w:rPr>
      </w:r>
    </w:p>
    <w:p w:rsidR="00000000" w:rsidDel="00000000" w:rsidP="00000000" w:rsidRDefault="00000000" w:rsidRPr="00000000" w14:paraId="0000002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 / Paragraph 2: It mentions that “Among the family of SNNs, the SbS neural network is remarkable.” Here, several things are not clear.</w:t>
      </w:r>
    </w:p>
    <w:p w:rsidR="00000000" w:rsidDel="00000000" w:rsidP="00000000" w:rsidRDefault="00000000" w:rsidRPr="00000000" w14:paraId="0000002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Why is the SbS network remarkable?</w:t>
      </w:r>
    </w:p>
    <w:p w:rsidR="00000000" w:rsidDel="00000000" w:rsidP="00000000" w:rsidRDefault="00000000" w:rsidRPr="00000000" w14:paraId="0000002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What does the family of SNNs refer to and how does one family differ from each other?</w:t>
      </w:r>
    </w:p>
    <w:p w:rsidR="00000000" w:rsidDel="00000000" w:rsidP="00000000" w:rsidRDefault="00000000" w:rsidRPr="00000000" w14:paraId="00000023">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motivation why studying and accelerating the SbS network are not clear.</w:t>
      </w:r>
    </w:p>
    <w:p w:rsidR="00000000" w:rsidDel="00000000" w:rsidP="00000000" w:rsidRDefault="00000000" w:rsidRPr="00000000" w14:paraId="00000024">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response:</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25">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action: </w:t>
      </w:r>
      <w:r w:rsidDel="00000000" w:rsidR="00000000" w:rsidRPr="00000000">
        <w:rPr>
          <w:rFonts w:ascii="Calibri" w:cs="Calibri" w:eastAsia="Calibri" w:hAnsi="Calibri"/>
          <w:sz w:val="22"/>
          <w:szCs w:val="22"/>
          <w:vertAlign w:val="baseline"/>
          <w:rtl w:val="0"/>
        </w:rPr>
        <w:t xml:space="preserve">We updated the manuscript by ….</w:t>
      </w:r>
    </w:p>
    <w:p w:rsidR="00000000" w:rsidDel="00000000" w:rsidP="00000000" w:rsidRDefault="00000000" w:rsidRPr="00000000" w14:paraId="00000026">
      <w:pPr>
        <w:jc w:val="both"/>
        <w:rPr>
          <w:rFonts w:ascii="Calibri" w:cs="Calibri" w:eastAsia="Calibri" w:hAnsi="Calibri"/>
          <w:b w:val="0"/>
          <w:color w:val="000090"/>
          <w:sz w:val="22"/>
          <w:szCs w:val="22"/>
          <w:vertAlign w:val="baseline"/>
        </w:rPr>
      </w:pPr>
      <w:r w:rsidDel="00000000" w:rsidR="00000000" w:rsidRPr="00000000">
        <w:rPr>
          <w:rtl w:val="0"/>
        </w:rPr>
      </w:r>
    </w:p>
    <w:p w:rsidR="00000000" w:rsidDel="00000000" w:rsidP="00000000" w:rsidRDefault="00000000" w:rsidRPr="00000000" w14:paraId="00000027">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28">
      <w:pPr>
        <w:jc w:val="both"/>
        <w:rPr>
          <w:rFonts w:ascii="Calibri" w:cs="Calibri" w:eastAsia="Calibri" w:hAnsi="Calibri"/>
          <w:color w:val="008000"/>
          <w:sz w:val="22"/>
          <w:szCs w:val="22"/>
          <w:vertAlign w:val="baseline"/>
        </w:rPr>
      </w:pPr>
      <w:r w:rsidDel="00000000" w:rsidR="00000000" w:rsidRPr="00000000">
        <w:rPr>
          <w:rFonts w:ascii="Calibri" w:cs="Calibri" w:eastAsia="Calibri" w:hAnsi="Calibri"/>
          <w:b w:val="1"/>
          <w:color w:val="008000"/>
          <w:sz w:val="22"/>
          <w:szCs w:val="22"/>
          <w:vertAlign w:val="baseline"/>
          <w:rtl w:val="0"/>
        </w:rPr>
        <w:t xml:space="preserve">Reviewer#1, Concern # 2:</w:t>
      </w:r>
      <w:r w:rsidDel="00000000" w:rsidR="00000000" w:rsidRPr="00000000">
        <w:rPr>
          <w:rFonts w:ascii="Calibri" w:cs="Calibri" w:eastAsia="Calibri" w:hAnsi="Calibri"/>
          <w:color w:val="008000"/>
          <w:sz w:val="22"/>
          <w:szCs w:val="22"/>
          <w:vertAlign w:val="baseline"/>
          <w:rtl w:val="0"/>
        </w:rPr>
        <w:t xml:space="preserve"> </w:t>
      </w:r>
    </w:p>
    <w:p w:rsidR="00000000" w:rsidDel="00000000" w:rsidP="00000000" w:rsidRDefault="00000000" w:rsidRPr="00000000" w14:paraId="0000002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 / Paragraph 2: It mentions that “These properties place the SbS network in between non-spiking NN and stochastically spiking NN, offering advantages from both structures.” It is not clear how the SbS network can offer advantages from both structures.</w:t>
      </w:r>
    </w:p>
    <w:p w:rsidR="00000000" w:rsidDel="00000000" w:rsidP="00000000" w:rsidRDefault="00000000" w:rsidRPr="00000000" w14:paraId="0000002A">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response:</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2B">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action: </w:t>
      </w:r>
      <w:r w:rsidDel="00000000" w:rsidR="00000000" w:rsidRPr="00000000">
        <w:rPr>
          <w:rFonts w:ascii="Calibri" w:cs="Calibri" w:eastAsia="Calibri" w:hAnsi="Calibri"/>
          <w:sz w:val="22"/>
          <w:szCs w:val="22"/>
          <w:vertAlign w:val="baseline"/>
          <w:rtl w:val="0"/>
        </w:rPr>
        <w:t xml:space="preserve">We updated the manuscript by ….</w:t>
      </w:r>
    </w:p>
    <w:p w:rsidR="00000000" w:rsidDel="00000000" w:rsidP="00000000" w:rsidRDefault="00000000" w:rsidRPr="00000000" w14:paraId="0000002C">
      <w:pPr>
        <w:jc w:val="both"/>
        <w:rPr>
          <w:rFonts w:ascii="Calibri" w:cs="Calibri" w:eastAsia="Calibri" w:hAnsi="Calibri"/>
          <w:b w:val="0"/>
          <w:color w:val="000090"/>
          <w:sz w:val="22"/>
          <w:szCs w:val="22"/>
          <w:vertAlign w:val="baseline"/>
        </w:rPr>
      </w:pPr>
      <w:r w:rsidDel="00000000" w:rsidR="00000000" w:rsidRPr="00000000">
        <w:rPr>
          <w:rtl w:val="0"/>
        </w:rPr>
      </w:r>
    </w:p>
    <w:p w:rsidR="00000000" w:rsidDel="00000000" w:rsidP="00000000" w:rsidRDefault="00000000" w:rsidRPr="00000000" w14:paraId="0000002D">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2E">
      <w:pPr>
        <w:jc w:val="both"/>
        <w:rPr>
          <w:rFonts w:ascii="Calibri" w:cs="Calibri" w:eastAsia="Calibri" w:hAnsi="Calibri"/>
          <w:color w:val="008000"/>
          <w:sz w:val="22"/>
          <w:szCs w:val="22"/>
          <w:vertAlign w:val="baseline"/>
        </w:rPr>
      </w:pPr>
      <w:r w:rsidDel="00000000" w:rsidR="00000000" w:rsidRPr="00000000">
        <w:rPr>
          <w:rFonts w:ascii="Calibri" w:cs="Calibri" w:eastAsia="Calibri" w:hAnsi="Calibri"/>
          <w:b w:val="1"/>
          <w:color w:val="008000"/>
          <w:sz w:val="22"/>
          <w:szCs w:val="22"/>
          <w:vertAlign w:val="baseline"/>
          <w:rtl w:val="0"/>
        </w:rPr>
        <w:t xml:space="preserve">Reviewer#1, Concern # 3:</w:t>
      </w:r>
      <w:r w:rsidDel="00000000" w:rsidR="00000000" w:rsidRPr="00000000">
        <w:rPr>
          <w:rFonts w:ascii="Calibri" w:cs="Calibri" w:eastAsia="Calibri" w:hAnsi="Calibri"/>
          <w:color w:val="008000"/>
          <w:sz w:val="22"/>
          <w:szCs w:val="22"/>
          <w:vertAlign w:val="baseline"/>
          <w:rtl w:val="0"/>
        </w:rPr>
        <w:t xml:space="preserve"> </w:t>
      </w:r>
    </w:p>
    <w:p w:rsidR="00000000" w:rsidDel="00000000" w:rsidP="00000000" w:rsidRDefault="00000000" w:rsidRPr="00000000" w14:paraId="0000002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 / Paragraph 3: It mentions that “deep SbS networks are high compute and data intensive, …” It is suggested to provide the supporting data.</w:t>
      </w:r>
    </w:p>
    <w:p w:rsidR="00000000" w:rsidDel="00000000" w:rsidP="00000000" w:rsidRDefault="00000000" w:rsidRPr="00000000" w14:paraId="00000030">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response:</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31">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action: </w:t>
      </w:r>
      <w:r w:rsidDel="00000000" w:rsidR="00000000" w:rsidRPr="00000000">
        <w:rPr>
          <w:rFonts w:ascii="Calibri" w:cs="Calibri" w:eastAsia="Calibri" w:hAnsi="Calibri"/>
          <w:sz w:val="22"/>
          <w:szCs w:val="22"/>
          <w:vertAlign w:val="baseline"/>
          <w:rtl w:val="0"/>
        </w:rPr>
        <w:t xml:space="preserve">We updated the manuscript by ….</w:t>
      </w:r>
    </w:p>
    <w:p w:rsidR="00000000" w:rsidDel="00000000" w:rsidP="00000000" w:rsidRDefault="00000000" w:rsidRPr="00000000" w14:paraId="00000032">
      <w:pPr>
        <w:jc w:val="both"/>
        <w:rPr>
          <w:rFonts w:ascii="Calibri" w:cs="Calibri" w:eastAsia="Calibri" w:hAnsi="Calibri"/>
          <w:color w:val="000090"/>
          <w:sz w:val="22"/>
          <w:szCs w:val="22"/>
        </w:rPr>
      </w:pPr>
      <w:r w:rsidDel="00000000" w:rsidR="00000000" w:rsidRPr="00000000">
        <w:rPr>
          <w:rtl w:val="0"/>
        </w:rPr>
      </w:r>
    </w:p>
    <w:p w:rsidR="00000000" w:rsidDel="00000000" w:rsidP="00000000" w:rsidRDefault="00000000" w:rsidRPr="00000000" w14:paraId="00000033">
      <w:pPr>
        <w:jc w:val="both"/>
        <w:rPr>
          <w:rFonts w:ascii="Calibri" w:cs="Calibri" w:eastAsia="Calibri" w:hAnsi="Calibri"/>
          <w:color w:val="000090"/>
          <w:sz w:val="22"/>
          <w:szCs w:val="22"/>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4:</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3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III-A: The explanation of SbS fundamental directly focuses on its computational aspects, without discussing the basic network overview, such as the network architecture/topology, synaptic connections, spike/information coding, etc. Therefore, this makes the following discussion difficult to follow.</w:t>
      </w:r>
    </w:p>
    <w:p w:rsidR="00000000" w:rsidDel="00000000" w:rsidP="00000000" w:rsidRDefault="00000000" w:rsidRPr="00000000" w14:paraId="00000036">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7">
      <w:pPr>
        <w:jc w:val="both"/>
        <w:rPr>
          <w:rFonts w:ascii="Calibri" w:cs="Calibri" w:eastAsia="Calibri" w:hAnsi="Calibri"/>
          <w:color w:val="000090"/>
          <w:sz w:val="22"/>
          <w:szCs w:val="22"/>
        </w:rPr>
      </w:pPr>
      <w:r w:rsidDel="00000000" w:rsidR="00000000" w:rsidRPr="00000000">
        <w:rPr>
          <w:rFonts w:ascii="Calibri" w:cs="Calibri" w:eastAsia="Calibri" w:hAnsi="Calibri"/>
          <w:b w:val="1"/>
          <w:sz w:val="22"/>
          <w:szCs w:val="22"/>
          <w:rtl w:val="0"/>
        </w:rPr>
        <w:t xml:space="preserve">Author action: </w:t>
      </w:r>
      <w:r w:rsidDel="00000000" w:rsidR="00000000" w:rsidRPr="00000000">
        <w:rPr>
          <w:rFonts w:ascii="Calibri" w:cs="Calibri" w:eastAsia="Calibri" w:hAnsi="Calibri"/>
          <w:sz w:val="22"/>
          <w:szCs w:val="22"/>
          <w:rtl w:val="0"/>
        </w:rPr>
        <w:t xml:space="preserve">We updated the manuscript by ….</w:t>
      </w:r>
      <w:r w:rsidDel="00000000" w:rsidR="00000000" w:rsidRPr="00000000">
        <w:rPr>
          <w:rtl w:val="0"/>
        </w:rPr>
      </w:r>
    </w:p>
    <w:p w:rsidR="00000000" w:rsidDel="00000000" w:rsidP="00000000" w:rsidRDefault="00000000" w:rsidRPr="00000000" w14:paraId="00000038">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39">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5:</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3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III-A / Paragraph 4:</w:t>
      </w:r>
    </w:p>
    <w:p w:rsidR="00000000" w:rsidDel="00000000" w:rsidP="00000000" w:rsidRDefault="00000000" w:rsidRPr="00000000" w14:paraId="0000003C">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What does the “tensor flow network” mean?   </w:t>
      </w:r>
    </w:p>
    <w:p w:rsidR="00000000" w:rsidDel="00000000" w:rsidP="00000000" w:rsidRDefault="00000000" w:rsidRPr="00000000" w14:paraId="0000003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What is the type of noise used for the observation in Fig. 2?</w:t>
      </w:r>
    </w:p>
    <w:p w:rsidR="00000000" w:rsidDel="00000000" w:rsidP="00000000" w:rsidRDefault="00000000" w:rsidRPr="00000000" w14:paraId="0000003E">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It is not clear the context of the number of spikes that is discussed in this paragraph.</w:t>
      </w:r>
    </w:p>
    <w:p w:rsidR="00000000" w:rsidDel="00000000" w:rsidP="00000000" w:rsidRDefault="00000000" w:rsidRPr="00000000" w14:paraId="0000003F">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0">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action: </w:t>
      </w:r>
      <w:r w:rsidDel="00000000" w:rsidR="00000000" w:rsidRPr="00000000">
        <w:rPr>
          <w:rFonts w:ascii="Calibri" w:cs="Calibri" w:eastAsia="Calibri" w:hAnsi="Calibri"/>
          <w:sz w:val="22"/>
          <w:szCs w:val="22"/>
          <w:rtl w:val="0"/>
        </w:rPr>
        <w:t xml:space="preserve">We updated the manuscript by ….</w:t>
      </w:r>
    </w:p>
    <w:p w:rsidR="00000000" w:rsidDel="00000000" w:rsidP="00000000" w:rsidRDefault="00000000" w:rsidRPr="00000000" w14:paraId="00000041">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42">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43">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6:</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44">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IV-A:</w:t>
      </w:r>
    </w:p>
    <w:p w:rsidR="00000000" w:rsidDel="00000000" w:rsidP="00000000" w:rsidRDefault="00000000" w:rsidRPr="00000000" w14:paraId="00000045">
      <w:pPr>
        <w:numPr>
          <w:ilvl w:val="0"/>
          <w:numId w:val="1"/>
        </w:numPr>
        <w:spacing w:after="0" w:afterAutospacing="0"/>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It mentions that the system design from reference [46] is revisited. What are the differences between the proposed architecture in manuscript with the design from [46]? It is suggested to clarify the novelty.</w:t>
      </w:r>
    </w:p>
    <w:p w:rsidR="00000000" w:rsidDel="00000000" w:rsidP="00000000" w:rsidRDefault="00000000" w:rsidRPr="00000000" w14:paraId="00000046">
      <w:pPr>
        <w:numPr>
          <w:ilvl w:val="0"/>
          <w:numId w:val="1"/>
        </w:numPr>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It mentions that “The hardware architecture can resize its resource utilization by changing the number of PUs instances, ...” Does it mean the proposed system supports the reconfiguration at run-time? If so, it is suggested to explain how the reconfiguration is performed.</w:t>
      </w:r>
    </w:p>
    <w:p w:rsidR="00000000" w:rsidDel="00000000" w:rsidP="00000000" w:rsidRDefault="00000000" w:rsidRPr="00000000" w14:paraId="00000047">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8">
      <w:pPr>
        <w:numPr>
          <w:ilvl w:val="0"/>
          <w:numId w:val="2"/>
        </w:numPr>
        <w:spacing w:after="0" w:afterAutospacing="0"/>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As architectural novelty, our proposed approach in this publication is based on specialized heterogeneous processing units with approximate computing. In contrast, our previous work [46] is based on generic homogeneous accelerator units with standard floating-point, which represents elevated memory and computational costs.</w:t>
      </w:r>
    </w:p>
    <w:p w:rsidR="00000000" w:rsidDel="00000000" w:rsidP="00000000" w:rsidRDefault="00000000" w:rsidRPr="00000000" w14:paraId="00000049">
      <w:pPr>
        <w:numPr>
          <w:ilvl w:val="0"/>
          <w:numId w:val="2"/>
        </w:numPr>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proposed system does not support the reconfiguration at run-time. The hardware architecture resizes its resource utilization by changing the number of PUs instances prior to the hardware synthesis.</w:t>
      </w:r>
    </w:p>
    <w:p w:rsidR="00000000" w:rsidDel="00000000" w:rsidP="00000000" w:rsidRDefault="00000000" w:rsidRPr="00000000" w14:paraId="0000004A">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Author action:</w:t>
      </w:r>
    </w:p>
    <w:p w:rsidR="00000000" w:rsidDel="00000000" w:rsidP="00000000" w:rsidRDefault="00000000" w:rsidRPr="00000000" w14:paraId="0000004B">
      <w:pPr>
        <w:numPr>
          <w:ilvl w:val="0"/>
          <w:numId w:val="3"/>
        </w:numPr>
        <w:spacing w:after="0" w:afterAutospacing="0"/>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We updated the manuscript by clarifying this point in the first two paragraphs in Section IV.</w:t>
      </w:r>
    </w:p>
    <w:p w:rsidR="00000000" w:rsidDel="00000000" w:rsidP="00000000" w:rsidRDefault="00000000" w:rsidRPr="00000000" w14:paraId="0000004C">
      <w:pPr>
        <w:numPr>
          <w:ilvl w:val="0"/>
          <w:numId w:val="3"/>
        </w:numPr>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In addition, we added a platform comparison table. This table compares our previous publication in Ref. [46] and the resulting platforms from the design exploration on this publication. This table contains resource utilization, power dissipation, latency, and accuracy. This table is included at the end of Section V-C (results and discussion).</w:t>
      </w:r>
    </w:p>
    <w:p w:rsidR="00000000" w:rsidDel="00000000" w:rsidP="00000000" w:rsidRDefault="00000000" w:rsidRPr="00000000" w14:paraId="0000004D">
      <w:pPr>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829831" cy="2775585"/>
            <wp:effectExtent b="25400" l="25400" r="25400" t="25400"/>
            <wp:docPr id="6" name="image1.png"/>
            <a:graphic>
              <a:graphicData uri="http://schemas.openxmlformats.org/drawingml/2006/picture">
                <pic:pic>
                  <pic:nvPicPr>
                    <pic:cNvPr id="0" name="image1.png"/>
                    <pic:cNvPicPr preferRelativeResize="0"/>
                  </pic:nvPicPr>
                  <pic:blipFill>
                    <a:blip r:embed="rId7"/>
                    <a:srcRect b="0" l="26448" r="19116" t="5997"/>
                    <a:stretch>
                      <a:fillRect/>
                    </a:stretch>
                  </pic:blipFill>
                  <pic:spPr>
                    <a:xfrm>
                      <a:off x="0" y="0"/>
                      <a:ext cx="2829831" cy="277558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Calibri" w:cs="Calibri" w:eastAsia="Calibri" w:hAnsi="Calibri"/>
          <w:sz w:val="22"/>
          <w:szCs w:val="22"/>
        </w:rPr>
      </w:pPr>
      <w:r w:rsidDel="00000000" w:rsidR="00000000" w:rsidRPr="00000000">
        <w:rPr>
          <w:rFonts w:ascii="Arial" w:cs="Arial" w:eastAsia="Arial" w:hAnsi="Arial"/>
          <w:color w:val="222222"/>
          <w:sz w:val="20"/>
          <w:szCs w:val="20"/>
          <w:highlight w:val="white"/>
        </w:rPr>
        <w:drawing>
          <wp:inline distB="114300" distT="114300" distL="114300" distR="114300">
            <wp:extent cx="3581400" cy="2548890"/>
            <wp:effectExtent b="25400" l="25400" r="25400" t="25400"/>
            <wp:docPr id="4" name="image7.png"/>
            <a:graphic>
              <a:graphicData uri="http://schemas.openxmlformats.org/drawingml/2006/picture">
                <pic:pic>
                  <pic:nvPicPr>
                    <pic:cNvPr id="0" name="image7.png"/>
                    <pic:cNvPicPr preferRelativeResize="0"/>
                  </pic:nvPicPr>
                  <pic:blipFill>
                    <a:blip r:embed="rId8"/>
                    <a:srcRect b="16581" l="30077" r="11487" t="10080"/>
                    <a:stretch>
                      <a:fillRect/>
                    </a:stretch>
                  </pic:blipFill>
                  <pic:spPr>
                    <a:xfrm>
                      <a:off x="0" y="0"/>
                      <a:ext cx="3581400" cy="254889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3"/>
        </w:numPr>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We updated the manuscript by clarifying that the hardware architecture resizes its resource utilization by changing the number of PUs instances prior to the hardware synthesis. This is done in section IV-A, second paragraph.</w:t>
      </w:r>
    </w:p>
    <w:tbl>
      <w:tblPr>
        <w:tblStyle w:val="Table1"/>
        <w:tblW w:w="891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2"/>
        <w:tblGridChange w:id="0">
          <w:tblGrid>
            <w:gridCol w:w="891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hardware architecture can resize its resource utilization by changing the number of PUs instances </w:t>
            </w:r>
            <w:r w:rsidDel="00000000" w:rsidR="00000000" w:rsidRPr="00000000">
              <w:rPr>
                <w:rFonts w:ascii="Calibri" w:cs="Calibri" w:eastAsia="Calibri" w:hAnsi="Calibri"/>
                <w:sz w:val="22"/>
                <w:szCs w:val="22"/>
                <w:highlight w:val="yellow"/>
                <w:rtl w:val="0"/>
              </w:rPr>
              <w:t xml:space="preserve">prior to the hardware synthesis</w:t>
            </w:r>
            <w:r w:rsidDel="00000000" w:rsidR="00000000" w:rsidRPr="00000000">
              <w:rPr>
                <w:rFonts w:ascii="Calibri" w:cs="Calibri" w:eastAsia="Calibri" w:hAnsi="Calibri"/>
                <w:sz w:val="22"/>
                <w:szCs w:val="22"/>
                <w:rtl w:val="0"/>
              </w:rPr>
              <w:t xml:space="preserve">, this provides scalability with a good trade-off between area and throughput.</w:t>
            </w:r>
          </w:p>
        </w:tc>
      </w:tr>
    </w:tbl>
    <w:p w:rsidR="00000000" w:rsidDel="00000000" w:rsidP="00000000" w:rsidRDefault="00000000" w:rsidRPr="00000000" w14:paraId="00000051">
      <w:pPr>
        <w:ind w:left="72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7:</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55">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IV-B: It is still not clear how the bitwidth is decided for each parameter that is considered for the computation. It should be explained when discussing the custom floating-point and logarithmic representation. Otherwise, it seems like a pre-selected bitwidth without justification. For example, the partial discussion in the Section V-B.1 and Section V-B.2 can be used here, but should be supported with justification.</w:t>
      </w:r>
    </w:p>
    <w:p w:rsidR="00000000" w:rsidDel="00000000" w:rsidP="00000000" w:rsidRDefault="00000000" w:rsidRPr="00000000" w14:paraId="00000056">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5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use either hybrid custom floating-point or logarithmic number representation on the synaptic weight matrix. We keep everything else with standard floating-point number representation.</w:t>
      </w:r>
    </w:p>
    <w:p w:rsidR="00000000" w:rsidDel="00000000" w:rsidP="00000000" w:rsidRDefault="00000000" w:rsidRPr="00000000" w14:paraId="0000005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Both the custom floating-point and logarithmic number representation have the same exponent bit width extracted from its floating-point representation. The mantissa bit width is a knob parameter to trade off resource utilization and  quality-of-result. A null mantissa bit-width results in the logarithmic number representation.</w:t>
      </w:r>
    </w:p>
    <w:p w:rsidR="00000000" w:rsidDel="00000000" w:rsidP="00000000" w:rsidRDefault="00000000" w:rsidRPr="00000000" w14:paraId="0000005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Since the synaptic weight matrix is composed of entries with normalized values, we have exponents ranging from negative values to zero.</w:t>
      </w:r>
    </w:p>
    <w:p w:rsidR="00000000" w:rsidDel="00000000" w:rsidP="00000000" w:rsidRDefault="00000000" w:rsidRPr="00000000" w14:paraId="0000005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Therefore, for each synaptic weight matrix, we look for the smallest value, which corresponds to the largest negative exponent in the values of the matrix. Therefore, the bit width of the exponent is determined according to this value. Also, to further reduce the bit width, since all exponents are negative numbers, the sign bit is ignored (set/handled as negative in hardware).</w:t>
      </w:r>
    </w:p>
    <w:p w:rsidR="00000000" w:rsidDel="00000000" w:rsidP="00000000" w:rsidRDefault="00000000" w:rsidRPr="00000000" w14:paraId="0000005B">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action: </w:t>
      </w:r>
      <w:r w:rsidDel="00000000" w:rsidR="00000000" w:rsidRPr="00000000">
        <w:rPr>
          <w:rFonts w:ascii="Calibri" w:cs="Calibri" w:eastAsia="Calibri" w:hAnsi="Calibri"/>
          <w:sz w:val="22"/>
          <w:szCs w:val="22"/>
          <w:rtl w:val="0"/>
        </w:rPr>
        <w:t xml:space="preserve">We updated the manuscript by describing the method to determine the required bit width in Section IV-C, where we placed the formulas with their discussion and an illustrative figure. In Section IV-B, we added a reference to Section IV-C.</w:t>
      </w:r>
    </w:p>
    <w:p w:rsidR="00000000" w:rsidDel="00000000" w:rsidP="00000000" w:rsidRDefault="00000000" w:rsidRPr="00000000" w14:paraId="0000005C">
      <w:pPr>
        <w:jc w:val="center"/>
        <w:rPr>
          <w:rFonts w:ascii="Calibri" w:cs="Calibri" w:eastAsia="Calibri" w:hAnsi="Calibri"/>
          <w:b w:val="1"/>
          <w:color w:val="008000"/>
          <w:sz w:val="22"/>
          <w:szCs w:val="22"/>
        </w:rPr>
      </w:pPr>
      <w:r w:rsidDel="00000000" w:rsidR="00000000" w:rsidRPr="00000000">
        <w:rPr>
          <w:rFonts w:ascii="Calibri" w:cs="Calibri" w:eastAsia="Calibri" w:hAnsi="Calibri"/>
          <w:b w:val="1"/>
          <w:color w:val="008000"/>
          <w:sz w:val="22"/>
          <w:szCs w:val="22"/>
        </w:rPr>
        <w:drawing>
          <wp:inline distB="114300" distT="114300" distL="114300" distR="114300">
            <wp:extent cx="3403335" cy="2131060"/>
            <wp:effectExtent b="25400" l="25400" r="25400" t="25400"/>
            <wp:docPr id="1" name="image8.png"/>
            <a:graphic>
              <a:graphicData uri="http://schemas.openxmlformats.org/drawingml/2006/picture">
                <pic:pic>
                  <pic:nvPicPr>
                    <pic:cNvPr id="0" name="image8.png"/>
                    <pic:cNvPicPr preferRelativeResize="0"/>
                  </pic:nvPicPr>
                  <pic:blipFill>
                    <a:blip r:embed="rId9"/>
                    <a:srcRect b="3995" l="12141" r="4706" t="4219"/>
                    <a:stretch>
                      <a:fillRect/>
                    </a:stretch>
                  </pic:blipFill>
                  <pic:spPr>
                    <a:xfrm>
                      <a:off x="0" y="0"/>
                      <a:ext cx="3403335" cy="21310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Calibri" w:cs="Calibri" w:eastAsia="Calibri" w:hAnsi="Calibri"/>
          <w:b w:val="1"/>
          <w:color w:val="008000"/>
          <w:sz w:val="22"/>
          <w:szCs w:val="22"/>
        </w:rPr>
      </w:pPr>
      <w:r w:rsidDel="00000000" w:rsidR="00000000" w:rsidRPr="00000000">
        <w:rPr>
          <w:rFonts w:ascii="Calibri" w:cs="Calibri" w:eastAsia="Calibri" w:hAnsi="Calibri"/>
          <w:b w:val="1"/>
          <w:color w:val="008000"/>
          <w:sz w:val="22"/>
          <w:szCs w:val="22"/>
        </w:rPr>
        <w:drawing>
          <wp:inline distB="114300" distT="114300" distL="114300" distR="114300">
            <wp:extent cx="4841509" cy="1997710"/>
            <wp:effectExtent b="25400" l="25400" r="25400" t="25400"/>
            <wp:docPr id="9" name="image3.png"/>
            <a:graphic>
              <a:graphicData uri="http://schemas.openxmlformats.org/drawingml/2006/picture">
                <pic:pic>
                  <pic:nvPicPr>
                    <pic:cNvPr id="0" name="image3.png"/>
                    <pic:cNvPicPr preferRelativeResize="0"/>
                  </pic:nvPicPr>
                  <pic:blipFill>
                    <a:blip r:embed="rId10"/>
                    <a:srcRect b="3447" l="30285" r="12947" t="55381"/>
                    <a:stretch>
                      <a:fillRect/>
                    </a:stretch>
                  </pic:blipFill>
                  <pic:spPr>
                    <a:xfrm>
                      <a:off x="0" y="0"/>
                      <a:ext cx="4841509" cy="199771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5F">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8:</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6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V-A.2: What are the reasons of computing CONV layers (H2_POOL and H3_CONV) on processing units (PUs), and computing HY_OUT on CPU. Isn’t it faster computing them all on the PUs?</w:t>
      </w:r>
    </w:p>
    <w:p w:rsidR="00000000" w:rsidDel="00000000" w:rsidP="00000000" w:rsidRDefault="00000000" w:rsidRPr="00000000" w14:paraId="00000061">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6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Computing on hardware PUs is faster than on CPU. However, HY_OUT is made up of a small vector of 10 neurons, which we decided to process on the CPU based on its processing latency of 4 microseconds. This latency is negligible compared to the overall performance assessment, accelerating HY_OUT would yield a negligible gain. Furthermore, assigning a dedicated hardware PU to HY_OUT would add data transfer and hardware interruption handling overheads, which makes this unprofitable.</w:t>
      </w:r>
    </w:p>
    <w:p w:rsidR="00000000" w:rsidDel="00000000" w:rsidP="00000000" w:rsidRDefault="00000000" w:rsidRPr="00000000" w14:paraId="00000063">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action: </w:t>
      </w:r>
      <w:r w:rsidDel="00000000" w:rsidR="00000000" w:rsidRPr="00000000">
        <w:rPr>
          <w:rFonts w:ascii="Calibri" w:cs="Calibri" w:eastAsia="Calibri" w:hAnsi="Calibri"/>
          <w:sz w:val="22"/>
          <w:szCs w:val="22"/>
          <w:rtl w:val="0"/>
        </w:rPr>
        <w:t xml:space="preserve">We updated the manuscript by clarifying this point in Section V-A.2</w:t>
      </w:r>
    </w:p>
    <w:p w:rsidR="00000000" w:rsidDel="00000000" w:rsidP="00000000" w:rsidRDefault="00000000" w:rsidRPr="00000000" w14:paraId="00000064">
      <w:pPr>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600450" cy="2922206"/>
            <wp:effectExtent b="25400" l="25400" r="25400" t="25400"/>
            <wp:docPr id="3" name="image4.png"/>
            <a:graphic>
              <a:graphicData uri="http://schemas.openxmlformats.org/drawingml/2006/picture">
                <pic:pic>
                  <pic:nvPicPr>
                    <pic:cNvPr id="0" name="image4.png"/>
                    <pic:cNvPicPr preferRelativeResize="0"/>
                  </pic:nvPicPr>
                  <pic:blipFill>
                    <a:blip r:embed="rId11"/>
                    <a:srcRect b="7443" l="30285" r="10882" t="8619"/>
                    <a:stretch>
                      <a:fillRect/>
                    </a:stretch>
                  </pic:blipFill>
                  <pic:spPr>
                    <a:xfrm>
                      <a:off x="0" y="0"/>
                      <a:ext cx="3600450" cy="292220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9:</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6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V-B.1: It says that the detailed discussion on the number format is provided in Section IV-A, but the discussion is not there. It seems to be a wrong referencing and should be corrected.</w:t>
      </w:r>
    </w:p>
    <w:p w:rsidR="00000000" w:rsidDel="00000000" w:rsidP="00000000" w:rsidRDefault="00000000" w:rsidRPr="00000000" w14:paraId="00000068">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Yes. Thanks for the observation.</w:t>
      </w:r>
    </w:p>
    <w:p w:rsidR="00000000" w:rsidDel="00000000" w:rsidP="00000000" w:rsidRDefault="00000000" w:rsidRPr="00000000" w14:paraId="00000069">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action: </w:t>
      </w:r>
      <w:r w:rsidDel="00000000" w:rsidR="00000000" w:rsidRPr="00000000">
        <w:rPr>
          <w:rFonts w:ascii="Calibri" w:cs="Calibri" w:eastAsia="Calibri" w:hAnsi="Calibri"/>
          <w:sz w:val="22"/>
          <w:szCs w:val="22"/>
          <w:rtl w:val="0"/>
        </w:rPr>
        <w:t xml:space="preserve">We updated the manuscript by removing the content referring to Section IV-A. The paragraph containing this reference is removed as this content is now placed in Section IV-C. This content discussed the convenient properties of the synaptic weight matrix to ignore the sign bit, as well as the method for determining the bit width.</w:t>
      </w:r>
    </w:p>
    <w:p w:rsidR="00000000" w:rsidDel="00000000" w:rsidP="00000000" w:rsidRDefault="00000000" w:rsidRPr="00000000" w14:paraId="0000006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simplify the rest of the content in this section (Section V-B.1) simply by discussing the log-2 histograms of the synaptic weight matrices and using the formulas (from Section IV-C) to obtain the bit width.</w:t>
      </w:r>
    </w:p>
    <w:p w:rsidR="00000000" w:rsidDel="00000000" w:rsidP="00000000" w:rsidRDefault="00000000" w:rsidRPr="00000000" w14:paraId="0000006B">
      <w:pPr>
        <w:jc w:val="center"/>
        <w:rPr>
          <w:rFonts w:ascii="Calibri" w:cs="Calibri" w:eastAsia="Calibri" w:hAnsi="Calibri"/>
          <w:b w:val="1"/>
          <w:color w:val="008000"/>
          <w:sz w:val="22"/>
          <w:szCs w:val="22"/>
        </w:rPr>
      </w:pPr>
      <w:r w:rsidDel="00000000" w:rsidR="00000000" w:rsidRPr="00000000">
        <w:rPr>
          <w:rFonts w:ascii="Calibri" w:cs="Calibri" w:eastAsia="Calibri" w:hAnsi="Calibri"/>
          <w:b w:val="1"/>
          <w:color w:val="008000"/>
          <w:sz w:val="22"/>
          <w:szCs w:val="22"/>
        </w:rPr>
        <w:drawing>
          <wp:inline distB="114300" distT="114300" distL="114300" distR="114300">
            <wp:extent cx="3533775" cy="2847767"/>
            <wp:effectExtent b="25400" l="25400" r="25400" t="25400"/>
            <wp:docPr id="2" name="image2.png"/>
            <a:graphic>
              <a:graphicData uri="http://schemas.openxmlformats.org/drawingml/2006/picture">
                <pic:pic>
                  <pic:nvPicPr>
                    <pic:cNvPr id="0" name="image2.png"/>
                    <pic:cNvPicPr preferRelativeResize="0"/>
                  </pic:nvPicPr>
                  <pic:blipFill>
                    <a:blip r:embed="rId12"/>
                    <a:srcRect b="5480" l="30181" r="12170" t="12688"/>
                    <a:stretch>
                      <a:fillRect/>
                    </a:stretch>
                  </pic:blipFill>
                  <pic:spPr>
                    <a:xfrm>
                      <a:off x="0" y="0"/>
                      <a:ext cx="3533775" cy="284776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10:</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6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V-C: Table 8 shows that the proposed architectures (hybrid custom floating-point and hybrid logarithmic) consume larger LUT and FF resources. What are the reasons? It is also suggested to provide a breakdown of the power consumption for compute and memory units.</w:t>
      </w:r>
    </w:p>
    <w:p w:rsidR="00000000" w:rsidDel="00000000" w:rsidP="00000000" w:rsidRDefault="00000000" w:rsidRPr="00000000" w14:paraId="0000006E">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6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proposed architecture consumes larger LUT and FF resources due to the implementation of the logic required for the actual dot-product architecture itself.</w:t>
      </w:r>
    </w:p>
    <w:p w:rsidR="00000000" w:rsidDel="00000000" w:rsidP="00000000" w:rsidRDefault="00000000" w:rsidRPr="00000000" w14:paraId="0000007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using standard floating-point (IEEE 754), the HLS tool implements floating-point operator cores  (LogiCORE IPs) to perform floating-point arithmetic operations. These operator cores are implemented trading logic (LUT) resources for DSP usage according to the given implementation directives. These core instances can be reused over the entire hardware kernel.</w:t>
      </w:r>
    </w:p>
    <w:p w:rsidR="00000000" w:rsidDel="00000000" w:rsidP="00000000" w:rsidRDefault="00000000" w:rsidRPr="00000000" w14:paraId="0000007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Our dot-product with standard floating-point computation utilizes one multiplier and one adder arithmetic core. These cores are reused from other computational blocks.</w:t>
      </w:r>
    </w:p>
    <w:p w:rsidR="00000000" w:rsidDel="00000000" w:rsidP="00000000" w:rsidRDefault="00000000" w:rsidRPr="00000000" w14:paraId="00000072">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However, the proposed architecture does not reuse the already instantiated LogiCORE IPs. Instead, the logic required for the hybrid custom floating-point and logarithmic approximation must be implemented.</w:t>
      </w:r>
    </w:p>
    <w:p w:rsidR="00000000" w:rsidDel="00000000" w:rsidP="00000000" w:rsidRDefault="00000000" w:rsidRPr="00000000" w14:paraId="00000073">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Author action:</w:t>
      </w:r>
    </w:p>
    <w:p w:rsidR="00000000" w:rsidDel="00000000" w:rsidP="00000000" w:rsidRDefault="00000000" w:rsidRPr="00000000" w14:paraId="00000074">
      <w:pPr>
        <w:jc w:val="both"/>
        <w:rPr>
          <w:rFonts w:ascii="Arial" w:cs="Arial" w:eastAsia="Arial" w:hAnsi="Arial"/>
          <w:color w:val="222222"/>
          <w:sz w:val="20"/>
          <w:szCs w:val="20"/>
          <w:highlight w:val="white"/>
        </w:rPr>
      </w:pPr>
      <w:r w:rsidDel="00000000" w:rsidR="00000000" w:rsidRPr="00000000">
        <w:rPr>
          <w:rFonts w:ascii="Calibri" w:cs="Calibri" w:eastAsia="Calibri" w:hAnsi="Calibri"/>
          <w:sz w:val="22"/>
          <w:szCs w:val="22"/>
          <w:rtl w:val="0"/>
        </w:rPr>
        <w:t xml:space="preserve">We updated the manuscript by adding the discussion regarding the floating-point operator cores used in the PUs. We add a table showing the resource utilization and power dissipation of the multiplier and adder floating-point cores (provided by the analysis resource viewer of Vivado HLS). We complement our discussion seccion with this topic. We support our statements with a Xilinx application note (</w:t>
      </w:r>
      <w:r w:rsidDel="00000000" w:rsidR="00000000" w:rsidRPr="00000000">
        <w:rPr>
          <w:rFonts w:ascii="Arial" w:cs="Arial" w:eastAsia="Arial" w:hAnsi="Arial"/>
          <w:color w:val="222222"/>
          <w:sz w:val="20"/>
          <w:szCs w:val="20"/>
          <w:highlight w:val="white"/>
          <w:rtl w:val="0"/>
        </w:rPr>
        <w:t xml:space="preserve">Hrica, J., 2012. Floating-point design with vivado HLS. </w:t>
      </w:r>
      <w:r w:rsidDel="00000000" w:rsidR="00000000" w:rsidRPr="00000000">
        <w:rPr>
          <w:rFonts w:ascii="Arial" w:cs="Arial" w:eastAsia="Arial" w:hAnsi="Arial"/>
          <w:i w:val="1"/>
          <w:color w:val="222222"/>
          <w:sz w:val="20"/>
          <w:szCs w:val="20"/>
          <w:highlight w:val="white"/>
          <w:rtl w:val="0"/>
        </w:rPr>
        <w:t xml:space="preserve">Xilinx Application Note</w:t>
      </w:r>
      <w:r w:rsidDel="00000000" w:rsidR="00000000" w:rsidRPr="00000000">
        <w:rPr>
          <w:rFonts w:ascii="Arial" w:cs="Arial" w:eastAsia="Arial" w:hAnsi="Arial"/>
          <w:color w:val="222222"/>
          <w:sz w:val="20"/>
          <w:szCs w:val="20"/>
          <w:highlight w:val="white"/>
          <w:rtl w:val="0"/>
        </w:rPr>
        <w:t xml:space="preserve">.).</w:t>
      </w:r>
    </w:p>
    <w:p w:rsidR="00000000" w:rsidDel="00000000" w:rsidP="00000000" w:rsidRDefault="00000000" w:rsidRPr="00000000" w14:paraId="00000075">
      <w:pPr>
        <w:jc w:val="center"/>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Pr>
        <w:drawing>
          <wp:inline distB="114300" distT="114300" distL="114300" distR="114300">
            <wp:extent cx="3486150" cy="2950210"/>
            <wp:effectExtent b="25400" l="25400" r="25400" t="25400"/>
            <wp:docPr id="7" name="image5.png"/>
            <a:graphic>
              <a:graphicData uri="http://schemas.openxmlformats.org/drawingml/2006/picture">
                <pic:pic>
                  <pic:nvPicPr>
                    <pic:cNvPr id="0" name="image5.png"/>
                    <pic:cNvPicPr preferRelativeResize="0"/>
                  </pic:nvPicPr>
                  <pic:blipFill>
                    <a:blip r:embed="rId13"/>
                    <a:srcRect b="6366" l="30803" r="12273" t="8876"/>
                    <a:stretch>
                      <a:fillRect/>
                    </a:stretch>
                  </pic:blipFill>
                  <pic:spPr>
                    <a:xfrm>
                      <a:off x="0" y="0"/>
                      <a:ext cx="3486150" cy="295021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Pr>
        <w:drawing>
          <wp:inline distB="114300" distT="114300" distL="114300" distR="114300">
            <wp:extent cx="3533775" cy="3024897"/>
            <wp:effectExtent b="25400" l="25400" r="25400" t="25400"/>
            <wp:docPr id="5" name="image6.png"/>
            <a:graphic>
              <a:graphicData uri="http://schemas.openxmlformats.org/drawingml/2006/picture">
                <pic:pic>
                  <pic:nvPicPr>
                    <pic:cNvPr id="0" name="image6.png"/>
                    <pic:cNvPicPr preferRelativeResize="0"/>
                  </pic:nvPicPr>
                  <pic:blipFill>
                    <a:blip r:embed="rId14"/>
                    <a:srcRect b="3675" l="30285" r="12010" t="9381"/>
                    <a:stretch>
                      <a:fillRect/>
                    </a:stretch>
                  </pic:blipFill>
                  <pic:spPr>
                    <a:xfrm>
                      <a:off x="0" y="0"/>
                      <a:ext cx="3533775" cy="302489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78">
      <w:pPr>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Regarding the breakdown of the power consumption, we added this information at the end of the discussion section. We added the breakdown of the power consumption for each platform architecture implemented: (1) our previous publication Ref. [46], (2) standard floating-point computation, (3) hybrid custom floating-point approximation, and (4) hybrid logarithmic approximation. This information is provided by the project summary overview, power on-chip section from Vivado.</w:t>
      </w:r>
    </w:p>
    <w:p w:rsidR="00000000" w:rsidDel="00000000" w:rsidP="00000000" w:rsidRDefault="00000000" w:rsidRPr="00000000" w14:paraId="00000079">
      <w:pPr>
        <w:jc w:val="center"/>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Pr>
        <w:drawing>
          <wp:inline distB="114300" distT="114300" distL="114300" distR="114300">
            <wp:extent cx="3581400" cy="2548890"/>
            <wp:effectExtent b="25400" l="25400" r="25400" t="25400"/>
            <wp:docPr id="8" name="image7.png"/>
            <a:graphic>
              <a:graphicData uri="http://schemas.openxmlformats.org/drawingml/2006/picture">
                <pic:pic>
                  <pic:nvPicPr>
                    <pic:cNvPr id="0" name="image7.png"/>
                    <pic:cNvPicPr preferRelativeResize="0"/>
                  </pic:nvPicPr>
                  <pic:blipFill>
                    <a:blip r:embed="rId8"/>
                    <a:srcRect b="16581" l="30077" r="11487" t="10080"/>
                    <a:stretch>
                      <a:fillRect/>
                    </a:stretch>
                  </pic:blipFill>
                  <pic:spPr>
                    <a:xfrm>
                      <a:off x="0" y="0"/>
                      <a:ext cx="3581400" cy="254889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7B">
      <w:pPr>
        <w:jc w:val="both"/>
        <w:rPr>
          <w:rFonts w:ascii="Calibri" w:cs="Calibri" w:eastAsia="Calibri" w:hAnsi="Calibri"/>
          <w:b w:val="1"/>
          <w:color w:val="008000"/>
          <w:sz w:val="22"/>
          <w:szCs w:val="22"/>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color w:val="008000"/>
          <w:sz w:val="22"/>
          <w:szCs w:val="22"/>
        </w:rPr>
      </w:pPr>
      <w:r w:rsidDel="00000000" w:rsidR="00000000" w:rsidRPr="00000000">
        <w:rPr>
          <w:rFonts w:ascii="Calibri" w:cs="Calibri" w:eastAsia="Calibri" w:hAnsi="Calibri"/>
          <w:b w:val="1"/>
          <w:color w:val="008000"/>
          <w:sz w:val="22"/>
          <w:szCs w:val="22"/>
          <w:rtl w:val="0"/>
        </w:rPr>
        <w:t xml:space="preserve">Reviewer#1, Concern # 11:</w:t>
      </w:r>
      <w:r w:rsidDel="00000000" w:rsidR="00000000" w:rsidRPr="00000000">
        <w:rPr>
          <w:rFonts w:ascii="Calibri" w:cs="Calibri" w:eastAsia="Calibri" w:hAnsi="Calibri"/>
          <w:color w:val="008000"/>
          <w:sz w:val="22"/>
          <w:szCs w:val="22"/>
          <w:rtl w:val="0"/>
        </w:rPr>
        <w:t xml:space="preserve"> </w:t>
      </w:r>
    </w:p>
    <w:p w:rsidR="00000000" w:rsidDel="00000000" w:rsidP="00000000" w:rsidRDefault="00000000" w:rsidRPr="00000000" w14:paraId="0000007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Section V-A.3 / Paragraph 1: It mentions “This plot revels inherent …” Shouldn’t it be “This plot reveals inherent …”?</w:t>
      </w:r>
    </w:p>
    <w:p w:rsidR="00000000" w:rsidDel="00000000" w:rsidP="00000000" w:rsidRDefault="00000000" w:rsidRPr="00000000" w14:paraId="0000007E">
      <w:pPr>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Author response:</w:t>
      </w:r>
      <w:r w:rsidDel="00000000" w:rsidR="00000000" w:rsidRPr="00000000">
        <w:rPr>
          <w:rFonts w:ascii="Calibri" w:cs="Calibri" w:eastAsia="Calibri" w:hAnsi="Calibri"/>
          <w:sz w:val="22"/>
          <w:szCs w:val="22"/>
          <w:rtl w:val="0"/>
        </w:rPr>
        <w:t xml:space="preserve">  Thanks for this observation.</w:t>
      </w:r>
    </w:p>
    <w:p w:rsidR="00000000" w:rsidDel="00000000" w:rsidP="00000000" w:rsidRDefault="00000000" w:rsidRPr="00000000" w14:paraId="0000007F">
      <w:pPr>
        <w:jc w:val="both"/>
        <w:rPr>
          <w:rFonts w:ascii="Calibri" w:cs="Calibri" w:eastAsia="Calibri" w:hAnsi="Calibri"/>
          <w:b w:val="1"/>
          <w:color w:val="008000"/>
          <w:sz w:val="22"/>
          <w:szCs w:val="22"/>
        </w:rPr>
      </w:pPr>
      <w:r w:rsidDel="00000000" w:rsidR="00000000" w:rsidRPr="00000000">
        <w:rPr>
          <w:rFonts w:ascii="Calibri" w:cs="Calibri" w:eastAsia="Calibri" w:hAnsi="Calibri"/>
          <w:b w:val="1"/>
          <w:sz w:val="22"/>
          <w:szCs w:val="22"/>
          <w:rtl w:val="0"/>
        </w:rPr>
        <w:t xml:space="preserve">Author action: </w:t>
      </w:r>
      <w:r w:rsidDel="00000000" w:rsidR="00000000" w:rsidRPr="00000000">
        <w:rPr>
          <w:rFonts w:ascii="Calibri" w:cs="Calibri" w:eastAsia="Calibri" w:hAnsi="Calibri"/>
          <w:sz w:val="22"/>
          <w:szCs w:val="22"/>
          <w:rtl w:val="0"/>
        </w:rPr>
        <w:t xml:space="preserve">We updated the manuscript by correcting the mistake.</w:t>
      </w:r>
      <w:r w:rsidDel="00000000" w:rsidR="00000000" w:rsidRPr="00000000">
        <w:br w:type="page"/>
      </w:r>
      <w:r w:rsidDel="00000000" w:rsidR="00000000" w:rsidRPr="00000000">
        <w:rPr>
          <w:rtl w:val="0"/>
        </w:rPr>
      </w:r>
    </w:p>
    <w:p w:rsidR="00000000" w:rsidDel="00000000" w:rsidP="00000000" w:rsidRDefault="00000000" w:rsidRPr="00000000" w14:paraId="00000080">
      <w:pPr>
        <w:jc w:val="both"/>
        <w:rPr>
          <w:rFonts w:ascii="Calibri" w:cs="Calibri" w:eastAsia="Calibri" w:hAnsi="Calibri"/>
          <w:color w:val="008000"/>
          <w:sz w:val="22"/>
          <w:szCs w:val="22"/>
          <w:vertAlign w:val="baseline"/>
        </w:rPr>
      </w:pPr>
      <w:r w:rsidDel="00000000" w:rsidR="00000000" w:rsidRPr="00000000">
        <w:rPr>
          <w:rFonts w:ascii="Calibri" w:cs="Calibri" w:eastAsia="Calibri" w:hAnsi="Calibri"/>
          <w:b w:val="1"/>
          <w:color w:val="008000"/>
          <w:sz w:val="22"/>
          <w:szCs w:val="22"/>
          <w:vertAlign w:val="baseline"/>
          <w:rtl w:val="0"/>
        </w:rPr>
        <w:t xml:space="preserve">Reviewer#2, Concern # 1:</w:t>
      </w:r>
      <w:r w:rsidDel="00000000" w:rsidR="00000000" w:rsidRPr="00000000">
        <w:rPr>
          <w:rFonts w:ascii="Calibri" w:cs="Calibri" w:eastAsia="Calibri" w:hAnsi="Calibri"/>
          <w:color w:val="008000"/>
          <w:sz w:val="22"/>
          <w:szCs w:val="22"/>
          <w:vertAlign w:val="baseline"/>
          <w:rtl w:val="0"/>
        </w:rPr>
        <w:t xml:space="preserve"> </w:t>
      </w:r>
    </w:p>
    <w:p w:rsidR="00000000" w:rsidDel="00000000" w:rsidP="00000000" w:rsidRDefault="00000000" w:rsidRPr="00000000" w14:paraId="0000008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paper only uses MNIST as the data set for evaluation. SNN training algorithm is still in its infancy, but even so, it is not very suitable to take such a toy test as the evaluation benchmark for a hardware design. Existing SNN training studies have supported CIFAR-level test set and spiking-CNN. It is suggested that the authors improve the work in this regard.</w:t>
      </w:r>
    </w:p>
    <w:p w:rsidR="00000000" w:rsidDel="00000000" w:rsidP="00000000" w:rsidRDefault="00000000" w:rsidRPr="00000000" w14:paraId="00000082">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response:</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83">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action: </w:t>
      </w:r>
      <w:r w:rsidDel="00000000" w:rsidR="00000000" w:rsidRPr="00000000">
        <w:rPr>
          <w:rFonts w:ascii="Calibri" w:cs="Calibri" w:eastAsia="Calibri" w:hAnsi="Calibri"/>
          <w:sz w:val="22"/>
          <w:szCs w:val="22"/>
          <w:vertAlign w:val="baseline"/>
          <w:rtl w:val="0"/>
        </w:rPr>
        <w:t xml:space="preserve">We updated the manuscript by ….</w:t>
      </w:r>
    </w:p>
    <w:p w:rsidR="00000000" w:rsidDel="00000000" w:rsidP="00000000" w:rsidRDefault="00000000" w:rsidRPr="00000000" w14:paraId="00000084">
      <w:pPr>
        <w:jc w:val="both"/>
        <w:rPr>
          <w:rFonts w:ascii="Calibri" w:cs="Calibri" w:eastAsia="Calibri" w:hAnsi="Calibri"/>
          <w:b w:val="0"/>
          <w:color w:val="000090"/>
          <w:sz w:val="22"/>
          <w:szCs w:val="22"/>
          <w:vertAlign w:val="baseline"/>
        </w:rPr>
      </w:pPr>
      <w:r w:rsidDel="00000000" w:rsidR="00000000" w:rsidRPr="00000000">
        <w:rPr>
          <w:rtl w:val="0"/>
        </w:rPr>
      </w:r>
    </w:p>
    <w:p w:rsidR="00000000" w:rsidDel="00000000" w:rsidP="00000000" w:rsidRDefault="00000000" w:rsidRPr="00000000" w14:paraId="00000085">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86">
      <w:pPr>
        <w:jc w:val="both"/>
        <w:rPr>
          <w:rFonts w:ascii="Calibri" w:cs="Calibri" w:eastAsia="Calibri" w:hAnsi="Calibri"/>
          <w:color w:val="008000"/>
          <w:sz w:val="22"/>
          <w:szCs w:val="22"/>
          <w:vertAlign w:val="baseline"/>
        </w:rPr>
      </w:pPr>
      <w:r w:rsidDel="00000000" w:rsidR="00000000" w:rsidRPr="00000000">
        <w:rPr>
          <w:rFonts w:ascii="Calibri" w:cs="Calibri" w:eastAsia="Calibri" w:hAnsi="Calibri"/>
          <w:b w:val="1"/>
          <w:color w:val="008000"/>
          <w:sz w:val="22"/>
          <w:szCs w:val="22"/>
          <w:vertAlign w:val="baseline"/>
          <w:rtl w:val="0"/>
        </w:rPr>
        <w:t xml:space="preserve">Reviewer#2, Concern # 2:</w:t>
      </w:r>
      <w:r w:rsidDel="00000000" w:rsidR="00000000" w:rsidRPr="00000000">
        <w:rPr>
          <w:rFonts w:ascii="Calibri" w:cs="Calibri" w:eastAsia="Calibri" w:hAnsi="Calibri"/>
          <w:color w:val="008000"/>
          <w:sz w:val="22"/>
          <w:szCs w:val="22"/>
          <w:vertAlign w:val="baseline"/>
          <w:rtl w:val="0"/>
        </w:rPr>
        <w:t xml:space="preserve"> </w:t>
      </w:r>
    </w:p>
    <w:p w:rsidR="00000000" w:rsidDel="00000000" w:rsidP="00000000" w:rsidRDefault="00000000" w:rsidRPr="00000000" w14:paraId="0000008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paper stated that “… SbS networks provide numerous advantages over traditional ANNs and CNNs”. I don't think it is right: SNN may have the potential to surpass ANN, but it has a long way to go to prove itself in typical applications.</w:t>
      </w:r>
    </w:p>
    <w:p w:rsidR="00000000" w:rsidDel="00000000" w:rsidP="00000000" w:rsidRDefault="00000000" w:rsidRPr="00000000" w14:paraId="00000088">
      <w:pPr>
        <w:jc w:val="both"/>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Author response:</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89">
      <w:pPr>
        <w:jc w:val="both"/>
        <w:rPr>
          <w:rFonts w:ascii="Calibri" w:cs="Calibri" w:eastAsia="Calibri" w:hAnsi="Calibri"/>
          <w:b w:val="0"/>
          <w:color w:val="000090"/>
          <w:sz w:val="22"/>
          <w:szCs w:val="22"/>
          <w:vertAlign w:val="baseline"/>
        </w:rPr>
      </w:pPr>
      <w:r w:rsidDel="00000000" w:rsidR="00000000" w:rsidRPr="00000000">
        <w:rPr>
          <w:rFonts w:ascii="Calibri" w:cs="Calibri" w:eastAsia="Calibri" w:hAnsi="Calibri"/>
          <w:b w:val="1"/>
          <w:sz w:val="22"/>
          <w:szCs w:val="22"/>
          <w:vertAlign w:val="baseline"/>
          <w:rtl w:val="0"/>
        </w:rPr>
        <w:t xml:space="preserve">Author action: </w:t>
      </w:r>
      <w:r w:rsidDel="00000000" w:rsidR="00000000" w:rsidRPr="00000000">
        <w:rPr>
          <w:rFonts w:ascii="Calibri" w:cs="Calibri" w:eastAsia="Calibri" w:hAnsi="Calibri"/>
          <w:sz w:val="22"/>
          <w:szCs w:val="22"/>
          <w:vertAlign w:val="baseline"/>
          <w:rtl w:val="0"/>
        </w:rPr>
        <w:t xml:space="preserve">We updated the manuscript by ….</w:t>
      </w:r>
      <w:r w:rsidDel="00000000" w:rsidR="00000000" w:rsidRPr="00000000">
        <w:rPr>
          <w:rtl w:val="0"/>
        </w:rPr>
      </w:r>
    </w:p>
    <w:p w:rsidR="00000000" w:rsidDel="00000000" w:rsidP="00000000" w:rsidRDefault="00000000" w:rsidRPr="00000000" w14:paraId="0000008A">
      <w:pPr>
        <w:jc w:val="both"/>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8B">
      <w:pPr>
        <w:jc w:val="both"/>
        <w:rPr>
          <w:rFonts w:ascii="Calibri" w:cs="Calibri" w:eastAsia="Calibri" w:hAnsi="Calibri"/>
          <w:b w:val="0"/>
          <w:color w:val="008000"/>
          <w:sz w:val="22"/>
          <w:szCs w:val="22"/>
          <w:vertAlign w:val="baseline"/>
        </w:rPr>
      </w:pPr>
      <w:r w:rsidDel="00000000" w:rsidR="00000000" w:rsidRPr="00000000">
        <w:rPr>
          <w:rtl w:val="0"/>
        </w:rPr>
      </w:r>
    </w:p>
    <w:p w:rsidR="00000000" w:rsidDel="00000000" w:rsidP="00000000" w:rsidRDefault="00000000" w:rsidRPr="00000000" w14:paraId="0000008C">
      <w:pPr>
        <w:jc w:val="both"/>
        <w:rPr>
          <w:rFonts w:ascii="Calibri" w:cs="Calibri" w:eastAsia="Calibri" w:hAnsi="Calibri"/>
          <w:i w:val="0"/>
          <w:sz w:val="22"/>
          <w:szCs w:val="22"/>
          <w:vertAlign w:val="baseline"/>
        </w:rPr>
      </w:pPr>
      <w:r w:rsidDel="00000000" w:rsidR="00000000" w:rsidRPr="00000000">
        <w:rPr>
          <w:rFonts w:ascii="Calibri" w:cs="Calibri" w:eastAsia="Calibri" w:hAnsi="Calibri"/>
          <w:b w:val="1"/>
          <w:i w:val="1"/>
          <w:sz w:val="22"/>
          <w:szCs w:val="22"/>
          <w:vertAlign w:val="baseline"/>
          <w:rtl w:val="0"/>
        </w:rPr>
        <w:t xml:space="preserve">Note:</w:t>
      </w:r>
      <w:r w:rsidDel="00000000" w:rsidR="00000000" w:rsidRPr="00000000">
        <w:rPr>
          <w:rFonts w:ascii="Calibri" w:cs="Calibri" w:eastAsia="Calibri" w:hAnsi="Calibri"/>
          <w:i w:val="1"/>
          <w:sz w:val="22"/>
          <w:szCs w:val="22"/>
          <w:vertAlign w:val="baseline"/>
          <w:rtl w:val="0"/>
        </w:rPr>
        <w:t xml:space="preserve"> References suggested by reviewers should only be added if it is relevant to the article and makes it more complete. Excessive cases of recommending non-relevant articles should be reported to ieeeaccesseic@ieee.org</w:t>
      </w:r>
      <w:r w:rsidDel="00000000" w:rsidR="00000000" w:rsidRPr="00000000">
        <w:rPr>
          <w:rtl w:val="0"/>
        </w:rPr>
      </w:r>
    </w:p>
    <w:sectPr>
      <w:pgSz w:h="16840" w:w="11900"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20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alloonText">
    <w:name w:val="Balloon Text"/>
    <w:basedOn w:val="Normal"/>
    <w:next w:val="BalloonText"/>
    <w:autoRedefine w:val="0"/>
    <w:hidden w:val="0"/>
    <w:qFormat w:val="1"/>
    <w:pPr>
      <w:suppressAutoHyphens w:val="1"/>
      <w:spacing w:after="0"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bidi="ar-S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Hq8fotH7s7Z9GnwDP2o/7On0QA==">AMUW2mUzXMK2pPzhxI5/kg+yE8oKzxHb6+yXgzqYrGT3qbR7mDfIvOteHdi282f3DVTpGmmBgbHLcFNT3W/1emPFQkDH3JrjbOeKklz5GwAXqsBB4bhYLe8=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2019-01-28T19:59:00Z</dcterms:created>
  <dc:creator>derek abbott</dc:creator>
</cp:coreProperties>
</file>