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Original Manuscript ID:</w:t>
      </w:r>
      <w:r w:rsidDel="00000000" w:rsidR="00000000" w:rsidRPr="00000000">
        <w:rPr>
          <w:rFonts w:ascii="Calibri" w:cs="Calibri" w:eastAsia="Calibri" w:hAnsi="Calibri"/>
          <w:sz w:val="22"/>
          <w:szCs w:val="22"/>
          <w:vertAlign w:val="baseline"/>
          <w:rtl w:val="0"/>
        </w:rPr>
        <w:t xml:space="preserve"> Access-</w:t>
      </w:r>
      <w:r w:rsidDel="00000000" w:rsidR="00000000" w:rsidRPr="00000000">
        <w:rPr>
          <w:rFonts w:ascii="Calibri" w:cs="Calibri" w:eastAsia="Calibri" w:hAnsi="Calibri"/>
          <w:sz w:val="22"/>
          <w:szCs w:val="22"/>
          <w:rtl w:val="0"/>
        </w:rPr>
        <w:t xml:space="preserve">2021-01435</w:t>
      </w:r>
      <w:r w:rsidDel="00000000" w:rsidR="00000000" w:rsidRPr="00000000">
        <w:rPr>
          <w:rFonts w:ascii="Calibri" w:cs="Calibri" w:eastAsia="Calibri" w:hAnsi="Calibri"/>
          <w:sz w:val="22"/>
          <w:szCs w:val="22"/>
          <w:vertAlign w:val="baseline"/>
          <w:rtl w:val="0"/>
        </w:rPr>
        <w:tab/>
      </w:r>
      <w:r w:rsidDel="00000000" w:rsidR="00000000" w:rsidRPr="00000000">
        <w:rPr>
          <w:rtl w:val="0"/>
        </w:rPr>
      </w:r>
    </w:p>
    <w:p w:rsidR="00000000" w:rsidDel="00000000" w:rsidP="00000000" w:rsidRDefault="00000000" w:rsidRPr="00000000" w14:paraId="00000002">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Original Article Title: “</w:t>
      </w:r>
      <w:r w:rsidDel="00000000" w:rsidR="00000000" w:rsidRPr="00000000">
        <w:rPr>
          <w:rFonts w:ascii="Calibri" w:cs="Calibri" w:eastAsia="Calibri" w:hAnsi="Calibri"/>
          <w:sz w:val="22"/>
          <w:szCs w:val="22"/>
          <w:vertAlign w:val="baseline"/>
          <w:rtl w:val="0"/>
        </w:rPr>
        <w:t xml:space="preserve"> Accelerating Spike-by-Spike Neural Networks on FPGA with Hybrid Custom Floating-Point and Logarithmic Dot-Product Approximation”</w:t>
      </w:r>
    </w:p>
    <w:p w:rsidR="00000000" w:rsidDel="00000000" w:rsidP="00000000" w:rsidRDefault="00000000" w:rsidRPr="00000000" w14:paraId="00000003">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To:</w:t>
      </w:r>
      <w:r w:rsidDel="00000000" w:rsidR="00000000" w:rsidRPr="00000000">
        <w:rPr>
          <w:rFonts w:ascii="Calibri" w:cs="Calibri" w:eastAsia="Calibri" w:hAnsi="Calibri"/>
          <w:sz w:val="22"/>
          <w:szCs w:val="22"/>
          <w:vertAlign w:val="baseline"/>
          <w:rtl w:val="0"/>
        </w:rPr>
        <w:t xml:space="preserve"> IEEE Access Editor</w:t>
      </w:r>
    </w:p>
    <w:p w:rsidR="00000000" w:rsidDel="00000000" w:rsidP="00000000" w:rsidRDefault="00000000" w:rsidRPr="00000000" w14:paraId="00000005">
      <w:pPr>
        <w:jc w:val="both"/>
        <w:rPr>
          <w:rFonts w:ascii="Calibri" w:cs="Calibri" w:eastAsia="Calibri" w:hAnsi="Calibri"/>
          <w:i w:val="0"/>
          <w:sz w:val="22"/>
          <w:szCs w:val="22"/>
          <w:vertAlign w:val="baseline"/>
        </w:rPr>
      </w:pPr>
      <w:r w:rsidDel="00000000" w:rsidR="00000000" w:rsidRPr="00000000">
        <w:rPr>
          <w:rFonts w:ascii="Calibri" w:cs="Calibri" w:eastAsia="Calibri" w:hAnsi="Calibri"/>
          <w:b w:val="1"/>
          <w:sz w:val="22"/>
          <w:szCs w:val="22"/>
          <w:vertAlign w:val="baseline"/>
          <w:rtl w:val="0"/>
        </w:rPr>
        <w:t xml:space="preserve">Re:</w:t>
      </w:r>
      <w:r w:rsidDel="00000000" w:rsidR="00000000" w:rsidRPr="00000000">
        <w:rPr>
          <w:rFonts w:ascii="Calibri" w:cs="Calibri" w:eastAsia="Calibri" w:hAnsi="Calibri"/>
          <w:sz w:val="22"/>
          <w:szCs w:val="22"/>
          <w:vertAlign w:val="baseline"/>
          <w:rtl w:val="0"/>
        </w:rPr>
        <w:t xml:space="preserve"> Response to reviewers</w:t>
      </w:r>
      <w:r w:rsidDel="00000000" w:rsidR="00000000" w:rsidRPr="00000000">
        <w:rPr>
          <w:rtl w:val="0"/>
        </w:rPr>
      </w:r>
    </w:p>
    <w:p w:rsidR="00000000" w:rsidDel="00000000" w:rsidP="00000000" w:rsidRDefault="00000000" w:rsidRPr="00000000" w14:paraId="00000006">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8">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Dear Editor,</w:t>
      </w:r>
    </w:p>
    <w:p w:rsidR="00000000" w:rsidDel="00000000" w:rsidP="00000000" w:rsidRDefault="00000000" w:rsidRPr="00000000" w14:paraId="0000000A">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Thank you for allowing a resubmission of our manuscript, with an opportunity to address the reviewers’ comments.</w:t>
      </w:r>
    </w:p>
    <w:p w:rsidR="00000000" w:rsidDel="00000000" w:rsidP="00000000" w:rsidRDefault="00000000" w:rsidRPr="00000000" w14:paraId="0000000C">
      <w:pPr>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We are uploading (a) our point-by-point response to the comments (below) (response to reviewers), (b) an updated manuscript with yellow highlighting indicating changes, and (c) a clean updated manuscript without highlights (PDF main document).</w:t>
      </w:r>
    </w:p>
    <w:p w:rsidR="00000000" w:rsidDel="00000000" w:rsidP="00000000" w:rsidRDefault="00000000" w:rsidRPr="00000000" w14:paraId="0000000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Best regards,</w:t>
      </w:r>
    </w:p>
    <w:p w:rsidR="00000000" w:rsidDel="00000000" w:rsidP="00000000" w:rsidRDefault="00000000" w:rsidRPr="00000000" w14:paraId="00000010">
      <w:pPr>
        <w:spacing w:after="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rtl w:val="0"/>
        </w:rPr>
        <w:t xml:space="preserve">Yarib Nevarez</w:t>
      </w:r>
      <w:r w:rsidDel="00000000" w:rsidR="00000000" w:rsidRPr="00000000">
        <w:rPr>
          <w:rFonts w:ascii="Calibri" w:cs="Calibri" w:eastAsia="Calibri" w:hAnsi="Calibri"/>
          <w:sz w:val="22"/>
          <w:szCs w:val="22"/>
          <w:vertAlign w:val="baseline"/>
          <w:rtl w:val="0"/>
        </w:rPr>
        <w:t xml:space="preserve"> et al.</w:t>
      </w:r>
    </w:p>
    <w:p w:rsidR="00000000" w:rsidDel="00000000" w:rsidP="00000000" w:rsidRDefault="00000000" w:rsidRPr="00000000" w14:paraId="00000011">
      <w:pPr>
        <w:spacing w:after="0" w:lineRule="auto"/>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7">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D">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color w:val="008000"/>
          <w:sz w:val="22"/>
          <w:szCs w:val="22"/>
        </w:rPr>
      </w:pPr>
      <w:r w:rsidDel="00000000" w:rsidR="00000000" w:rsidRPr="00000000">
        <w:br w:type="page"/>
      </w:r>
      <w:r w:rsidDel="00000000" w:rsidR="00000000" w:rsidRPr="00000000">
        <w:rPr>
          <w:rFonts w:ascii="Calibri" w:cs="Calibri" w:eastAsia="Calibri" w:hAnsi="Calibri"/>
          <w:b w:val="1"/>
          <w:color w:val="008000"/>
          <w:sz w:val="22"/>
          <w:szCs w:val="22"/>
          <w:vertAlign w:val="baseline"/>
          <w:rtl w:val="0"/>
        </w:rPr>
        <w:t xml:space="preserve">Reviewer#1, Concern # 1:</w:t>
      </w: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 / Paragraph 2: It mentions that “Among the family of SNNs, the SbS neural network is remarkable.” Here, several things are not clear.</w:t>
      </w:r>
    </w:p>
    <w:p w:rsidR="00000000" w:rsidDel="00000000" w:rsidP="00000000" w:rsidRDefault="00000000" w:rsidRPr="00000000" w14:paraId="0000002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Why is the SbS network remarkable?</w:t>
      </w:r>
    </w:p>
    <w:p w:rsidR="00000000" w:rsidDel="00000000" w:rsidP="00000000" w:rsidRDefault="00000000" w:rsidRPr="00000000" w14:paraId="0000002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What does the family of SNNs refer to and how does one family differ from each other?</w:t>
      </w:r>
    </w:p>
    <w:p w:rsidR="00000000" w:rsidDel="00000000" w:rsidP="00000000" w:rsidRDefault="00000000" w:rsidRPr="00000000" w14:paraId="0000002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motivation why studying and accelerating the SbS network are not clear.</w:t>
      </w:r>
    </w:p>
    <w:p w:rsidR="00000000" w:rsidDel="00000000" w:rsidP="00000000" w:rsidRDefault="00000000" w:rsidRPr="00000000" w14:paraId="00000024">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25">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26">
      <w:pPr>
        <w:jc w:val="both"/>
        <w:rPr>
          <w:rFonts w:ascii="Calibri" w:cs="Calibri" w:eastAsia="Calibri" w:hAnsi="Calibri"/>
          <w:b w:val="0"/>
          <w:color w:val="000090"/>
          <w:sz w:val="22"/>
          <w:szCs w:val="22"/>
          <w:vertAlign w:val="baseline"/>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Reviewer#1, Concern # 2:</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2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 / Paragraph 2: It mentions that “These properties place the SbS network in between non-spiking NN and stochastically spiking NN, offering advantages from both structures.” It is not clear how the SbS network can offer advantages from both structures.</w:t>
      </w:r>
    </w:p>
    <w:p w:rsidR="00000000" w:rsidDel="00000000" w:rsidP="00000000" w:rsidRDefault="00000000" w:rsidRPr="00000000" w14:paraId="0000002A">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2B">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2C">
      <w:pPr>
        <w:jc w:val="both"/>
        <w:rPr>
          <w:rFonts w:ascii="Calibri" w:cs="Calibri" w:eastAsia="Calibri" w:hAnsi="Calibri"/>
          <w:b w:val="0"/>
          <w:color w:val="000090"/>
          <w:sz w:val="22"/>
          <w:szCs w:val="22"/>
          <w:vertAlign w:val="baseline"/>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Reviewer#1, Concern # 3:</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2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 / Paragraph 3: It mentions that “deep SbS networks are high compute and data intensive, …” It is suggested to provide the supporting data.</w:t>
      </w:r>
    </w:p>
    <w:p w:rsidR="00000000" w:rsidDel="00000000" w:rsidP="00000000" w:rsidRDefault="00000000" w:rsidRPr="00000000" w14:paraId="00000030">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31">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32">
      <w:pPr>
        <w:jc w:val="both"/>
        <w:rPr>
          <w:rFonts w:ascii="Calibri" w:cs="Calibri" w:eastAsia="Calibri" w:hAnsi="Calibri"/>
          <w:color w:val="000090"/>
          <w:sz w:val="22"/>
          <w:szCs w:val="22"/>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color w:val="000090"/>
          <w:sz w:val="22"/>
          <w:szCs w:val="22"/>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4:</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3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III-A: The explanation of SbS fundamental directly focuses on its computational aspects, without discussing the basic network overview, such as the network architecture/topology, synaptic connections, spike/information coding, etc. Therefore, this makes the following discussion difficult to follow.</w:t>
      </w:r>
    </w:p>
    <w:p w:rsidR="00000000" w:rsidDel="00000000" w:rsidP="00000000" w:rsidRDefault="00000000" w:rsidRPr="00000000" w14:paraId="00000036">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7">
      <w:pPr>
        <w:jc w:val="both"/>
        <w:rPr>
          <w:rFonts w:ascii="Calibri" w:cs="Calibri" w:eastAsia="Calibri" w:hAnsi="Calibri"/>
          <w:color w:val="000090"/>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w:t>
      </w:r>
      <w:r w:rsidDel="00000000" w:rsidR="00000000" w:rsidRPr="00000000">
        <w:rPr>
          <w:rtl w:val="0"/>
        </w:rPr>
      </w:r>
    </w:p>
    <w:p w:rsidR="00000000" w:rsidDel="00000000" w:rsidP="00000000" w:rsidRDefault="00000000" w:rsidRPr="00000000" w14:paraId="00000038">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5:</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3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III-A / Paragraph 4:</w:t>
      </w:r>
    </w:p>
    <w:p w:rsidR="00000000" w:rsidDel="00000000" w:rsidP="00000000" w:rsidRDefault="00000000" w:rsidRPr="00000000" w14:paraId="0000003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What does the “tensor flow network” mean?   </w:t>
      </w:r>
    </w:p>
    <w:p w:rsidR="00000000" w:rsidDel="00000000" w:rsidP="00000000" w:rsidRDefault="00000000" w:rsidRPr="00000000" w14:paraId="0000003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What is the type of noise used for the observation in Fig. 2?</w:t>
      </w:r>
    </w:p>
    <w:p w:rsidR="00000000" w:rsidDel="00000000" w:rsidP="00000000" w:rsidRDefault="00000000" w:rsidRPr="00000000" w14:paraId="0000003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 is not clear the context of the number of spikes that is discussed in this paragraph.</w:t>
      </w:r>
    </w:p>
    <w:p w:rsidR="00000000" w:rsidDel="00000000" w:rsidP="00000000" w:rsidRDefault="00000000" w:rsidRPr="00000000" w14:paraId="0000003F">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0">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w:t>
      </w:r>
    </w:p>
    <w:p w:rsidR="00000000" w:rsidDel="00000000" w:rsidP="00000000" w:rsidRDefault="00000000" w:rsidRPr="00000000" w14:paraId="00000041">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6:</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4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IV-A:</w:t>
      </w:r>
    </w:p>
    <w:p w:rsidR="00000000" w:rsidDel="00000000" w:rsidP="00000000" w:rsidRDefault="00000000" w:rsidRPr="00000000" w14:paraId="00000045">
      <w:pPr>
        <w:numPr>
          <w:ilvl w:val="0"/>
          <w:numId w:val="2"/>
        </w:numPr>
        <w:spacing w:after="0" w:afterAutospacing="0"/>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It mentions that the system design from reference [46] is revisited. What are the differences between the proposed architecture in manuscript with the design from [46]? It is suggested to clarify the novelty.</w:t>
      </w:r>
    </w:p>
    <w:p w:rsidR="00000000" w:rsidDel="00000000" w:rsidP="00000000" w:rsidRDefault="00000000" w:rsidRPr="00000000" w14:paraId="00000046">
      <w:pPr>
        <w:numPr>
          <w:ilvl w:val="0"/>
          <w:numId w:val="2"/>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It mentions that “The hardware architecture can resize its resource utilization by changing the number of PUs instances, ...” Does it mean the proposed system supports the reconfiguration at run-time? If so, it is suggested to explain how the reconfiguration is performed.</w:t>
      </w:r>
    </w:p>
    <w:p w:rsidR="00000000" w:rsidDel="00000000" w:rsidP="00000000" w:rsidRDefault="00000000" w:rsidRPr="00000000" w14:paraId="00000047">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8">
      <w:pPr>
        <w:numPr>
          <w:ilvl w:val="0"/>
          <w:numId w:val="3"/>
        </w:numPr>
        <w:spacing w:after="0" w:afterAutospacing="0"/>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As architectural novelty, our proposed approach in this publication is based on specialized heterogeneous processing units with approximate computing. In contrast, our previous work [46] is based on generic homogeneous accelerator units with standard floating-point, which represents elevated memory and computational costs.</w:t>
      </w:r>
    </w:p>
    <w:p w:rsidR="00000000" w:rsidDel="00000000" w:rsidP="00000000" w:rsidRDefault="00000000" w:rsidRPr="00000000" w14:paraId="00000049">
      <w:pPr>
        <w:numPr>
          <w:ilvl w:val="0"/>
          <w:numId w:val="3"/>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proposed system does not support the reconfiguration at run-time. The hardware architecture resizes its resource utilization by changing the number of PUs instances prior to the hardware synthesis.</w:t>
      </w:r>
    </w:p>
    <w:p w:rsidR="00000000" w:rsidDel="00000000" w:rsidP="00000000" w:rsidRDefault="00000000" w:rsidRPr="00000000" w14:paraId="0000004A">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Author action:</w:t>
      </w:r>
    </w:p>
    <w:p w:rsidR="00000000" w:rsidDel="00000000" w:rsidP="00000000" w:rsidRDefault="00000000" w:rsidRPr="00000000" w14:paraId="0000004B">
      <w:pPr>
        <w:numPr>
          <w:ilvl w:val="0"/>
          <w:numId w:val="4"/>
        </w:numPr>
        <w:spacing w:after="0" w:afterAutospacing="0"/>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updated the manuscript by clarifying this point in the first two paragraphs in Section IV.</w:t>
      </w:r>
    </w:p>
    <w:p w:rsidR="00000000" w:rsidDel="00000000" w:rsidP="00000000" w:rsidRDefault="00000000" w:rsidRPr="00000000" w14:paraId="0000004C">
      <w:pPr>
        <w:numPr>
          <w:ilvl w:val="0"/>
          <w:numId w:val="4"/>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 addition, we added a platform comparison table. This table compares our previous publication in Ref. [46] and the resulting platforms from the design exploration on this publication. This table contains resource utilization, power dissipation, latency, and accuracy. This table is included at the end of Section V-C (results and discussion).</w:t>
      </w:r>
    </w:p>
    <w:p w:rsidR="00000000" w:rsidDel="00000000" w:rsidP="00000000" w:rsidRDefault="00000000" w:rsidRPr="00000000" w14:paraId="0000004D">
      <w:pPr>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829831" cy="2775585"/>
            <wp:effectExtent b="25400" l="25400" r="25400" t="25400"/>
            <wp:docPr id="6" name="image2.png"/>
            <a:graphic>
              <a:graphicData uri="http://schemas.openxmlformats.org/drawingml/2006/picture">
                <pic:pic>
                  <pic:nvPicPr>
                    <pic:cNvPr id="0" name="image2.png"/>
                    <pic:cNvPicPr preferRelativeResize="0"/>
                  </pic:nvPicPr>
                  <pic:blipFill>
                    <a:blip r:embed="rId7"/>
                    <a:srcRect b="0" l="26448" r="19116" t="5997"/>
                    <a:stretch>
                      <a:fillRect/>
                    </a:stretch>
                  </pic:blipFill>
                  <pic:spPr>
                    <a:xfrm>
                      <a:off x="0" y="0"/>
                      <a:ext cx="2829831" cy="27755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2"/>
          <w:szCs w:val="22"/>
        </w:rPr>
      </w:pPr>
      <w:r w:rsidDel="00000000" w:rsidR="00000000" w:rsidRPr="00000000">
        <w:rPr>
          <w:rFonts w:ascii="Arial" w:cs="Arial" w:eastAsia="Arial" w:hAnsi="Arial"/>
          <w:color w:val="222222"/>
          <w:sz w:val="20"/>
          <w:szCs w:val="20"/>
          <w:highlight w:val="white"/>
        </w:rPr>
        <w:drawing>
          <wp:inline distB="114300" distT="114300" distL="114300" distR="114300">
            <wp:extent cx="3581400" cy="2548890"/>
            <wp:effectExtent b="25400" l="25400" r="25400" t="25400"/>
            <wp:docPr id="4" name="image7.png"/>
            <a:graphic>
              <a:graphicData uri="http://schemas.openxmlformats.org/drawingml/2006/picture">
                <pic:pic>
                  <pic:nvPicPr>
                    <pic:cNvPr id="0" name="image7.png"/>
                    <pic:cNvPicPr preferRelativeResize="0"/>
                  </pic:nvPicPr>
                  <pic:blipFill>
                    <a:blip r:embed="rId8"/>
                    <a:srcRect b="16581" l="30077" r="11487" t="10080"/>
                    <a:stretch>
                      <a:fillRect/>
                    </a:stretch>
                  </pic:blipFill>
                  <pic:spPr>
                    <a:xfrm>
                      <a:off x="0" y="0"/>
                      <a:ext cx="3581400" cy="25488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4"/>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updated the manuscript by clarifying that the hardware architecture resizes its resource utilization by changing the number of PUs instances prior to the hardware synthesis. This is done in section IV-A, second paragraph.</w:t>
      </w:r>
    </w:p>
    <w:tbl>
      <w:tblPr>
        <w:tblStyle w:val="Table1"/>
        <w:tblW w:w="891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2"/>
        <w:tblGridChange w:id="0">
          <w:tblGrid>
            <w:gridCol w:w="89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hardware architecture can resize its resource utilization by changing the number of PUs instances </w:t>
            </w:r>
            <w:r w:rsidDel="00000000" w:rsidR="00000000" w:rsidRPr="00000000">
              <w:rPr>
                <w:rFonts w:ascii="Calibri" w:cs="Calibri" w:eastAsia="Calibri" w:hAnsi="Calibri"/>
                <w:sz w:val="22"/>
                <w:szCs w:val="22"/>
                <w:highlight w:val="yellow"/>
                <w:rtl w:val="0"/>
              </w:rPr>
              <w:t xml:space="preserve">prior to the hardware synthesis</w:t>
            </w:r>
            <w:r w:rsidDel="00000000" w:rsidR="00000000" w:rsidRPr="00000000">
              <w:rPr>
                <w:rFonts w:ascii="Calibri" w:cs="Calibri" w:eastAsia="Calibri" w:hAnsi="Calibri"/>
                <w:sz w:val="22"/>
                <w:szCs w:val="22"/>
                <w:rtl w:val="0"/>
              </w:rPr>
              <w:t xml:space="preserve">, this provides scalability with a good trade-off between area and throughput.</w:t>
            </w:r>
          </w:p>
        </w:tc>
      </w:tr>
    </w:tbl>
    <w:p w:rsidR="00000000" w:rsidDel="00000000" w:rsidP="00000000" w:rsidRDefault="00000000" w:rsidRPr="00000000" w14:paraId="00000051">
      <w:pPr>
        <w:ind w:left="72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7:</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5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IV-B: It is still not clear how the bitwidth is decided for each parameter that is considered for the computation. It should be explained when discussing the custom floating-point and logarithmic representation. Otherwise, it seems like a pre-selected bitwidth without justification. For example, the partial discussion in the Section V-B.1 and Section V-B.2 can be used here, but should be supported with justification.</w:t>
      </w:r>
    </w:p>
    <w:p w:rsidR="00000000" w:rsidDel="00000000" w:rsidP="00000000" w:rsidRDefault="00000000" w:rsidRPr="00000000" w14:paraId="00000056">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use either hybrid custom floating-point or logarithmic number representation on the synaptic weight matrix. We keep everything else with standard floating-point number representation.</w:t>
      </w:r>
    </w:p>
    <w:p w:rsidR="00000000" w:rsidDel="00000000" w:rsidP="00000000" w:rsidRDefault="00000000" w:rsidRPr="00000000" w14:paraId="0000005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Both the custom floating-point and logarithmic number representation have the same exponent bit width extracted from its floating-point representation. The mantissa bit width is a knob parameter to trade off resource utilization and  quality-of-result. A null mantissa bit-width results in the logarithmic number representation.</w:t>
      </w:r>
    </w:p>
    <w:p w:rsidR="00000000" w:rsidDel="00000000" w:rsidP="00000000" w:rsidRDefault="00000000" w:rsidRPr="00000000" w14:paraId="0000005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Since the synaptic weight matrix is composed of entries with normalized values, we have exponents ranging from negative values to zero.</w:t>
      </w:r>
    </w:p>
    <w:p w:rsidR="00000000" w:rsidDel="00000000" w:rsidP="00000000" w:rsidRDefault="00000000" w:rsidRPr="00000000" w14:paraId="0000005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Therefore, for each synaptic weight matrix, we look for the smallest value, which corresponds to the largest negative exponent in the values of the matrix. Therefore, the bit width of the exponent is determined according to this value. Also, to further reduce the bit width, since all exponents are negative numbers, the sign bit is ignored (set/handled as negative in hardware).</w:t>
      </w:r>
    </w:p>
    <w:p w:rsidR="00000000" w:rsidDel="00000000" w:rsidP="00000000" w:rsidRDefault="00000000" w:rsidRPr="00000000" w14:paraId="0000005B">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describing the method to determine the required bit width in Section IV-C, where we placed the formulas with their discussion and an illustrative figure. In Section IV-B, we added a reference to Section IV-C.</w:t>
      </w:r>
    </w:p>
    <w:p w:rsidR="00000000" w:rsidDel="00000000" w:rsidP="00000000" w:rsidRDefault="00000000" w:rsidRPr="00000000" w14:paraId="0000005C">
      <w:pPr>
        <w:jc w:val="center"/>
        <w:rPr>
          <w:rFonts w:ascii="Calibri" w:cs="Calibri" w:eastAsia="Calibri" w:hAnsi="Calibri"/>
          <w:b w:val="1"/>
          <w:color w:val="008000"/>
          <w:sz w:val="22"/>
          <w:szCs w:val="22"/>
        </w:rPr>
      </w:pPr>
      <w:r w:rsidDel="00000000" w:rsidR="00000000" w:rsidRPr="00000000">
        <w:rPr>
          <w:rFonts w:ascii="Calibri" w:cs="Calibri" w:eastAsia="Calibri" w:hAnsi="Calibri"/>
          <w:b w:val="1"/>
          <w:color w:val="008000"/>
          <w:sz w:val="22"/>
          <w:szCs w:val="22"/>
        </w:rPr>
        <w:drawing>
          <wp:inline distB="114300" distT="114300" distL="114300" distR="114300">
            <wp:extent cx="3403335" cy="2131060"/>
            <wp:effectExtent b="25400" l="25400" r="25400" t="25400"/>
            <wp:docPr id="1" name="image8.png"/>
            <a:graphic>
              <a:graphicData uri="http://schemas.openxmlformats.org/drawingml/2006/picture">
                <pic:pic>
                  <pic:nvPicPr>
                    <pic:cNvPr id="0" name="image8.png"/>
                    <pic:cNvPicPr preferRelativeResize="0"/>
                  </pic:nvPicPr>
                  <pic:blipFill>
                    <a:blip r:embed="rId9"/>
                    <a:srcRect b="3995" l="12141" r="4706" t="4219"/>
                    <a:stretch>
                      <a:fillRect/>
                    </a:stretch>
                  </pic:blipFill>
                  <pic:spPr>
                    <a:xfrm>
                      <a:off x="0" y="0"/>
                      <a:ext cx="3403335" cy="21310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Calibri" w:cs="Calibri" w:eastAsia="Calibri" w:hAnsi="Calibri"/>
          <w:b w:val="1"/>
          <w:color w:val="008000"/>
          <w:sz w:val="22"/>
          <w:szCs w:val="22"/>
        </w:rPr>
      </w:pPr>
      <w:r w:rsidDel="00000000" w:rsidR="00000000" w:rsidRPr="00000000">
        <w:rPr>
          <w:rFonts w:ascii="Calibri" w:cs="Calibri" w:eastAsia="Calibri" w:hAnsi="Calibri"/>
          <w:b w:val="1"/>
          <w:color w:val="008000"/>
          <w:sz w:val="22"/>
          <w:szCs w:val="22"/>
        </w:rPr>
        <w:drawing>
          <wp:inline distB="114300" distT="114300" distL="114300" distR="114300">
            <wp:extent cx="4841509" cy="1997710"/>
            <wp:effectExtent b="25400" l="25400" r="25400" t="25400"/>
            <wp:docPr id="9" name="image3.png"/>
            <a:graphic>
              <a:graphicData uri="http://schemas.openxmlformats.org/drawingml/2006/picture">
                <pic:pic>
                  <pic:nvPicPr>
                    <pic:cNvPr id="0" name="image3.png"/>
                    <pic:cNvPicPr preferRelativeResize="0"/>
                  </pic:nvPicPr>
                  <pic:blipFill>
                    <a:blip r:embed="rId10"/>
                    <a:srcRect b="3447" l="30285" r="12947" t="55381"/>
                    <a:stretch>
                      <a:fillRect/>
                    </a:stretch>
                  </pic:blipFill>
                  <pic:spPr>
                    <a:xfrm>
                      <a:off x="0" y="0"/>
                      <a:ext cx="4841509" cy="19977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8:</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6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V-A.2: What are the reasons of computing CONV layers (H2_POOL and H3_CONV) on processing units (PUs), and computing HY_OUT on CPU. Isn’t it faster computing them all on the PUs?</w:t>
      </w:r>
    </w:p>
    <w:p w:rsidR="00000000" w:rsidDel="00000000" w:rsidP="00000000" w:rsidRDefault="00000000" w:rsidRPr="00000000" w14:paraId="00000061">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Computing on hardware PUs is faster than on CPU. However, HY_OUT is made up of a small vector of 10 neurons, which we decided to process on the CPU based on its processing latency of 4 microseconds. This latency is negligible compared to the overall performance assessment, accelerating HY_OUT would yield a negligible gain. Furthermore, assigning a dedicated hardware PU to HY_OUT would add data transfer and hardware interruption handling overheads, which makes this unprofitable.</w:t>
      </w:r>
    </w:p>
    <w:p w:rsidR="00000000" w:rsidDel="00000000" w:rsidP="00000000" w:rsidRDefault="00000000" w:rsidRPr="00000000" w14:paraId="00000063">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clarifying this point in Section V-A.2</w:t>
      </w:r>
    </w:p>
    <w:p w:rsidR="00000000" w:rsidDel="00000000" w:rsidP="00000000" w:rsidRDefault="00000000" w:rsidRPr="00000000" w14:paraId="00000064">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600450" cy="2922206"/>
            <wp:effectExtent b="25400" l="25400" r="25400" t="25400"/>
            <wp:docPr id="3" name="image5.png"/>
            <a:graphic>
              <a:graphicData uri="http://schemas.openxmlformats.org/drawingml/2006/picture">
                <pic:pic>
                  <pic:nvPicPr>
                    <pic:cNvPr id="0" name="image5.png"/>
                    <pic:cNvPicPr preferRelativeResize="0"/>
                  </pic:nvPicPr>
                  <pic:blipFill>
                    <a:blip r:embed="rId11"/>
                    <a:srcRect b="7443" l="30285" r="10882" t="8619"/>
                    <a:stretch>
                      <a:fillRect/>
                    </a:stretch>
                  </pic:blipFill>
                  <pic:spPr>
                    <a:xfrm>
                      <a:off x="0" y="0"/>
                      <a:ext cx="3600450" cy="29222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9:</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6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V-B.1: It says that the detailed discussion on the number format is provided in Section IV-A, but the discussion is not there. It seems to be a wrong referencing and should be corrected.</w:t>
      </w:r>
    </w:p>
    <w:p w:rsidR="00000000" w:rsidDel="00000000" w:rsidP="00000000" w:rsidRDefault="00000000" w:rsidRPr="00000000" w14:paraId="00000068">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Yes. Thanks for the observation.</w:t>
      </w:r>
    </w:p>
    <w:p w:rsidR="00000000" w:rsidDel="00000000" w:rsidP="00000000" w:rsidRDefault="00000000" w:rsidRPr="00000000" w14:paraId="00000069">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removing the content referring to Section IV-A. The paragraph containing this reference is removed as this content is now placed in Section IV-C. This content discussed the convenient properties of the synaptic weight matrix to ignore the sign bit, as well as the method for determining the bit width.</w:t>
      </w:r>
    </w:p>
    <w:p w:rsidR="00000000" w:rsidDel="00000000" w:rsidP="00000000" w:rsidRDefault="00000000" w:rsidRPr="00000000" w14:paraId="0000006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simplify the rest of the content in this section (Section V-B.1) simply by discussing the log-2 histograms of the synaptic weight matrices and using the formulas (from Section IV-C) to obtain the bit width.</w:t>
      </w:r>
    </w:p>
    <w:p w:rsidR="00000000" w:rsidDel="00000000" w:rsidP="00000000" w:rsidRDefault="00000000" w:rsidRPr="00000000" w14:paraId="0000006B">
      <w:pPr>
        <w:jc w:val="center"/>
        <w:rPr>
          <w:rFonts w:ascii="Calibri" w:cs="Calibri" w:eastAsia="Calibri" w:hAnsi="Calibri"/>
          <w:b w:val="1"/>
          <w:color w:val="008000"/>
          <w:sz w:val="22"/>
          <w:szCs w:val="22"/>
        </w:rPr>
      </w:pPr>
      <w:r w:rsidDel="00000000" w:rsidR="00000000" w:rsidRPr="00000000">
        <w:rPr>
          <w:rFonts w:ascii="Calibri" w:cs="Calibri" w:eastAsia="Calibri" w:hAnsi="Calibri"/>
          <w:b w:val="1"/>
          <w:color w:val="008000"/>
          <w:sz w:val="22"/>
          <w:szCs w:val="22"/>
        </w:rPr>
        <w:drawing>
          <wp:inline distB="114300" distT="114300" distL="114300" distR="114300">
            <wp:extent cx="3533775" cy="2847767"/>
            <wp:effectExtent b="25400" l="25400" r="25400" t="25400"/>
            <wp:docPr id="2" name="image1.png"/>
            <a:graphic>
              <a:graphicData uri="http://schemas.openxmlformats.org/drawingml/2006/picture">
                <pic:pic>
                  <pic:nvPicPr>
                    <pic:cNvPr id="0" name="image1.png"/>
                    <pic:cNvPicPr preferRelativeResize="0"/>
                  </pic:nvPicPr>
                  <pic:blipFill>
                    <a:blip r:embed="rId12"/>
                    <a:srcRect b="5480" l="30181" r="12170" t="12688"/>
                    <a:stretch>
                      <a:fillRect/>
                    </a:stretch>
                  </pic:blipFill>
                  <pic:spPr>
                    <a:xfrm>
                      <a:off x="0" y="0"/>
                      <a:ext cx="3533775" cy="28477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10:</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6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V-C: Table 8 shows that the proposed architectures (hybrid custom floating-point and hybrid logarithmic) consume larger LUT and FF resources. What are the reasons? It is also suggested to provide a breakdown of the power consumption for compute and memory units.</w:t>
      </w:r>
    </w:p>
    <w:p w:rsidR="00000000" w:rsidDel="00000000" w:rsidP="00000000" w:rsidRDefault="00000000" w:rsidRPr="00000000" w14:paraId="0000006E">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dot-product with standard floating-point arithmetic (IEEE 754) reuses floating-point operator cores (LogiCORE IPs) already implemented in other computational sections of the hardware kernel (Conv and FC). However, the proposed architecture does not reuse the already instantiated LogiCORE IPs. Instead, the logic required for the hybrid custom floating-point and logarithmic approximation must be implemented.</w:t>
      </w:r>
    </w:p>
    <w:p w:rsidR="00000000" w:rsidDel="00000000" w:rsidP="00000000" w:rsidRDefault="00000000" w:rsidRPr="00000000" w14:paraId="0000007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using standard floating-point (IEEE 754), the HLS tool implements floating-point operator cores  (LogiCORE IPs) to perform floating-point arithmetic operations. These operator cores are implemented trading logic (LUT) resources for DSP usage according to the given implementation directives. These core instances can be reused over the entire hardware kernel. Our dot-product with standard floating-point computation utilizes one multiplier and one adder arithmetic core. These cores are reused from other computational blocks.</w:t>
      </w:r>
    </w:p>
    <w:p w:rsidR="00000000" w:rsidDel="00000000" w:rsidP="00000000" w:rsidRDefault="00000000" w:rsidRPr="00000000" w14:paraId="00000071">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Author action:</w:t>
      </w:r>
    </w:p>
    <w:p w:rsidR="00000000" w:rsidDel="00000000" w:rsidP="00000000" w:rsidRDefault="00000000" w:rsidRPr="00000000" w14:paraId="00000072">
      <w:pPr>
        <w:numPr>
          <w:ilvl w:val="0"/>
          <w:numId w:val="1"/>
        </w:numPr>
        <w:ind w:left="720" w:hanging="360"/>
        <w:jc w:val="both"/>
        <w:rPr>
          <w:u w:val="none"/>
        </w:rPr>
      </w:pPr>
      <w:r w:rsidDel="00000000" w:rsidR="00000000" w:rsidRPr="00000000">
        <w:rPr>
          <w:rFonts w:ascii="Calibri" w:cs="Calibri" w:eastAsia="Calibri" w:hAnsi="Calibri"/>
          <w:sz w:val="22"/>
          <w:szCs w:val="22"/>
          <w:rtl w:val="0"/>
        </w:rPr>
        <w:t xml:space="preserve">We updated the manuscript by adding the discussion regarding the floating-point operator cores used in the PUs. We add a table showing the resource utilization and power dissipation of the multiplier and adder floating-point cores (provided by the analysis resource viewer of Vivado HLS). We complement our discussion seccion with this topic. We support our statements with a Xilinx application note (</w:t>
      </w:r>
      <w:r w:rsidDel="00000000" w:rsidR="00000000" w:rsidRPr="00000000">
        <w:rPr>
          <w:rFonts w:ascii="Arial" w:cs="Arial" w:eastAsia="Arial" w:hAnsi="Arial"/>
          <w:color w:val="222222"/>
          <w:sz w:val="20"/>
          <w:szCs w:val="20"/>
          <w:highlight w:val="white"/>
          <w:rtl w:val="0"/>
        </w:rPr>
        <w:t xml:space="preserve">Hrica, J., 2012. Floating-point design with vivado HLS. </w:t>
      </w:r>
      <w:r w:rsidDel="00000000" w:rsidR="00000000" w:rsidRPr="00000000">
        <w:rPr>
          <w:rFonts w:ascii="Arial" w:cs="Arial" w:eastAsia="Arial" w:hAnsi="Arial"/>
          <w:i w:val="1"/>
          <w:color w:val="222222"/>
          <w:sz w:val="20"/>
          <w:szCs w:val="20"/>
          <w:highlight w:val="white"/>
          <w:rtl w:val="0"/>
        </w:rPr>
        <w:t xml:space="preserve">Xilinx Application Note</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073">
      <w:pPr>
        <w:jc w:val="cente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Pr>
        <w:drawing>
          <wp:inline distB="114300" distT="114300" distL="114300" distR="114300">
            <wp:extent cx="3486150" cy="2950210"/>
            <wp:effectExtent b="25400" l="25400" r="25400" t="25400"/>
            <wp:docPr id="7" name="image4.png"/>
            <a:graphic>
              <a:graphicData uri="http://schemas.openxmlformats.org/drawingml/2006/picture">
                <pic:pic>
                  <pic:nvPicPr>
                    <pic:cNvPr id="0" name="image4.png"/>
                    <pic:cNvPicPr preferRelativeResize="0"/>
                  </pic:nvPicPr>
                  <pic:blipFill>
                    <a:blip r:embed="rId13"/>
                    <a:srcRect b="6366" l="30803" r="12273" t="8876"/>
                    <a:stretch>
                      <a:fillRect/>
                    </a:stretch>
                  </pic:blipFill>
                  <pic:spPr>
                    <a:xfrm>
                      <a:off x="0" y="0"/>
                      <a:ext cx="3486150" cy="29502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Pr>
        <w:drawing>
          <wp:inline distB="114300" distT="114300" distL="114300" distR="114300">
            <wp:extent cx="3533775" cy="3024897"/>
            <wp:effectExtent b="25400" l="25400" r="25400" t="25400"/>
            <wp:docPr id="5" name="image6.png"/>
            <a:graphic>
              <a:graphicData uri="http://schemas.openxmlformats.org/drawingml/2006/picture">
                <pic:pic>
                  <pic:nvPicPr>
                    <pic:cNvPr id="0" name="image6.png"/>
                    <pic:cNvPicPr preferRelativeResize="0"/>
                  </pic:nvPicPr>
                  <pic:blipFill>
                    <a:blip r:embed="rId14"/>
                    <a:srcRect b="3675" l="30285" r="12010" t="9381"/>
                    <a:stretch>
                      <a:fillRect/>
                    </a:stretch>
                  </pic:blipFill>
                  <pic:spPr>
                    <a:xfrm>
                      <a:off x="0" y="0"/>
                      <a:ext cx="3533775" cy="30248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6">
      <w:pPr>
        <w:numPr>
          <w:ilvl w:val="0"/>
          <w:numId w:val="5"/>
        </w:numPr>
        <w:ind w:left="720" w:hanging="360"/>
        <w:jc w:val="both"/>
        <w:rPr>
          <w:rFonts w:ascii="Arial" w:cs="Arial" w:eastAsia="Arial" w:hAnsi="Arial"/>
          <w:color w:val="222222"/>
          <w:sz w:val="20"/>
          <w:szCs w:val="20"/>
          <w:highlight w:val="white"/>
          <w:u w:val="none"/>
        </w:rPr>
      </w:pPr>
      <w:r w:rsidDel="00000000" w:rsidR="00000000" w:rsidRPr="00000000">
        <w:rPr>
          <w:rFonts w:ascii="Arial" w:cs="Arial" w:eastAsia="Arial" w:hAnsi="Arial"/>
          <w:color w:val="222222"/>
          <w:sz w:val="20"/>
          <w:szCs w:val="20"/>
          <w:highlight w:val="white"/>
          <w:rtl w:val="0"/>
        </w:rPr>
        <w:t xml:space="preserve">Regarding the breakdown of the power consumption, we added this information at the end of the discussion section. We added the breakdown of the power consumption for each platform architecture implemented: (1) our previous publication Ref. [46], (2) standard floating-point computation, (3) hybrid custom floating-point approximation, and (4) hybrid logarithmic approximation. This information is provided by the project summary overview, power on-chip section from Vivado.</w:t>
      </w:r>
    </w:p>
    <w:p w:rsidR="00000000" w:rsidDel="00000000" w:rsidP="00000000" w:rsidRDefault="00000000" w:rsidRPr="00000000" w14:paraId="00000077">
      <w:pPr>
        <w:jc w:val="cente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Pr>
        <w:drawing>
          <wp:inline distB="114300" distT="114300" distL="114300" distR="114300">
            <wp:extent cx="3581400" cy="2548890"/>
            <wp:effectExtent b="25400" l="25400" r="25400" t="25400"/>
            <wp:docPr id="8" name="image7.png"/>
            <a:graphic>
              <a:graphicData uri="http://schemas.openxmlformats.org/drawingml/2006/picture">
                <pic:pic>
                  <pic:nvPicPr>
                    <pic:cNvPr id="0" name="image7.png"/>
                    <pic:cNvPicPr preferRelativeResize="0"/>
                  </pic:nvPicPr>
                  <pic:blipFill>
                    <a:blip r:embed="rId8"/>
                    <a:srcRect b="16581" l="30077" r="11487" t="10080"/>
                    <a:stretch>
                      <a:fillRect/>
                    </a:stretch>
                  </pic:blipFill>
                  <pic:spPr>
                    <a:xfrm>
                      <a:off x="0" y="0"/>
                      <a:ext cx="3581400" cy="25488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11:</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7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V-A.3 / Paragraph 1: It mentions “This plot revels inherent …” Shouldn’t it be “This plot reveals inherent …”?</w:t>
      </w:r>
    </w:p>
    <w:p w:rsidR="00000000" w:rsidDel="00000000" w:rsidP="00000000" w:rsidRDefault="00000000" w:rsidRPr="00000000" w14:paraId="0000007C">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Thanks for this observation.</w:t>
      </w:r>
    </w:p>
    <w:p w:rsidR="00000000" w:rsidDel="00000000" w:rsidP="00000000" w:rsidRDefault="00000000" w:rsidRPr="00000000" w14:paraId="0000007D">
      <w:pPr>
        <w:jc w:val="both"/>
        <w:rPr>
          <w:rFonts w:ascii="Calibri" w:cs="Calibri" w:eastAsia="Calibri" w:hAnsi="Calibri"/>
          <w:b w:val="1"/>
          <w:color w:val="008000"/>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correcting the mistake.</w:t>
      </w:r>
      <w:r w:rsidDel="00000000" w:rsidR="00000000" w:rsidRPr="00000000">
        <w:br w:type="page"/>
      </w:r>
      <w:r w:rsidDel="00000000" w:rsidR="00000000" w:rsidRPr="00000000">
        <w:rPr>
          <w:rtl w:val="0"/>
        </w:rPr>
      </w:r>
    </w:p>
    <w:p w:rsidR="00000000" w:rsidDel="00000000" w:rsidP="00000000" w:rsidRDefault="00000000" w:rsidRPr="00000000" w14:paraId="0000007E">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Reviewer#2, Concern # 1:</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7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paper only uses MNIST as the data set for evaluation. SNN training algorithm is still in its infancy, but even so, it is not very suitable to take such a toy test as the evaluation benchmark for a hardware design. Existing SNN training studies have supported CIFAR-level test set and spiking-CNN. It is suggested that the authors improve the work in this regard.</w:t>
      </w:r>
    </w:p>
    <w:p w:rsidR="00000000" w:rsidDel="00000000" w:rsidP="00000000" w:rsidRDefault="00000000" w:rsidRPr="00000000" w14:paraId="00000080">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81">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82">
      <w:pPr>
        <w:jc w:val="both"/>
        <w:rPr>
          <w:rFonts w:ascii="Calibri" w:cs="Calibri" w:eastAsia="Calibri" w:hAnsi="Calibri"/>
          <w:b w:val="0"/>
          <w:color w:val="000090"/>
          <w:sz w:val="22"/>
          <w:szCs w:val="22"/>
          <w:vertAlign w:val="baseline"/>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84">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Reviewer#2, Concern # 2:</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8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paper stated that “… SbS networks provide numerous advantages over traditional ANNs and CNNs”. I don't think it is right: SNN may have the potential to surpass ANN, but it has a long way to go to prove itself in typical applications.</w:t>
      </w:r>
    </w:p>
    <w:p w:rsidR="00000000" w:rsidDel="00000000" w:rsidP="00000000" w:rsidRDefault="00000000" w:rsidRPr="00000000" w14:paraId="00000086">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87">
      <w:pPr>
        <w:jc w:val="both"/>
        <w:rPr>
          <w:rFonts w:ascii="Calibri" w:cs="Calibri" w:eastAsia="Calibri" w:hAnsi="Calibri"/>
          <w:b w:val="0"/>
          <w:color w:val="000090"/>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r w:rsidDel="00000000" w:rsidR="00000000" w:rsidRPr="00000000">
        <w:rPr>
          <w:rtl w:val="0"/>
        </w:rPr>
      </w:r>
    </w:p>
    <w:p w:rsidR="00000000" w:rsidDel="00000000" w:rsidP="00000000" w:rsidRDefault="00000000" w:rsidRPr="00000000" w14:paraId="00000088">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8A">
      <w:pPr>
        <w:jc w:val="both"/>
        <w:rPr>
          <w:rFonts w:ascii="Calibri" w:cs="Calibri" w:eastAsia="Calibri" w:hAnsi="Calibri"/>
          <w:i w:val="0"/>
          <w:sz w:val="22"/>
          <w:szCs w:val="22"/>
          <w:vertAlign w:val="baseline"/>
        </w:rPr>
      </w:pPr>
      <w:r w:rsidDel="00000000" w:rsidR="00000000" w:rsidRPr="00000000">
        <w:rPr>
          <w:rFonts w:ascii="Calibri" w:cs="Calibri" w:eastAsia="Calibri" w:hAnsi="Calibri"/>
          <w:b w:val="1"/>
          <w:i w:val="1"/>
          <w:sz w:val="22"/>
          <w:szCs w:val="22"/>
          <w:vertAlign w:val="baseline"/>
          <w:rtl w:val="0"/>
        </w:rPr>
        <w:t xml:space="preserve">Note:</w:t>
      </w:r>
      <w:r w:rsidDel="00000000" w:rsidR="00000000" w:rsidRPr="00000000">
        <w:rPr>
          <w:rFonts w:ascii="Calibri" w:cs="Calibri" w:eastAsia="Calibri" w:hAnsi="Calibri"/>
          <w:i w:val="1"/>
          <w:sz w:val="22"/>
          <w:szCs w:val="22"/>
          <w:vertAlign w:val="baseline"/>
          <w:rtl w:val="0"/>
        </w:rPr>
        <w:t xml:space="preserve"> References suggested by reviewers should only be added if it is relevant to the article and makes it more complete. Excessive cases of recommending non-relevant articles should be reported to ieeeaccesseic@ieee.org</w:t>
      </w:r>
      <w:r w:rsidDel="00000000" w:rsidR="00000000" w:rsidRPr="00000000">
        <w:rPr>
          <w:rtl w:val="0"/>
        </w:rPr>
      </w:r>
    </w:p>
    <w:sectPr>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alloonText">
    <w:name w:val="Balloon Text"/>
    <w:basedOn w:val="Normal"/>
    <w:next w:val="BalloonText"/>
    <w:autoRedefine w:val="0"/>
    <w:hidden w:val="0"/>
    <w:qFormat w:val="1"/>
    <w:pPr>
      <w:suppressAutoHyphens w:val="1"/>
      <w:spacing w:after="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bidi="ar-S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Hq8fotH7s7Z9GnwDP2o/7On0QA==">AMUW2mVPG8Cf99E4XtUzXPqMCTy3pIOu+Hm+E2q+VTW0zJ092378bsSjfD1oN7u54Rq0odT4/tCkxq183Buz6n2ki3+ALW9g/szRmSz46WvPD6beKZ+2AYg=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2019-01-28T19:59:00Z</dcterms:created>
  <dc:creator>derek abbott</dc:creator>
</cp:coreProperties>
</file>