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D4792" w14:textId="77777777" w:rsidR="009B08F6" w:rsidRPr="004134BE" w:rsidRDefault="009B08F6" w:rsidP="004134BE">
      <w:pPr>
        <w:pStyle w:val="Apa77"/>
        <w:rPr>
          <w:b/>
          <w:bCs/>
        </w:rPr>
      </w:pPr>
      <w:r w:rsidRPr="004134BE">
        <w:rPr>
          <w:b/>
          <w:bCs/>
        </w:rPr>
        <w:t>Plan de Seguridad Informática para la Aplicación EduShare.js</w:t>
      </w:r>
    </w:p>
    <w:p w14:paraId="7B3F831A" w14:textId="77777777" w:rsidR="009B08F6" w:rsidRPr="003E68FE" w:rsidRDefault="009B08F6" w:rsidP="004134BE">
      <w:pPr>
        <w:pStyle w:val="Apa77"/>
        <w:rPr>
          <w:b/>
          <w:bCs/>
        </w:rPr>
      </w:pPr>
      <w:r w:rsidRPr="003E68FE">
        <w:rPr>
          <w:b/>
          <w:bCs/>
        </w:rPr>
        <w:t>1. Introducción</w:t>
      </w:r>
    </w:p>
    <w:p w14:paraId="4E957F32" w14:textId="77777777" w:rsidR="009B08F6" w:rsidRDefault="009B08F6" w:rsidP="004134BE">
      <w:pPr>
        <w:pStyle w:val="Apa77"/>
      </w:pPr>
      <w:r>
        <w:t>El presente documento establece el Plan de Seguridad Informática para EduShare.js, una plataforma de cursos educativos. El objetivo es garantizar la protección de los sistemas, la integridad de los datos, y la privacidad de los usuarios mediante controles y medidas alineadas a estándares de seguridad informática.</w:t>
      </w:r>
    </w:p>
    <w:p w14:paraId="3A4793CD" w14:textId="77777777" w:rsidR="00FD6E44" w:rsidRDefault="009B08F6" w:rsidP="00FD6E44">
      <w:pPr>
        <w:pStyle w:val="Apa77"/>
        <w:rPr>
          <w:b/>
          <w:bCs/>
        </w:rPr>
      </w:pPr>
      <w:r w:rsidRPr="003E68FE">
        <w:rPr>
          <w:b/>
          <w:bCs/>
        </w:rPr>
        <w:t>2. Objetivos del Plan de Seguridad Informática</w:t>
      </w:r>
    </w:p>
    <w:p w14:paraId="0BB56BA1" w14:textId="746DFB1E" w:rsidR="009B08F6" w:rsidRPr="00FD6E44" w:rsidRDefault="009B08F6" w:rsidP="00FD6E44">
      <w:pPr>
        <w:pStyle w:val="Apa77"/>
        <w:rPr>
          <w:b/>
          <w:bCs/>
        </w:rPr>
      </w:pPr>
      <w:r>
        <w:t>Proteger la confidencialidad, integridad y disponibilidad de la información.</w:t>
      </w:r>
    </w:p>
    <w:p w14:paraId="49EEC6F8" w14:textId="77777777" w:rsidR="009B08F6" w:rsidRDefault="009B08F6" w:rsidP="004134BE">
      <w:pPr>
        <w:pStyle w:val="Apa77"/>
      </w:pPr>
      <w:r>
        <w:t>Prevenir accesos no autorizados y ataques informáticos.</w:t>
      </w:r>
    </w:p>
    <w:p w14:paraId="60A6A6F2" w14:textId="77777777" w:rsidR="003E68FE" w:rsidRDefault="003E68FE" w:rsidP="003E68FE">
      <w:pPr>
        <w:pStyle w:val="Apa77"/>
      </w:pPr>
      <w:r>
        <w:t>Establecer protocolos de detección y respuesta a incidentes de seguridad.</w:t>
      </w:r>
    </w:p>
    <w:p w14:paraId="47127D00" w14:textId="745F865A" w:rsidR="003E68FE" w:rsidRDefault="003E68FE" w:rsidP="003E68FE">
      <w:pPr>
        <w:pStyle w:val="Apa77"/>
      </w:pPr>
      <w:r>
        <w:t>Asegurar el cumplimiento de normativas legales y estándares de seguridad.</w:t>
      </w:r>
    </w:p>
    <w:tbl>
      <w:tblPr>
        <w:tblStyle w:val="apaa7"/>
        <w:tblpPr w:leftFromText="141" w:rightFromText="141" w:vertAnchor="text" w:horzAnchor="margin" w:tblpY="88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3E68FE" w14:paraId="1A0CA7A8" w14:textId="77777777" w:rsidTr="003E6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21C61093" w14:textId="77777777" w:rsidR="003E68FE" w:rsidRDefault="003E68FE" w:rsidP="003E68FE">
            <w:pPr>
              <w:pStyle w:val="Apa77"/>
              <w:ind w:firstLine="0"/>
            </w:pPr>
            <w:r>
              <w:t>Riesgo</w:t>
            </w:r>
          </w:p>
        </w:tc>
        <w:tc>
          <w:tcPr>
            <w:tcW w:w="3120" w:type="dxa"/>
          </w:tcPr>
          <w:p w14:paraId="4676A2C8" w14:textId="77777777" w:rsidR="003E68FE" w:rsidRDefault="003E68FE" w:rsidP="003E68FE">
            <w:pPr>
              <w:pStyle w:val="Apa77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4BE">
              <w:t>Impacto</w:t>
            </w:r>
            <w:r>
              <w:t xml:space="preserve"> </w:t>
            </w:r>
          </w:p>
        </w:tc>
        <w:tc>
          <w:tcPr>
            <w:tcW w:w="3120" w:type="dxa"/>
          </w:tcPr>
          <w:p w14:paraId="504FA228" w14:textId="77777777" w:rsidR="003E68FE" w:rsidRDefault="003E68FE" w:rsidP="003E68FE">
            <w:pPr>
              <w:pStyle w:val="Apa77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4BE">
              <w:t>Mitigación</w:t>
            </w:r>
          </w:p>
        </w:tc>
      </w:tr>
      <w:tr w:rsidR="003E68FE" w14:paraId="3003993C" w14:textId="77777777" w:rsidTr="003E6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7288AAAD" w14:textId="77777777" w:rsidR="003E68FE" w:rsidRDefault="003E68FE" w:rsidP="003E68FE">
            <w:pPr>
              <w:pStyle w:val="Apa77"/>
              <w:ind w:firstLine="0"/>
            </w:pPr>
            <w:r w:rsidRPr="004134BE">
              <w:t>Acceso no autorizado a cuentas</w:t>
            </w:r>
          </w:p>
        </w:tc>
        <w:tc>
          <w:tcPr>
            <w:tcW w:w="3120" w:type="dxa"/>
          </w:tcPr>
          <w:p w14:paraId="0008961A" w14:textId="77777777" w:rsidR="003E68FE" w:rsidRDefault="003E68FE" w:rsidP="003E68FE">
            <w:pPr>
              <w:pStyle w:val="Apa77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34BE">
              <w:t>Robo de datos personales.</w:t>
            </w:r>
          </w:p>
        </w:tc>
        <w:tc>
          <w:tcPr>
            <w:tcW w:w="3120" w:type="dxa"/>
          </w:tcPr>
          <w:p w14:paraId="6473229C" w14:textId="77777777" w:rsidR="003E68FE" w:rsidRDefault="003E68FE" w:rsidP="003E68FE">
            <w:pPr>
              <w:pStyle w:val="Apa77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34BE">
              <w:t>Implementación de autenticación multifactor (MFA).</w:t>
            </w:r>
          </w:p>
        </w:tc>
      </w:tr>
      <w:tr w:rsidR="003E68FE" w14:paraId="57B747CC" w14:textId="77777777" w:rsidTr="003E6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151A5CC1" w14:textId="77777777" w:rsidR="003E68FE" w:rsidRDefault="003E68FE" w:rsidP="003E68FE">
            <w:pPr>
              <w:pStyle w:val="Apa77"/>
              <w:ind w:firstLine="0"/>
            </w:pPr>
            <w:r w:rsidRPr="004134BE">
              <w:t>Ataques DDoS</w:t>
            </w:r>
          </w:p>
        </w:tc>
        <w:tc>
          <w:tcPr>
            <w:tcW w:w="3120" w:type="dxa"/>
          </w:tcPr>
          <w:p w14:paraId="2F65164E" w14:textId="77777777" w:rsidR="003E68FE" w:rsidRDefault="003E68FE" w:rsidP="003E68FE">
            <w:pPr>
              <w:pStyle w:val="Apa77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34BE">
              <w:t>Caída del servicio, impidiendo el acceso a los usuarios.</w:t>
            </w:r>
          </w:p>
        </w:tc>
        <w:tc>
          <w:tcPr>
            <w:tcW w:w="3120" w:type="dxa"/>
          </w:tcPr>
          <w:p w14:paraId="54157F08" w14:textId="77777777" w:rsidR="003E68FE" w:rsidRDefault="003E68FE" w:rsidP="003E68FE">
            <w:pPr>
              <w:pStyle w:val="Apa77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34BE">
              <w:t>Implementar sistemas de mitigación de DDoS en la nube.</w:t>
            </w:r>
          </w:p>
        </w:tc>
      </w:tr>
      <w:tr w:rsidR="003E68FE" w14:paraId="00263015" w14:textId="77777777" w:rsidTr="003E6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2D4A3A8C" w14:textId="77777777" w:rsidR="003E68FE" w:rsidRDefault="003E68FE" w:rsidP="003E68FE">
            <w:pPr>
              <w:pStyle w:val="Apa77"/>
              <w:ind w:firstLine="0"/>
            </w:pPr>
            <w:r w:rsidRPr="004134BE">
              <w:t>Inyección SQL</w:t>
            </w:r>
          </w:p>
        </w:tc>
        <w:tc>
          <w:tcPr>
            <w:tcW w:w="3120" w:type="dxa"/>
          </w:tcPr>
          <w:p w14:paraId="13B4D3BF" w14:textId="77777777" w:rsidR="003E68FE" w:rsidRDefault="003E68FE" w:rsidP="003E68FE">
            <w:pPr>
              <w:pStyle w:val="Apa77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34BE">
              <w:t>Robo y modificación de datos en la base de datos.</w:t>
            </w:r>
          </w:p>
        </w:tc>
        <w:tc>
          <w:tcPr>
            <w:tcW w:w="3120" w:type="dxa"/>
          </w:tcPr>
          <w:p w14:paraId="1B2BF36C" w14:textId="77777777" w:rsidR="003E68FE" w:rsidRDefault="003E68FE" w:rsidP="003E68FE">
            <w:pPr>
              <w:pStyle w:val="Apa77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34BE">
              <w:t>Validación de entradas y consultas parametrizadas.</w:t>
            </w:r>
          </w:p>
        </w:tc>
      </w:tr>
      <w:tr w:rsidR="003E68FE" w14:paraId="7193FFD1" w14:textId="77777777" w:rsidTr="003E6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540F51CC" w14:textId="77777777" w:rsidR="003E68FE" w:rsidRDefault="003E68FE" w:rsidP="003E68FE">
            <w:pPr>
              <w:pStyle w:val="Apa77"/>
              <w:ind w:firstLine="0"/>
            </w:pPr>
            <w:r w:rsidRPr="004134BE">
              <w:t>Vulnerabilidad en APIs</w:t>
            </w:r>
          </w:p>
        </w:tc>
        <w:tc>
          <w:tcPr>
            <w:tcW w:w="3120" w:type="dxa"/>
          </w:tcPr>
          <w:p w14:paraId="6AC1D37A" w14:textId="77777777" w:rsidR="003E68FE" w:rsidRDefault="003E68FE" w:rsidP="003E68FE">
            <w:pPr>
              <w:pStyle w:val="Apa77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34BE">
              <w:t>Exposición de datos sensibles.</w:t>
            </w:r>
          </w:p>
        </w:tc>
        <w:tc>
          <w:tcPr>
            <w:tcW w:w="3120" w:type="dxa"/>
          </w:tcPr>
          <w:p w14:paraId="28DAEBC7" w14:textId="77777777" w:rsidR="003E68FE" w:rsidRDefault="003E68FE" w:rsidP="003E68FE">
            <w:pPr>
              <w:pStyle w:val="Apa77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34BE">
              <w:t>Auditorías periódicas y pruebas de seguridad.</w:t>
            </w:r>
          </w:p>
        </w:tc>
      </w:tr>
      <w:tr w:rsidR="003E68FE" w14:paraId="155374A2" w14:textId="77777777" w:rsidTr="003E6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55C9DC8D" w14:textId="77777777" w:rsidR="003E68FE" w:rsidRDefault="003E68FE" w:rsidP="003E68FE">
            <w:pPr>
              <w:pStyle w:val="Apa77"/>
              <w:ind w:firstLine="0"/>
            </w:pPr>
            <w:r w:rsidRPr="004134BE">
              <w:lastRenderedPageBreak/>
              <w:t>Robo de credenciales</w:t>
            </w:r>
          </w:p>
        </w:tc>
        <w:tc>
          <w:tcPr>
            <w:tcW w:w="3120" w:type="dxa"/>
          </w:tcPr>
          <w:p w14:paraId="3C1EEF28" w14:textId="77777777" w:rsidR="003E68FE" w:rsidRDefault="003E68FE" w:rsidP="003E68FE">
            <w:pPr>
              <w:pStyle w:val="Apa77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34BE">
              <w:t>Acceso no autorizado a la plataforma.</w:t>
            </w:r>
          </w:p>
        </w:tc>
        <w:tc>
          <w:tcPr>
            <w:tcW w:w="3120" w:type="dxa"/>
          </w:tcPr>
          <w:p w14:paraId="09C99485" w14:textId="77777777" w:rsidR="003E68FE" w:rsidRDefault="003E68FE" w:rsidP="003E68FE">
            <w:pPr>
              <w:pStyle w:val="Apa77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34BE">
              <w:t>Uso de hash y sal en las contraseñas (bcrypt).</w:t>
            </w:r>
          </w:p>
        </w:tc>
      </w:tr>
      <w:tr w:rsidR="003E68FE" w14:paraId="5EA5A97D" w14:textId="77777777" w:rsidTr="003E6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3DAE14D0" w14:textId="77777777" w:rsidR="003E68FE" w:rsidRDefault="003E68FE" w:rsidP="003E68FE">
            <w:pPr>
              <w:pStyle w:val="Apa77"/>
              <w:ind w:firstLine="0"/>
            </w:pPr>
            <w:r w:rsidRPr="004134BE">
              <w:t>Malware y ransomware</w:t>
            </w:r>
          </w:p>
        </w:tc>
        <w:tc>
          <w:tcPr>
            <w:tcW w:w="3120" w:type="dxa"/>
          </w:tcPr>
          <w:p w14:paraId="5A613E9C" w14:textId="77777777" w:rsidR="003E68FE" w:rsidRDefault="003E68FE" w:rsidP="003E68FE">
            <w:pPr>
              <w:pStyle w:val="Apa77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34BE">
              <w:t>Bloqueo de sistemas y secuestro de datos.</w:t>
            </w:r>
          </w:p>
        </w:tc>
        <w:tc>
          <w:tcPr>
            <w:tcW w:w="3120" w:type="dxa"/>
          </w:tcPr>
          <w:p w14:paraId="5FABD8B6" w14:textId="77777777" w:rsidR="003E68FE" w:rsidRDefault="003E68FE" w:rsidP="003E68FE">
            <w:pPr>
              <w:pStyle w:val="Apa77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34BE">
              <w:t>Monitoreo constante y antivirus en servidores.</w:t>
            </w:r>
          </w:p>
        </w:tc>
      </w:tr>
      <w:tr w:rsidR="003E68FE" w14:paraId="05CDCD11" w14:textId="77777777" w:rsidTr="003E6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1464056B" w14:textId="77777777" w:rsidR="003E68FE" w:rsidRDefault="003E68FE" w:rsidP="003E68FE">
            <w:pPr>
              <w:pStyle w:val="Apa77"/>
              <w:ind w:firstLine="0"/>
            </w:pPr>
            <w:r w:rsidRPr="004134BE">
              <w:t>Fuga de datos en dispositivos móviles</w:t>
            </w:r>
          </w:p>
        </w:tc>
        <w:tc>
          <w:tcPr>
            <w:tcW w:w="3120" w:type="dxa"/>
          </w:tcPr>
          <w:p w14:paraId="5C3087A7" w14:textId="77777777" w:rsidR="003E68FE" w:rsidRDefault="003E68FE" w:rsidP="003E68FE">
            <w:pPr>
              <w:pStyle w:val="Apa77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34BE">
              <w:t>Exposición de información crítica.</w:t>
            </w:r>
          </w:p>
        </w:tc>
        <w:tc>
          <w:tcPr>
            <w:tcW w:w="3120" w:type="dxa"/>
          </w:tcPr>
          <w:p w14:paraId="4CD0EAD5" w14:textId="77777777" w:rsidR="003E68FE" w:rsidRDefault="003E68FE" w:rsidP="003E68FE">
            <w:pPr>
              <w:pStyle w:val="Apa77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34BE">
              <w:t>Cifrado de datos en tránsito y en reposo.</w:t>
            </w:r>
          </w:p>
        </w:tc>
      </w:tr>
    </w:tbl>
    <w:p w14:paraId="008186E4" w14:textId="40B5A1C6" w:rsidR="00294E2E" w:rsidRDefault="00294E2E" w:rsidP="003E68FE">
      <w:pPr>
        <w:pStyle w:val="Apa77"/>
        <w:ind w:firstLine="0"/>
      </w:pPr>
    </w:p>
    <w:p w14:paraId="17DC1CE8" w14:textId="77777777" w:rsidR="003E68FE" w:rsidRPr="00FD6E44" w:rsidRDefault="003E68FE" w:rsidP="00FD6E44">
      <w:pPr>
        <w:pStyle w:val="Apa77"/>
      </w:pPr>
      <w:r w:rsidRPr="00FD6E44">
        <w:t>4. Políticas de Seguridad</w:t>
      </w:r>
    </w:p>
    <w:p w14:paraId="724DAE2B" w14:textId="77777777" w:rsidR="003E68FE" w:rsidRPr="00FD6E44" w:rsidRDefault="003E68FE" w:rsidP="00FD6E44">
      <w:pPr>
        <w:pStyle w:val="Apa77"/>
      </w:pPr>
      <w:r w:rsidRPr="00FD6E44">
        <w:t>4.1 Autenticación y Control de Acceso</w:t>
      </w:r>
    </w:p>
    <w:p w14:paraId="291FA92D" w14:textId="77777777" w:rsidR="003E68FE" w:rsidRPr="00FD6E44" w:rsidRDefault="003E68FE" w:rsidP="00FD6E44">
      <w:pPr>
        <w:pStyle w:val="Apa77"/>
      </w:pPr>
      <w:r w:rsidRPr="00FD6E44">
        <w:t>Implementar MFA para todos los usuarios y administradores.</w:t>
      </w:r>
    </w:p>
    <w:p w14:paraId="3EA9D912" w14:textId="77777777" w:rsidR="003E68FE" w:rsidRPr="00FD6E44" w:rsidRDefault="003E68FE" w:rsidP="00FD6E44">
      <w:pPr>
        <w:pStyle w:val="Apa77"/>
      </w:pPr>
      <w:r w:rsidRPr="00FD6E44">
        <w:t>Control de roles y permisos para restringir el acceso según la función.</w:t>
      </w:r>
    </w:p>
    <w:p w14:paraId="14F96A73" w14:textId="77777777" w:rsidR="003E68FE" w:rsidRPr="00FD6E44" w:rsidRDefault="003E68FE" w:rsidP="00FD6E44">
      <w:pPr>
        <w:pStyle w:val="Apa77"/>
      </w:pPr>
      <w:r w:rsidRPr="00FD6E44">
        <w:t>Política de cierre de sesión automático tras un período de inactividad.</w:t>
      </w:r>
    </w:p>
    <w:p w14:paraId="3F756843" w14:textId="77777777" w:rsidR="003E68FE" w:rsidRPr="00FD6E44" w:rsidRDefault="003E68FE" w:rsidP="00FD6E44">
      <w:pPr>
        <w:pStyle w:val="Apa77"/>
      </w:pPr>
      <w:r w:rsidRPr="00FD6E44">
        <w:t>4.2 Gestión de Datos y Privacidad</w:t>
      </w:r>
    </w:p>
    <w:p w14:paraId="162DABCF" w14:textId="77777777" w:rsidR="003E68FE" w:rsidRPr="00FD6E44" w:rsidRDefault="003E68FE" w:rsidP="00FD6E44">
      <w:pPr>
        <w:pStyle w:val="Apa77"/>
      </w:pPr>
      <w:r w:rsidRPr="00FD6E44">
        <w:t>Uso de cifrado AES-256 para el almacenamiento de información.</w:t>
      </w:r>
    </w:p>
    <w:p w14:paraId="7124D307" w14:textId="77777777" w:rsidR="003E68FE" w:rsidRPr="00FD6E44" w:rsidRDefault="003E68FE" w:rsidP="00FD6E44">
      <w:pPr>
        <w:pStyle w:val="Apa77"/>
      </w:pPr>
      <w:r w:rsidRPr="00FD6E44">
        <w:t>Cifrado SSL/TLS en la comunicación entre cliente y servidor.</w:t>
      </w:r>
    </w:p>
    <w:p w14:paraId="2CC0A18A" w14:textId="77777777" w:rsidR="003E68FE" w:rsidRPr="00FD6E44" w:rsidRDefault="003E68FE" w:rsidP="00FD6E44">
      <w:pPr>
        <w:pStyle w:val="Apa77"/>
      </w:pPr>
      <w:r w:rsidRPr="00FD6E44">
        <w:t>Anonimización de datos sensibles para pruebas y desarrollo.</w:t>
      </w:r>
    </w:p>
    <w:p w14:paraId="7501F77B" w14:textId="77777777" w:rsidR="003E68FE" w:rsidRPr="00FD6E44" w:rsidRDefault="003E68FE" w:rsidP="00FD6E44">
      <w:pPr>
        <w:pStyle w:val="Apa77"/>
      </w:pPr>
      <w:r w:rsidRPr="00FD6E44">
        <w:t>4.3 Respaldo y Recuperación de Datos</w:t>
      </w:r>
    </w:p>
    <w:p w14:paraId="67802D68" w14:textId="77777777" w:rsidR="003E68FE" w:rsidRPr="00FD6E44" w:rsidRDefault="003E68FE" w:rsidP="00FD6E44">
      <w:pPr>
        <w:pStyle w:val="Apa77"/>
      </w:pPr>
      <w:r w:rsidRPr="00FD6E44">
        <w:t>Respaldo diario de bases de datos en servidores externos.</w:t>
      </w:r>
    </w:p>
    <w:p w14:paraId="3B5AD535" w14:textId="77777777" w:rsidR="003E68FE" w:rsidRPr="00FD6E44" w:rsidRDefault="003E68FE" w:rsidP="00FD6E44">
      <w:pPr>
        <w:pStyle w:val="Apa77"/>
      </w:pPr>
      <w:r w:rsidRPr="00FD6E44">
        <w:t>Pruebas periódicas de restauración de datos para verificar la integridad de los respaldos.</w:t>
      </w:r>
    </w:p>
    <w:p w14:paraId="26B237B5" w14:textId="77777777" w:rsidR="003E68FE" w:rsidRPr="00FD6E44" w:rsidRDefault="003E68FE" w:rsidP="00FD6E44">
      <w:pPr>
        <w:pStyle w:val="Apa77"/>
      </w:pPr>
      <w:r w:rsidRPr="00FD6E44">
        <w:t>4.4 Gestión de Actualizaciones</w:t>
      </w:r>
    </w:p>
    <w:p w14:paraId="1E0FF259" w14:textId="77777777" w:rsidR="003E68FE" w:rsidRPr="00FD6E44" w:rsidRDefault="003E68FE" w:rsidP="00FD6E44">
      <w:pPr>
        <w:pStyle w:val="Apa77"/>
      </w:pPr>
      <w:r w:rsidRPr="00FD6E44">
        <w:t>Aplicación de parches de seguridad de manera inmediata.</w:t>
      </w:r>
    </w:p>
    <w:p w14:paraId="64D100C5" w14:textId="77777777" w:rsidR="003E68FE" w:rsidRPr="00FD6E44" w:rsidRDefault="003E68FE" w:rsidP="00FD6E44">
      <w:pPr>
        <w:pStyle w:val="Apa77"/>
      </w:pPr>
      <w:r w:rsidRPr="00FD6E44">
        <w:lastRenderedPageBreak/>
        <w:t>Actualización continua de librerías y dependencias utilizadas en EduShare.js.</w:t>
      </w:r>
    </w:p>
    <w:p w14:paraId="4117677F" w14:textId="77777777" w:rsidR="003E68FE" w:rsidRPr="00FD6E44" w:rsidRDefault="003E68FE" w:rsidP="00FD6E44">
      <w:pPr>
        <w:pStyle w:val="Apa77"/>
      </w:pPr>
      <w:r w:rsidRPr="00FD6E44">
        <w:t>4.5 Seguridad en APIs</w:t>
      </w:r>
    </w:p>
    <w:p w14:paraId="175C9BAE" w14:textId="77777777" w:rsidR="003E68FE" w:rsidRPr="00FD6E44" w:rsidRDefault="003E68FE" w:rsidP="00FD6E44">
      <w:pPr>
        <w:pStyle w:val="Apa77"/>
      </w:pPr>
      <w:r w:rsidRPr="00FD6E44">
        <w:t>Implementación de OAuth 2.0 para autenticación en APIs.</w:t>
      </w:r>
    </w:p>
    <w:p w14:paraId="3CF17BAB" w14:textId="71063CEF" w:rsidR="003E68FE" w:rsidRPr="00FD6E44" w:rsidRDefault="003E68FE" w:rsidP="00FD6E44">
      <w:pPr>
        <w:pStyle w:val="Apa77"/>
      </w:pPr>
      <w:r w:rsidRPr="00FD6E44">
        <w:t>Auditoría continua de APIs y uso de herramientas para pruebas de penetración.</w:t>
      </w:r>
    </w:p>
    <w:p w14:paraId="557D44FA" w14:textId="77777777" w:rsidR="003E68FE" w:rsidRPr="00FD6E44" w:rsidRDefault="003E68FE" w:rsidP="00FD6E44">
      <w:pPr>
        <w:pStyle w:val="Apa77"/>
      </w:pPr>
      <w:r w:rsidRPr="00FD6E44">
        <w:t>5. Plan de Monitoreo y Detección de Amenazas</w:t>
      </w:r>
    </w:p>
    <w:p w14:paraId="244142F1" w14:textId="77777777" w:rsidR="003E68FE" w:rsidRPr="00FD6E44" w:rsidRDefault="003E68FE" w:rsidP="00FD6E44">
      <w:pPr>
        <w:pStyle w:val="Apa77"/>
      </w:pPr>
      <w:r w:rsidRPr="00FD6E44">
        <w:t>Implementación de un SIEM (Sistema de Gestión de Eventos de Seguridad) para monitorear</w:t>
      </w:r>
    </w:p>
    <w:p w14:paraId="41CC0389" w14:textId="2C49BF6B" w:rsidR="003E68FE" w:rsidRPr="00FD6E44" w:rsidRDefault="003E68FE" w:rsidP="00FD6E44">
      <w:pPr>
        <w:pStyle w:val="Apa77"/>
      </w:pPr>
      <w:r w:rsidRPr="00FD6E44">
        <w:t>correlacionar eventos sospechosos.</w:t>
      </w:r>
    </w:p>
    <w:p w14:paraId="0CE430A8" w14:textId="77777777" w:rsidR="003E68FE" w:rsidRPr="00FD6E44" w:rsidRDefault="003E68FE" w:rsidP="00FD6E44">
      <w:pPr>
        <w:pStyle w:val="Apa77"/>
      </w:pPr>
      <w:r w:rsidRPr="00FD6E44">
        <w:t>Análisis de logs en tiempo real para detectar accesos no autorizados.</w:t>
      </w:r>
    </w:p>
    <w:p w14:paraId="07B1ABD7" w14:textId="292B51A2" w:rsidR="003E68FE" w:rsidRPr="00FD6E44" w:rsidRDefault="003E68FE" w:rsidP="00FD6E44">
      <w:pPr>
        <w:pStyle w:val="Apa77"/>
      </w:pPr>
      <w:r w:rsidRPr="00FD6E44">
        <w:t>Uso de sistemas de detección y prevención de intrusiones (IDS/IPS).</w:t>
      </w:r>
    </w:p>
    <w:p w14:paraId="1F8A112F" w14:textId="41D05DA4" w:rsidR="003E68FE" w:rsidRDefault="003E68FE" w:rsidP="003E68FE">
      <w:pPr>
        <w:pStyle w:val="Apa77"/>
        <w:rPr>
          <w:b/>
          <w:bCs/>
        </w:rPr>
      </w:pPr>
      <w:r w:rsidRPr="003E68FE">
        <w:rPr>
          <w:b/>
          <w:bCs/>
        </w:rPr>
        <w:t>6. Plan de Respuesta a Incidentes</w:t>
      </w:r>
    </w:p>
    <w:tbl>
      <w:tblPr>
        <w:tblStyle w:val="apaa7"/>
        <w:tblW w:w="0" w:type="auto"/>
        <w:tblLook w:val="04A0" w:firstRow="1" w:lastRow="0" w:firstColumn="1" w:lastColumn="0" w:noHBand="0" w:noVBand="1"/>
      </w:tblPr>
      <w:tblGrid>
        <w:gridCol w:w="4043"/>
        <w:gridCol w:w="4040"/>
      </w:tblGrid>
      <w:tr w:rsidR="003E68FE" w14:paraId="6EE2A625" w14:textId="77777777" w:rsidTr="003E6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14:paraId="65676B0C" w14:textId="1D7771F1" w:rsidR="003E68FE" w:rsidRPr="003E68FE" w:rsidRDefault="003E68FE" w:rsidP="003E68FE">
            <w:pPr>
              <w:pStyle w:val="Apa77"/>
              <w:ind w:firstLine="0"/>
            </w:pPr>
            <w:r w:rsidRPr="003E68FE">
              <w:t xml:space="preserve">Fase </w:t>
            </w:r>
          </w:p>
        </w:tc>
        <w:tc>
          <w:tcPr>
            <w:tcW w:w="4040" w:type="dxa"/>
          </w:tcPr>
          <w:p w14:paraId="4B82AAE3" w14:textId="2F0C00F3" w:rsidR="003E68FE" w:rsidRPr="003E68FE" w:rsidRDefault="003E68FE" w:rsidP="003E68FE">
            <w:pPr>
              <w:pStyle w:val="Apa77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Acción </w:t>
            </w:r>
          </w:p>
        </w:tc>
      </w:tr>
      <w:tr w:rsidR="003E68FE" w14:paraId="5761BCF0" w14:textId="77777777" w:rsidTr="003E68FE">
        <w:trPr>
          <w:trHeight w:val="10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14:paraId="080CD7ED" w14:textId="5A8185AF" w:rsidR="003E68FE" w:rsidRPr="003E68FE" w:rsidRDefault="003E68FE" w:rsidP="003E68FE">
            <w:pPr>
              <w:pStyle w:val="Apa77"/>
              <w:ind w:firstLine="0"/>
            </w:pPr>
            <w:r w:rsidRPr="003E68FE">
              <w:t>Detección</w:t>
            </w:r>
          </w:p>
        </w:tc>
        <w:tc>
          <w:tcPr>
            <w:tcW w:w="4040" w:type="dxa"/>
          </w:tcPr>
          <w:p w14:paraId="6FC44396" w14:textId="184DCDFB" w:rsidR="003E68FE" w:rsidRPr="003E68FE" w:rsidRDefault="003E68FE" w:rsidP="003E68FE">
            <w:pPr>
              <w:pStyle w:val="Apa77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8FE">
              <w:t>Identificación de anomalías mediante alertas automatizadas.</w:t>
            </w:r>
          </w:p>
        </w:tc>
      </w:tr>
      <w:tr w:rsidR="003E68FE" w14:paraId="6F996FB0" w14:textId="77777777" w:rsidTr="003E68FE">
        <w:trPr>
          <w:trHeight w:val="10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14:paraId="5B9A2F4F" w14:textId="1E3B440B" w:rsidR="003E68FE" w:rsidRPr="003E68FE" w:rsidRDefault="003E68FE" w:rsidP="003E68FE">
            <w:pPr>
              <w:pStyle w:val="Apa77"/>
              <w:ind w:firstLine="0"/>
            </w:pPr>
            <w:r w:rsidRPr="003E68FE">
              <w:t>Contención</w:t>
            </w:r>
          </w:p>
        </w:tc>
        <w:tc>
          <w:tcPr>
            <w:tcW w:w="4040" w:type="dxa"/>
          </w:tcPr>
          <w:p w14:paraId="4515C7A9" w14:textId="43B98ADB" w:rsidR="003E68FE" w:rsidRPr="003E68FE" w:rsidRDefault="003E68FE" w:rsidP="003E68FE">
            <w:pPr>
              <w:pStyle w:val="Apa77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8FE">
              <w:t>Bloqueo de cuentas afectadas y aislamiento de los sistemas comprometidos.</w:t>
            </w:r>
          </w:p>
        </w:tc>
      </w:tr>
      <w:tr w:rsidR="003E68FE" w14:paraId="5B93BDBB" w14:textId="77777777" w:rsidTr="003E68FE">
        <w:trPr>
          <w:trHeight w:val="10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14:paraId="6C5EB636" w14:textId="14351DFC" w:rsidR="003E68FE" w:rsidRPr="003E68FE" w:rsidRDefault="003E68FE" w:rsidP="003E68FE">
            <w:pPr>
              <w:pStyle w:val="Apa77"/>
              <w:ind w:firstLine="0"/>
            </w:pPr>
            <w:r w:rsidRPr="003E68FE">
              <w:t>Erradicación</w:t>
            </w:r>
          </w:p>
        </w:tc>
        <w:tc>
          <w:tcPr>
            <w:tcW w:w="4040" w:type="dxa"/>
          </w:tcPr>
          <w:p w14:paraId="08811874" w14:textId="7EAD0D62" w:rsidR="003E68FE" w:rsidRPr="003E68FE" w:rsidRDefault="003E68FE" w:rsidP="003E68FE">
            <w:pPr>
              <w:pStyle w:val="Apa77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8FE">
              <w:t>Eliminación de la vulnerabilidad y restauración de datos desde respaldos.</w:t>
            </w:r>
          </w:p>
        </w:tc>
      </w:tr>
      <w:tr w:rsidR="003E68FE" w14:paraId="3EBB44B3" w14:textId="77777777" w:rsidTr="003E68FE">
        <w:trPr>
          <w:trHeight w:val="10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14:paraId="4DE2937D" w14:textId="5A4539DC" w:rsidR="003E68FE" w:rsidRPr="003E68FE" w:rsidRDefault="003E68FE" w:rsidP="003E68FE">
            <w:pPr>
              <w:pStyle w:val="Apa77"/>
              <w:ind w:firstLine="0"/>
            </w:pPr>
            <w:r w:rsidRPr="003E68FE">
              <w:t>Recuperación</w:t>
            </w:r>
          </w:p>
        </w:tc>
        <w:tc>
          <w:tcPr>
            <w:tcW w:w="4040" w:type="dxa"/>
          </w:tcPr>
          <w:p w14:paraId="0840F31D" w14:textId="3CD13462" w:rsidR="003E68FE" w:rsidRPr="003E68FE" w:rsidRDefault="003E68FE" w:rsidP="003E68FE">
            <w:pPr>
              <w:pStyle w:val="Apa77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8FE">
              <w:t>Verificación del sistema y reactivación del servicio.</w:t>
            </w:r>
          </w:p>
        </w:tc>
      </w:tr>
      <w:tr w:rsidR="003E68FE" w14:paraId="02395BEF" w14:textId="77777777" w:rsidTr="003E68FE">
        <w:trPr>
          <w:trHeight w:val="10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14:paraId="31476477" w14:textId="441FE76F" w:rsidR="003E68FE" w:rsidRPr="003E68FE" w:rsidRDefault="003E68FE" w:rsidP="003E68FE">
            <w:pPr>
              <w:pStyle w:val="Apa77"/>
              <w:ind w:firstLine="0"/>
            </w:pPr>
            <w:r w:rsidRPr="003E68FE">
              <w:t>Análisis</w:t>
            </w:r>
          </w:p>
        </w:tc>
        <w:tc>
          <w:tcPr>
            <w:tcW w:w="4040" w:type="dxa"/>
          </w:tcPr>
          <w:p w14:paraId="1AE5F01D" w14:textId="3FF9998A" w:rsidR="003E68FE" w:rsidRPr="003E68FE" w:rsidRDefault="003E68FE" w:rsidP="003E68FE">
            <w:pPr>
              <w:pStyle w:val="Apa77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8FE">
              <w:t>Informe detallado del incidente y medidas preventivas futuras.</w:t>
            </w:r>
          </w:p>
        </w:tc>
      </w:tr>
    </w:tbl>
    <w:p w14:paraId="1EB2F8BF" w14:textId="77777777" w:rsidR="003E68FE" w:rsidRPr="00FD6E44" w:rsidRDefault="003E68FE" w:rsidP="00FD6E44">
      <w:pPr>
        <w:pStyle w:val="Apa77"/>
        <w:rPr>
          <w:b/>
          <w:bCs/>
        </w:rPr>
      </w:pPr>
      <w:r w:rsidRPr="00FD6E44">
        <w:rPr>
          <w:b/>
          <w:bCs/>
        </w:rPr>
        <w:lastRenderedPageBreak/>
        <w:t>8. Cumplimiento Normativo y Estándares</w:t>
      </w:r>
    </w:p>
    <w:p w14:paraId="52FD8982" w14:textId="77777777" w:rsidR="003E68FE" w:rsidRPr="00FD6E44" w:rsidRDefault="003E68FE" w:rsidP="00FD6E44">
      <w:pPr>
        <w:pStyle w:val="Apa77"/>
      </w:pPr>
      <w:r w:rsidRPr="00FD6E44">
        <w:t>ISO/IEC 27001: Estándar de gestión de la seguridad de la información.</w:t>
      </w:r>
    </w:p>
    <w:p w14:paraId="63911D10" w14:textId="77777777" w:rsidR="003E68FE" w:rsidRPr="00FD6E44" w:rsidRDefault="003E68FE" w:rsidP="00FD6E44">
      <w:pPr>
        <w:pStyle w:val="Apa77"/>
      </w:pPr>
      <w:r w:rsidRPr="00FD6E44">
        <w:t>GDPR: Regulación de protección de datos personales para usuarios europeos.</w:t>
      </w:r>
    </w:p>
    <w:p w14:paraId="5114CAAD" w14:textId="77777777" w:rsidR="003E68FE" w:rsidRPr="00FD6E44" w:rsidRDefault="003E68FE" w:rsidP="00FD6E44">
      <w:pPr>
        <w:pStyle w:val="Apa77"/>
      </w:pPr>
      <w:r w:rsidRPr="00FD6E44">
        <w:t>Ley de Protección de Datos Personales: Cumplir con normativas locales aplicables.</w:t>
      </w:r>
    </w:p>
    <w:p w14:paraId="1EB8F8CD" w14:textId="77777777" w:rsidR="003E68FE" w:rsidRPr="003E68FE" w:rsidRDefault="003E68FE" w:rsidP="003E68FE">
      <w:pPr>
        <w:pStyle w:val="Apa77"/>
        <w:rPr>
          <w:b/>
          <w:bCs/>
        </w:rPr>
      </w:pPr>
      <w:r w:rsidRPr="003E68FE">
        <w:rPr>
          <w:b/>
          <w:bCs/>
        </w:rPr>
        <w:t>9. Indicadores de Seguridad (KPIs)</w:t>
      </w:r>
    </w:p>
    <w:tbl>
      <w:tblPr>
        <w:tblStyle w:val="apaa7"/>
        <w:tblW w:w="0" w:type="auto"/>
        <w:tblLook w:val="04A0" w:firstRow="1" w:lastRow="0" w:firstColumn="1" w:lastColumn="0" w:noHBand="0" w:noVBand="1"/>
      </w:tblPr>
      <w:tblGrid>
        <w:gridCol w:w="3344"/>
        <w:gridCol w:w="2898"/>
        <w:gridCol w:w="2694"/>
      </w:tblGrid>
      <w:tr w:rsidR="003E68FE" w:rsidRPr="003E68FE" w14:paraId="3C398890" w14:textId="77777777" w:rsidTr="00FD6E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2D8466" w14:textId="77777777" w:rsidR="003E68FE" w:rsidRPr="003E68FE" w:rsidRDefault="003E68FE" w:rsidP="003E68FE">
            <w:pPr>
              <w:pStyle w:val="Apa77"/>
              <w:spacing w:after="160"/>
              <w:rPr>
                <w:b/>
                <w:bCs/>
              </w:rPr>
            </w:pPr>
            <w:r w:rsidRPr="003E68FE">
              <w:rPr>
                <w:b/>
                <w:bCs/>
              </w:rPr>
              <w:t>Indicador</w:t>
            </w:r>
          </w:p>
        </w:tc>
        <w:tc>
          <w:tcPr>
            <w:tcW w:w="2898" w:type="dxa"/>
            <w:hideMark/>
          </w:tcPr>
          <w:p w14:paraId="223D122D" w14:textId="77777777" w:rsidR="003E68FE" w:rsidRPr="003E68FE" w:rsidRDefault="003E68FE" w:rsidP="003E68FE">
            <w:pPr>
              <w:pStyle w:val="Apa77"/>
              <w:spacing w:after="16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E68FE">
              <w:rPr>
                <w:b/>
                <w:bCs/>
              </w:rPr>
              <w:t>Objetivo</w:t>
            </w:r>
          </w:p>
        </w:tc>
        <w:tc>
          <w:tcPr>
            <w:tcW w:w="2694" w:type="dxa"/>
            <w:hideMark/>
          </w:tcPr>
          <w:p w14:paraId="1BEF0903" w14:textId="77777777" w:rsidR="003E68FE" w:rsidRPr="003E68FE" w:rsidRDefault="003E68FE" w:rsidP="003E68FE">
            <w:pPr>
              <w:pStyle w:val="Apa77"/>
              <w:spacing w:after="16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E68FE">
              <w:rPr>
                <w:b/>
                <w:bCs/>
              </w:rPr>
              <w:t>Frecuencia de Medición</w:t>
            </w:r>
          </w:p>
        </w:tc>
      </w:tr>
      <w:tr w:rsidR="003E68FE" w:rsidRPr="003E68FE" w14:paraId="3D420AE1" w14:textId="77777777" w:rsidTr="00FD6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38D94D" w14:textId="77777777" w:rsidR="003E68FE" w:rsidRPr="003E68FE" w:rsidRDefault="003E68FE" w:rsidP="003E68FE">
            <w:pPr>
              <w:pStyle w:val="Apa77"/>
              <w:spacing w:after="160"/>
              <w:ind w:firstLine="0"/>
            </w:pPr>
            <w:r w:rsidRPr="003E68FE">
              <w:t>Incidentes detectados</w:t>
            </w:r>
          </w:p>
        </w:tc>
        <w:tc>
          <w:tcPr>
            <w:tcW w:w="2898" w:type="dxa"/>
            <w:hideMark/>
          </w:tcPr>
          <w:p w14:paraId="4DF52268" w14:textId="77777777" w:rsidR="003E68FE" w:rsidRPr="003E68FE" w:rsidRDefault="003E68FE" w:rsidP="003E68FE">
            <w:pPr>
              <w:pStyle w:val="Apa77"/>
              <w:spacing w:after="1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8FE">
              <w:t>Máximo 1 por trimestre</w:t>
            </w:r>
          </w:p>
        </w:tc>
        <w:tc>
          <w:tcPr>
            <w:tcW w:w="2694" w:type="dxa"/>
            <w:hideMark/>
          </w:tcPr>
          <w:p w14:paraId="5035DBE7" w14:textId="77777777" w:rsidR="003E68FE" w:rsidRPr="003E68FE" w:rsidRDefault="003E68FE" w:rsidP="003E68FE">
            <w:pPr>
              <w:pStyle w:val="Apa77"/>
              <w:spacing w:after="1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8FE">
              <w:t>Trimestral</w:t>
            </w:r>
          </w:p>
        </w:tc>
      </w:tr>
      <w:tr w:rsidR="003E68FE" w:rsidRPr="003E68FE" w14:paraId="09C22661" w14:textId="77777777" w:rsidTr="00FD6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A82B0A" w14:textId="77777777" w:rsidR="003E68FE" w:rsidRPr="003E68FE" w:rsidRDefault="003E68FE" w:rsidP="003E68FE">
            <w:pPr>
              <w:pStyle w:val="Apa77"/>
              <w:spacing w:after="160"/>
              <w:ind w:firstLine="0"/>
            </w:pPr>
            <w:r w:rsidRPr="003E68FE">
              <w:t>Tiempo de respuesta a incidentes</w:t>
            </w:r>
          </w:p>
        </w:tc>
        <w:tc>
          <w:tcPr>
            <w:tcW w:w="2898" w:type="dxa"/>
            <w:hideMark/>
          </w:tcPr>
          <w:p w14:paraId="3387D52F" w14:textId="77777777" w:rsidR="003E68FE" w:rsidRPr="003E68FE" w:rsidRDefault="003E68FE" w:rsidP="003E68FE">
            <w:pPr>
              <w:pStyle w:val="Apa77"/>
              <w:spacing w:after="1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8FE">
              <w:t>Menos de 1 hora</w:t>
            </w:r>
          </w:p>
        </w:tc>
        <w:tc>
          <w:tcPr>
            <w:tcW w:w="2694" w:type="dxa"/>
            <w:hideMark/>
          </w:tcPr>
          <w:p w14:paraId="7D0A288A" w14:textId="77777777" w:rsidR="003E68FE" w:rsidRPr="003E68FE" w:rsidRDefault="003E68FE" w:rsidP="003E68FE">
            <w:pPr>
              <w:pStyle w:val="Apa77"/>
              <w:spacing w:after="1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8FE">
              <w:t>Mensual</w:t>
            </w:r>
          </w:p>
        </w:tc>
      </w:tr>
      <w:tr w:rsidR="003E68FE" w:rsidRPr="003E68FE" w14:paraId="444A7376" w14:textId="77777777" w:rsidTr="00FD6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470E9B" w14:textId="77777777" w:rsidR="003E68FE" w:rsidRPr="003E68FE" w:rsidRDefault="003E68FE" w:rsidP="003E68FE">
            <w:pPr>
              <w:pStyle w:val="Apa77"/>
              <w:spacing w:after="160"/>
              <w:ind w:firstLine="0"/>
            </w:pPr>
            <w:r w:rsidRPr="003E68FE">
              <w:t>Tasa de intentos de acceso fallido</w:t>
            </w:r>
          </w:p>
        </w:tc>
        <w:tc>
          <w:tcPr>
            <w:tcW w:w="2898" w:type="dxa"/>
            <w:hideMark/>
          </w:tcPr>
          <w:p w14:paraId="5908596D" w14:textId="77777777" w:rsidR="003E68FE" w:rsidRPr="003E68FE" w:rsidRDefault="003E68FE" w:rsidP="003E68FE">
            <w:pPr>
              <w:pStyle w:val="Apa77"/>
              <w:spacing w:after="1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8FE">
              <w:t>0% en cuentas críticas</w:t>
            </w:r>
          </w:p>
        </w:tc>
        <w:tc>
          <w:tcPr>
            <w:tcW w:w="2694" w:type="dxa"/>
            <w:hideMark/>
          </w:tcPr>
          <w:p w14:paraId="305B9406" w14:textId="77777777" w:rsidR="003E68FE" w:rsidRPr="003E68FE" w:rsidRDefault="003E68FE" w:rsidP="003E68FE">
            <w:pPr>
              <w:pStyle w:val="Apa77"/>
              <w:spacing w:after="1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8FE">
              <w:t>Mensual</w:t>
            </w:r>
          </w:p>
        </w:tc>
      </w:tr>
      <w:tr w:rsidR="003E68FE" w:rsidRPr="003E68FE" w14:paraId="1E8E2D3C" w14:textId="77777777" w:rsidTr="00FD6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3C4211" w14:textId="77777777" w:rsidR="003E68FE" w:rsidRPr="003E68FE" w:rsidRDefault="003E68FE" w:rsidP="003E68FE">
            <w:pPr>
              <w:pStyle w:val="Apa77"/>
              <w:spacing w:after="160"/>
              <w:ind w:firstLine="0"/>
            </w:pPr>
            <w:r w:rsidRPr="003E68FE">
              <w:t>Aplicación de parches de seguridad</w:t>
            </w:r>
          </w:p>
        </w:tc>
        <w:tc>
          <w:tcPr>
            <w:tcW w:w="2898" w:type="dxa"/>
            <w:hideMark/>
          </w:tcPr>
          <w:p w14:paraId="5DBF7BF6" w14:textId="77777777" w:rsidR="003E68FE" w:rsidRPr="003E68FE" w:rsidRDefault="003E68FE" w:rsidP="003E68FE">
            <w:pPr>
              <w:pStyle w:val="Apa77"/>
              <w:spacing w:after="1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8FE">
              <w:t>Menos de 24 horas tras la notificación</w:t>
            </w:r>
          </w:p>
        </w:tc>
        <w:tc>
          <w:tcPr>
            <w:tcW w:w="2694" w:type="dxa"/>
            <w:hideMark/>
          </w:tcPr>
          <w:p w14:paraId="16037AE4" w14:textId="77777777" w:rsidR="003E68FE" w:rsidRPr="003E68FE" w:rsidRDefault="003E68FE" w:rsidP="003E68FE">
            <w:pPr>
              <w:pStyle w:val="Apa77"/>
              <w:spacing w:after="1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8FE">
              <w:t>Continuo</w:t>
            </w:r>
          </w:p>
        </w:tc>
      </w:tr>
    </w:tbl>
    <w:p w14:paraId="2D33BF31" w14:textId="77777777" w:rsidR="00FD6E44" w:rsidRDefault="00FD6E44" w:rsidP="00FD6E44">
      <w:pPr>
        <w:pStyle w:val="Apa77"/>
        <w:ind w:firstLine="0"/>
      </w:pPr>
    </w:p>
    <w:p w14:paraId="395F6A42" w14:textId="77777777" w:rsidR="00FD6E44" w:rsidRPr="00FD6E44" w:rsidRDefault="00FD6E44" w:rsidP="00FD6E44">
      <w:pPr>
        <w:pStyle w:val="Apa77"/>
        <w:rPr>
          <w:b/>
          <w:bCs/>
        </w:rPr>
      </w:pPr>
      <w:r w:rsidRPr="00FD6E44">
        <w:rPr>
          <w:b/>
          <w:bCs/>
        </w:rPr>
        <w:t>10. Roles y Responsabilidades</w:t>
      </w:r>
    </w:p>
    <w:tbl>
      <w:tblPr>
        <w:tblStyle w:val="apaa7"/>
        <w:tblW w:w="0" w:type="auto"/>
        <w:tblLook w:val="04A0" w:firstRow="1" w:lastRow="0" w:firstColumn="1" w:lastColumn="0" w:noHBand="0" w:noVBand="1"/>
      </w:tblPr>
      <w:tblGrid>
        <w:gridCol w:w="3964"/>
        <w:gridCol w:w="5386"/>
      </w:tblGrid>
      <w:tr w:rsidR="00FD6E44" w:rsidRPr="00FD6E44" w14:paraId="0B44EE0F" w14:textId="77777777" w:rsidTr="00FD6E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hideMark/>
          </w:tcPr>
          <w:p w14:paraId="1C7C2BE3" w14:textId="77777777" w:rsidR="00FD6E44" w:rsidRPr="00FD6E44" w:rsidRDefault="00FD6E44" w:rsidP="00FD6E44">
            <w:pPr>
              <w:pStyle w:val="Apa77"/>
              <w:spacing w:after="160"/>
              <w:rPr>
                <w:b/>
                <w:bCs/>
              </w:rPr>
            </w:pPr>
            <w:r w:rsidRPr="00FD6E44">
              <w:rPr>
                <w:b/>
                <w:bCs/>
              </w:rPr>
              <w:t>Rol</w:t>
            </w:r>
          </w:p>
        </w:tc>
        <w:tc>
          <w:tcPr>
            <w:tcW w:w="5386" w:type="dxa"/>
            <w:hideMark/>
          </w:tcPr>
          <w:p w14:paraId="62AC68FF" w14:textId="77777777" w:rsidR="00FD6E44" w:rsidRPr="00FD6E44" w:rsidRDefault="00FD6E44" w:rsidP="00FD6E44">
            <w:pPr>
              <w:pStyle w:val="Apa77"/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D6E44">
              <w:rPr>
                <w:b/>
                <w:bCs/>
              </w:rPr>
              <w:t>Responsabilidad</w:t>
            </w:r>
          </w:p>
        </w:tc>
      </w:tr>
      <w:tr w:rsidR="00FD6E44" w:rsidRPr="00FD6E44" w14:paraId="320D0075" w14:textId="77777777" w:rsidTr="00FD6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hideMark/>
          </w:tcPr>
          <w:p w14:paraId="6E6D6CBE" w14:textId="77777777" w:rsidR="00FD6E44" w:rsidRPr="00FD6E44" w:rsidRDefault="00FD6E44" w:rsidP="00FD6E44">
            <w:pPr>
              <w:pStyle w:val="Apa77"/>
              <w:spacing w:after="160"/>
              <w:ind w:firstLine="0"/>
            </w:pPr>
            <w:r w:rsidRPr="00FD6E44">
              <w:t>Responsable de Seguridad Informática</w:t>
            </w:r>
          </w:p>
        </w:tc>
        <w:tc>
          <w:tcPr>
            <w:tcW w:w="5386" w:type="dxa"/>
            <w:hideMark/>
          </w:tcPr>
          <w:p w14:paraId="76F1B72C" w14:textId="77777777" w:rsidR="00FD6E44" w:rsidRPr="00FD6E44" w:rsidRDefault="00FD6E44" w:rsidP="00FD6E44">
            <w:pPr>
              <w:pStyle w:val="Apa77"/>
              <w:spacing w:after="1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6E44">
              <w:t>Supervisar y ejecutar el plan de seguridad.</w:t>
            </w:r>
          </w:p>
        </w:tc>
      </w:tr>
      <w:tr w:rsidR="00FD6E44" w:rsidRPr="00FD6E44" w14:paraId="4DBC32BC" w14:textId="77777777" w:rsidTr="00FD6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hideMark/>
          </w:tcPr>
          <w:p w14:paraId="37D74A84" w14:textId="77777777" w:rsidR="00FD6E44" w:rsidRPr="00FD6E44" w:rsidRDefault="00FD6E44" w:rsidP="00FD6E44">
            <w:pPr>
              <w:pStyle w:val="Apa77"/>
              <w:spacing w:after="160"/>
              <w:ind w:firstLine="0"/>
            </w:pPr>
            <w:r w:rsidRPr="00FD6E44">
              <w:t>Equipo de Desarrollo</w:t>
            </w:r>
          </w:p>
        </w:tc>
        <w:tc>
          <w:tcPr>
            <w:tcW w:w="5386" w:type="dxa"/>
            <w:hideMark/>
          </w:tcPr>
          <w:p w14:paraId="595284C4" w14:textId="77777777" w:rsidR="00FD6E44" w:rsidRPr="00FD6E44" w:rsidRDefault="00FD6E44" w:rsidP="00FD6E44">
            <w:pPr>
              <w:pStyle w:val="Apa77"/>
              <w:spacing w:after="1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6E44">
              <w:t>Implementar medidas de seguridad en el ciclo de desarrollo.</w:t>
            </w:r>
          </w:p>
        </w:tc>
      </w:tr>
      <w:tr w:rsidR="00FD6E44" w:rsidRPr="00FD6E44" w14:paraId="7CC38439" w14:textId="77777777" w:rsidTr="00FD6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hideMark/>
          </w:tcPr>
          <w:p w14:paraId="47F346D7" w14:textId="77777777" w:rsidR="00FD6E44" w:rsidRPr="00FD6E44" w:rsidRDefault="00FD6E44" w:rsidP="00FD6E44">
            <w:pPr>
              <w:pStyle w:val="Apa77"/>
              <w:spacing w:after="160"/>
              <w:ind w:firstLine="0"/>
            </w:pPr>
            <w:r w:rsidRPr="00FD6E44">
              <w:t>Equipo de Operaciones</w:t>
            </w:r>
          </w:p>
        </w:tc>
        <w:tc>
          <w:tcPr>
            <w:tcW w:w="5386" w:type="dxa"/>
            <w:hideMark/>
          </w:tcPr>
          <w:p w14:paraId="5AF17933" w14:textId="77777777" w:rsidR="00FD6E44" w:rsidRPr="00FD6E44" w:rsidRDefault="00FD6E44" w:rsidP="00FD6E44">
            <w:pPr>
              <w:pStyle w:val="Apa77"/>
              <w:spacing w:after="1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6E44">
              <w:t>Monitorear sistemas y gestionar actualizaciones.</w:t>
            </w:r>
          </w:p>
        </w:tc>
      </w:tr>
      <w:tr w:rsidR="00FD6E44" w:rsidRPr="00FD6E44" w14:paraId="5CAF4A01" w14:textId="77777777" w:rsidTr="00FD6E44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hideMark/>
          </w:tcPr>
          <w:p w14:paraId="73B471B8" w14:textId="77777777" w:rsidR="00FD6E44" w:rsidRPr="00FD6E44" w:rsidRDefault="00FD6E44" w:rsidP="00FD6E44">
            <w:pPr>
              <w:pStyle w:val="Apa77"/>
              <w:spacing w:after="160"/>
              <w:ind w:firstLine="0"/>
            </w:pPr>
            <w:r w:rsidRPr="00FD6E44">
              <w:t>Usuarios</w:t>
            </w:r>
          </w:p>
        </w:tc>
        <w:tc>
          <w:tcPr>
            <w:tcW w:w="5386" w:type="dxa"/>
            <w:hideMark/>
          </w:tcPr>
          <w:p w14:paraId="6C7B9926" w14:textId="77777777" w:rsidR="00FD6E44" w:rsidRPr="00FD6E44" w:rsidRDefault="00FD6E44" w:rsidP="00FD6E44">
            <w:pPr>
              <w:pStyle w:val="Apa77"/>
              <w:spacing w:after="1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6E44">
              <w:t>Cumplir con las políticas de seguridad y reportar actividades sospechosas.</w:t>
            </w:r>
          </w:p>
        </w:tc>
      </w:tr>
    </w:tbl>
    <w:p w14:paraId="49F047F3" w14:textId="77777777" w:rsidR="00FD6E44" w:rsidRPr="00FD6E44" w:rsidRDefault="00FD6E44" w:rsidP="00FD6E44">
      <w:pPr>
        <w:pStyle w:val="Apa77"/>
      </w:pPr>
      <w:r w:rsidRPr="00FD6E44">
        <w:lastRenderedPageBreak/>
        <w:t>11. Conclusión</w:t>
      </w:r>
    </w:p>
    <w:p w14:paraId="225135AB" w14:textId="22051B1B" w:rsidR="00FD6E44" w:rsidRPr="00FD6E44" w:rsidRDefault="00FD6E44" w:rsidP="00FD6E44">
      <w:pPr>
        <w:pStyle w:val="Apa77"/>
      </w:pPr>
      <w:r w:rsidRPr="00FD6E44">
        <w:t>El Plan de Seguridad Informática de EduShare.js garantiza la protección integral de la plataforma, resguardando la información de los usuarios y asegurando la continuidad del servicio. La combinación de controles preventivos, monitoreo constante y una respuesta efectiva a incidentes permitirá mantener la seguridad de la aplicación y fomentar la confianza de sus usuarios. Este plan será revisado periódicamente para ajustarse a nuevas amenazas y regulaciones, alineando las operaciones con los más altos estándares de seguridad informática.</w:t>
      </w:r>
    </w:p>
    <w:p w14:paraId="42A9D296" w14:textId="77777777" w:rsidR="003E68FE" w:rsidRPr="003E68FE" w:rsidRDefault="003E68FE" w:rsidP="003E68FE">
      <w:pPr>
        <w:pStyle w:val="Apa77"/>
        <w:ind w:firstLine="0"/>
      </w:pPr>
    </w:p>
    <w:sectPr w:rsidR="003E68FE" w:rsidRPr="003E68FE" w:rsidSect="004134BE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43409"/>
    <w:multiLevelType w:val="multilevel"/>
    <w:tmpl w:val="EABE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01FC5"/>
    <w:multiLevelType w:val="multilevel"/>
    <w:tmpl w:val="DB9C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319C9"/>
    <w:multiLevelType w:val="multilevel"/>
    <w:tmpl w:val="D5A82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17B03"/>
    <w:multiLevelType w:val="multilevel"/>
    <w:tmpl w:val="DFE8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57712"/>
    <w:multiLevelType w:val="multilevel"/>
    <w:tmpl w:val="64162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08041D"/>
    <w:multiLevelType w:val="multilevel"/>
    <w:tmpl w:val="01CE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A63885"/>
    <w:multiLevelType w:val="multilevel"/>
    <w:tmpl w:val="F590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C1447E"/>
    <w:multiLevelType w:val="multilevel"/>
    <w:tmpl w:val="B7A2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824988"/>
    <w:multiLevelType w:val="multilevel"/>
    <w:tmpl w:val="4300A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255AC8"/>
    <w:multiLevelType w:val="multilevel"/>
    <w:tmpl w:val="E118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9282183">
    <w:abstractNumId w:val="4"/>
  </w:num>
  <w:num w:numId="2" w16cid:durableId="119155506">
    <w:abstractNumId w:val="2"/>
  </w:num>
  <w:num w:numId="3" w16cid:durableId="1112475807">
    <w:abstractNumId w:val="7"/>
  </w:num>
  <w:num w:numId="4" w16cid:durableId="1018845566">
    <w:abstractNumId w:val="8"/>
  </w:num>
  <w:num w:numId="5" w16cid:durableId="636954040">
    <w:abstractNumId w:val="9"/>
  </w:num>
  <w:num w:numId="6" w16cid:durableId="1056900102">
    <w:abstractNumId w:val="6"/>
  </w:num>
  <w:num w:numId="7" w16cid:durableId="2087073899">
    <w:abstractNumId w:val="0"/>
  </w:num>
  <w:num w:numId="8" w16cid:durableId="2006199712">
    <w:abstractNumId w:val="3"/>
  </w:num>
  <w:num w:numId="9" w16cid:durableId="1694531118">
    <w:abstractNumId w:val="1"/>
  </w:num>
  <w:num w:numId="10" w16cid:durableId="6162524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8F6"/>
    <w:rsid w:val="000A52A8"/>
    <w:rsid w:val="00294E2E"/>
    <w:rsid w:val="003E68FE"/>
    <w:rsid w:val="004134BE"/>
    <w:rsid w:val="006A0D78"/>
    <w:rsid w:val="009316EF"/>
    <w:rsid w:val="009B08F6"/>
    <w:rsid w:val="00FD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088060"/>
  <w15:chartTrackingRefBased/>
  <w15:docId w15:val="{7C9ADEFE-F295-4919-B588-0AC15AF3D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D78"/>
  </w:style>
  <w:style w:type="paragraph" w:styleId="Ttulo1">
    <w:name w:val="heading 1"/>
    <w:basedOn w:val="Normal"/>
    <w:next w:val="Normal"/>
    <w:link w:val="Ttulo1Car"/>
    <w:uiPriority w:val="9"/>
    <w:qFormat/>
    <w:rsid w:val="006A0D7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76E8B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0D7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98E98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0D7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C6194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0D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8793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0D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0D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3416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0D7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A495D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0D7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5F65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0D7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134163" w:themeColor="accent6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0D78"/>
    <w:rPr>
      <w:rFonts w:asciiTheme="majorHAnsi" w:eastAsiaTheme="majorEastAsia" w:hAnsiTheme="majorHAnsi" w:cstheme="majorBidi"/>
      <w:color w:val="276E8B" w:themeColor="accent1" w:themeShade="BF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A0D78"/>
    <w:rPr>
      <w:rFonts w:asciiTheme="majorHAnsi" w:eastAsiaTheme="majorEastAsia" w:hAnsiTheme="majorHAnsi" w:cstheme="majorBidi"/>
      <w:color w:val="398E98" w:themeColor="accent2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0D78"/>
    <w:rPr>
      <w:rFonts w:asciiTheme="majorHAnsi" w:eastAsiaTheme="majorEastAsia" w:hAnsiTheme="majorHAnsi" w:cstheme="majorBidi"/>
      <w:color w:val="1C6194" w:themeColor="accent6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0D78"/>
    <w:rPr>
      <w:rFonts w:asciiTheme="majorHAnsi" w:eastAsiaTheme="majorEastAsia" w:hAnsiTheme="majorHAnsi" w:cstheme="majorBidi"/>
      <w:i/>
      <w:iCs/>
      <w:color w:val="578793" w:themeColor="accent5" w:themeShade="BF"/>
      <w:sz w:val="25"/>
      <w:szCs w:val="25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0D78"/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0D78"/>
    <w:rPr>
      <w:rFonts w:asciiTheme="majorHAnsi" w:eastAsiaTheme="majorEastAsia" w:hAnsiTheme="majorHAnsi" w:cstheme="majorBidi"/>
      <w:i/>
      <w:iCs/>
      <w:color w:val="13416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0D78"/>
    <w:rPr>
      <w:rFonts w:asciiTheme="majorHAnsi" w:eastAsiaTheme="majorEastAsia" w:hAnsiTheme="majorHAnsi" w:cstheme="majorBidi"/>
      <w:color w:val="1A495D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0D78"/>
    <w:rPr>
      <w:rFonts w:asciiTheme="majorHAnsi" w:eastAsiaTheme="majorEastAsia" w:hAnsiTheme="majorHAnsi" w:cstheme="majorBidi"/>
      <w:color w:val="265F65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0D78"/>
    <w:rPr>
      <w:rFonts w:asciiTheme="majorHAnsi" w:eastAsiaTheme="majorEastAsia" w:hAnsiTheme="majorHAnsi" w:cstheme="majorBidi"/>
      <w:color w:val="134163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A0D78"/>
    <w:pPr>
      <w:spacing w:line="240" w:lineRule="auto"/>
    </w:pPr>
    <w:rPr>
      <w:b/>
      <w:bCs/>
      <w:smallCaps/>
      <w:color w:val="3494BA" w:themeColor="accent1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6A0D7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76E8B" w:themeColor="accent1" w:themeShade="BF"/>
      <w:spacing w:val="-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A0D78"/>
    <w:rPr>
      <w:rFonts w:asciiTheme="majorHAnsi" w:eastAsiaTheme="majorEastAsia" w:hAnsiTheme="majorHAnsi" w:cstheme="majorBidi"/>
      <w:color w:val="276E8B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A0D7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6A0D78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6A0D78"/>
    <w:rPr>
      <w:b/>
      <w:bCs/>
    </w:rPr>
  </w:style>
  <w:style w:type="character" w:styleId="nfasis">
    <w:name w:val="Emphasis"/>
    <w:basedOn w:val="Fuentedeprrafopredeter"/>
    <w:uiPriority w:val="20"/>
    <w:qFormat/>
    <w:rsid w:val="006A0D78"/>
    <w:rPr>
      <w:i/>
      <w:iCs/>
    </w:rPr>
  </w:style>
  <w:style w:type="paragraph" w:styleId="Sinespaciado">
    <w:name w:val="No Spacing"/>
    <w:uiPriority w:val="1"/>
    <w:qFormat/>
    <w:rsid w:val="006A0D7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A0D78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6A0D78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0D78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3494BA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0D78"/>
    <w:rPr>
      <w:rFonts w:asciiTheme="majorHAnsi" w:eastAsiaTheme="majorEastAsia" w:hAnsiTheme="majorHAnsi" w:cstheme="majorBidi"/>
      <w:color w:val="3494BA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6A0D78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6A0D78"/>
    <w:rPr>
      <w:b w:val="0"/>
      <w:bCs w:val="0"/>
      <w:i/>
      <w:iCs/>
      <w:color w:val="3494BA" w:themeColor="accent1"/>
    </w:rPr>
  </w:style>
  <w:style w:type="character" w:styleId="Referenciasutil">
    <w:name w:val="Subtle Reference"/>
    <w:basedOn w:val="Fuentedeprrafopredeter"/>
    <w:uiPriority w:val="31"/>
    <w:qFormat/>
    <w:rsid w:val="006A0D78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6A0D78"/>
    <w:rPr>
      <w:b/>
      <w:bCs/>
      <w:smallCaps/>
      <w:color w:val="3494BA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6A0D78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A0D78"/>
    <w:pPr>
      <w:outlineLvl w:val="9"/>
    </w:pPr>
  </w:style>
  <w:style w:type="table" w:styleId="Tablaconcuadrcula">
    <w:name w:val="Table Grid"/>
    <w:basedOn w:val="Tablanormal"/>
    <w:uiPriority w:val="39"/>
    <w:rsid w:val="009316EF"/>
    <w:pPr>
      <w:spacing w:after="0" w:line="240" w:lineRule="auto"/>
    </w:pPr>
    <w:rPr>
      <w:rFonts w:ascii="Times New Roman" w:hAnsi="Times New Roman"/>
    </w:rPr>
    <w:tblPr>
      <w:tblBorders>
        <w:bottom w:val="single" w:sz="4" w:space="0" w:color="auto"/>
      </w:tblBorders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  <w:tblStylePr w:type="firstCol">
      <w:pPr>
        <w:jc w:val="left"/>
      </w:pPr>
      <w:tblPr/>
      <w:tcPr>
        <w:vAlign w:val="center"/>
      </w:tcPr>
    </w:tblStylePr>
  </w:style>
  <w:style w:type="table" w:customStyle="1" w:styleId="apaa7">
    <w:name w:val="apaa7"/>
    <w:basedOn w:val="Tablanormal"/>
    <w:uiPriority w:val="99"/>
    <w:rsid w:val="009316EF"/>
    <w:pPr>
      <w:spacing w:after="0" w:line="240" w:lineRule="auto"/>
    </w:pPr>
    <w:tblPr>
      <w:tblBorders>
        <w:bottom w:val="single" w:sz="4" w:space="0" w:color="auto"/>
      </w:tblBorders>
    </w:tblPr>
    <w:tblStylePr w:type="firstRow">
      <w:rPr>
        <w:rFonts w:ascii="Times New Roman" w:hAnsi="Times New Roman"/>
        <w:sz w:val="22"/>
      </w:rPr>
      <w:tblPr/>
      <w:tcPr>
        <w:tcBorders>
          <w:top w:val="single" w:sz="4" w:space="0" w:color="auto"/>
          <w:bottom w:val="single" w:sz="4" w:space="0" w:color="auto"/>
        </w:tcBorders>
      </w:tcPr>
    </w:tblStylePr>
    <w:tblStylePr w:type="firstCol">
      <w:pPr>
        <w:jc w:val="left"/>
      </w:pPr>
      <w:tblPr/>
      <w:tcPr>
        <w:vAlign w:val="center"/>
      </w:tcPr>
    </w:tblStylePr>
  </w:style>
  <w:style w:type="paragraph" w:customStyle="1" w:styleId="Apa77">
    <w:name w:val="Apa77"/>
    <w:basedOn w:val="Normal"/>
    <w:link w:val="Apa77Car"/>
    <w:qFormat/>
    <w:rsid w:val="004134BE"/>
    <w:pPr>
      <w:spacing w:line="480" w:lineRule="auto"/>
      <w:ind w:firstLine="720"/>
    </w:pPr>
    <w:rPr>
      <w:rFonts w:ascii="Times New Roman" w:hAnsi="Times New Roman"/>
    </w:rPr>
  </w:style>
  <w:style w:type="character" w:customStyle="1" w:styleId="Apa77Car">
    <w:name w:val="Apa77 Car"/>
    <w:basedOn w:val="Fuentedeprrafopredeter"/>
    <w:link w:val="Apa77"/>
    <w:rsid w:val="004134BE"/>
    <w:rPr>
      <w:rFonts w:ascii="Times New Roman" w:hAnsi="Times New Roman"/>
    </w:rPr>
  </w:style>
  <w:style w:type="table" w:styleId="Tablaconcuadrculaclara">
    <w:name w:val="Grid Table Light"/>
    <w:basedOn w:val="Tablanormal"/>
    <w:uiPriority w:val="40"/>
    <w:rsid w:val="004134B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-nfasis1">
    <w:name w:val="Grid Table 1 Light Accent 1"/>
    <w:basedOn w:val="Tablanormal"/>
    <w:uiPriority w:val="46"/>
    <w:rsid w:val="00FD6E44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739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 portillo</dc:creator>
  <cp:keywords/>
  <dc:description/>
  <cp:lastModifiedBy>steff portillo</cp:lastModifiedBy>
  <cp:revision>1</cp:revision>
  <dcterms:created xsi:type="dcterms:W3CDTF">2024-10-21T14:13:00Z</dcterms:created>
  <dcterms:modified xsi:type="dcterms:W3CDTF">2024-10-21T15:10:00Z</dcterms:modified>
</cp:coreProperties>
</file>