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vanish/>
          <w:sz w:val="24"/>
          <w:szCs w:val="24"/>
          <w:lang w:eastAsia="zh-CN"/>
        </w:rPr>
      </w:pPr>
      <w:r>
        <w:rPr>
          <w:rFonts w:hint="eastAsia" w:eastAsia="宋体"/>
          <w:vanish/>
          <w:sz w:val="24"/>
          <w:szCs w:val="24"/>
          <w:lang w:eastAsia="zh-CN"/>
        </w:rPr>
        <w:br w:type="page"/>
      </w:r>
    </w:p>
    <w:p>
      <w:pPr>
        <w:rPr>
          <w:rFonts w:hint="eastAsia" w:eastAsia="宋体"/>
          <w:vanish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="宋体"/>
          <w:vanish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="宋体"/>
          <w:vanish/>
          <w:sz w:val="24"/>
          <w:szCs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rPr>
          <w:rFonts w:hint="eastAsia" w:eastAsia="宋体"/>
          <w:vanish/>
          <w:sz w:val="24"/>
          <w:szCs w:val="24"/>
          <w:lang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5196"/>
      <w:r>
        <w:rPr>
          <w:rFonts w:hint="eastAsia"/>
          <w:sz w:val="52"/>
          <w:szCs w:val="52"/>
          <w:lang w:val="en-US" w:eastAsia="zh-CN"/>
        </w:rPr>
        <w:t>档案管理系统（手机网页端）</w:t>
      </w:r>
      <w:bookmarkEnd w:id="0"/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964"/>
        <w:gridCol w:w="2033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67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版本</w:t>
            </w:r>
          </w:p>
        </w:tc>
        <w:tc>
          <w:tcPr>
            <w:tcW w:w="196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03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667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spacing w:line="360" w:lineRule="auto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033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1964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033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667" w:type="dxa"/>
          </w:tcPr>
          <w:p>
            <w:pPr>
              <w:spacing w:line="360" w:lineRule="auto"/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id w:val="14746310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instrText xml:space="preserve"> HYPERLINK \l _Toc5196 </w:instrText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档案管理系统（手机网页端）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_Toc5196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instrText xml:space="preserve"> HYPERLINK \l _Toc13493 </w:instrText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一、 产品概要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_Toc13493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_Toc25074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（一） 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_Toc25074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_Toc450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（二） 术语和专业解释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_Toc450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_Toc29417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（三） 参考文献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_Toc29417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instrText xml:space="preserve"> HYPERLINK \l _Toc6172 </w:instrText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二、 业务流程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_Toc6172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_Toc16187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（一） 业务背景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_Toc16187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_Toc17321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（二） 需求范围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_Toc17321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_Toc20270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（三） 需求清单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_Toc20270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_Toc4009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（四） 需求结构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_Toc4009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instrText xml:space="preserve"> HYPERLINK \l _Toc23753 </w:instrText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三、 功能说明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_Toc23753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_Toc25252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（一） 功能性需求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_Toc25252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 HYPERLINK \l _Toc32400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（二） 非功能性需求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_Toc32400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instrText xml:space="preserve"> HYPERLINK \l _Toc708 </w:instrText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四、附录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_Toc708 \h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spacing w:line="360" w:lineRule="auto"/>
            <w:rPr>
              <w:rFonts w:hint="default"/>
              <w:sz w:val="52"/>
              <w:szCs w:val="52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b/>
              <w:sz w:val="24"/>
              <w:szCs w:val="24"/>
              <w:lang w:val="en-US" w:eastAsia="zh-CN"/>
            </w:rPr>
            <w:fldChar w:fldCharType="end"/>
          </w:r>
          <w:bookmarkStart w:id="14" w:name="_GoBack"/>
          <w:bookmarkEnd w:id="14"/>
        </w:p>
      </w:sdtContent>
    </w:sdt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1" w:name="_Toc13493"/>
      <w:r>
        <w:rPr>
          <w:rFonts w:hint="eastAsia"/>
          <w:lang w:val="en-US" w:eastAsia="zh-CN"/>
        </w:rPr>
        <w:t>产品概要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" w:name="_Toc25074"/>
      <w:r>
        <w:rPr>
          <w:rFonts w:hint="eastAsia"/>
          <w:lang w:val="en-US" w:eastAsia="zh-CN"/>
        </w:rPr>
        <w:t>编写目的</w:t>
      </w:r>
      <w:bookmarkEnd w:id="2"/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梳理具体需求，方便开发进展。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" w:name="_Toc450"/>
      <w:r>
        <w:rPr>
          <w:rFonts w:hint="eastAsia"/>
          <w:lang w:val="en-US" w:eastAsia="zh-CN"/>
        </w:rPr>
        <w:t>术语和专业解释</w:t>
      </w:r>
      <w:bookmarkEnd w:id="3"/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文件：档案组成的元素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案卷：多个文件的集合,相当于数组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游离文件：没有在任何一个案卷中的文件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4" w:name="_Toc29417"/>
      <w:r>
        <w:rPr>
          <w:rFonts w:hint="eastAsia"/>
          <w:lang w:val="en-US" w:eastAsia="zh-CN"/>
        </w:rPr>
        <w:t>参考文献</w:t>
      </w:r>
      <w:bookmarkEnd w:id="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bookmarkStart w:id="5" w:name="_Toc6172"/>
      <w:r>
        <w:rPr>
          <w:rFonts w:hint="eastAsia"/>
          <w:lang w:val="en-US" w:eastAsia="zh-CN"/>
        </w:rPr>
        <w:t>业务流程</w:t>
      </w:r>
      <w:bookmarkEnd w:id="5"/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6" w:name="_Toc16187"/>
      <w:r>
        <w:rPr>
          <w:rFonts w:hint="eastAsia"/>
          <w:lang w:val="en-US" w:eastAsia="zh-CN"/>
        </w:rPr>
        <w:t>业务背景</w:t>
      </w:r>
      <w:bookmarkEnd w:id="6"/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本系统为学校档案管理系统移动端网页平台，主要为用户提供上传档案素材，浏览本人档案，借阅档案等功能。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主要管理的业务实体即档案。主要分为案卷和文件，文件包括实体文件（图片、视频、音频等）和附属信息，案卷则是文件的集合，类似于常见操作系统中的文件夹。不同的是，一个案卷可以包括多个文件，一个文件也可以属于多个案卷。同时，文件也可以不属于任何案卷（此时的文件称为游离文件）。档案主要有著录，预归档，入库状态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7" w:name="_Toc17321"/>
      <w:r>
        <w:rPr>
          <w:rFonts w:hint="eastAsia"/>
          <w:lang w:val="en-US" w:eastAsia="zh-CN"/>
        </w:rPr>
        <w:t>需求范围</w:t>
      </w:r>
      <w:bookmarkEnd w:id="7"/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系统主要分为三个模块，著录，借阅申请，我的档案</w:t>
      </w:r>
      <w:r>
        <w:rPr>
          <w:rFonts w:hint="eastAsia"/>
          <w:sz w:val="24"/>
          <w:szCs w:val="24"/>
          <w:lang w:val="en-US" w:eastAsia="zh-CN"/>
        </w:rPr>
        <w:t>，校史征集。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8" w:name="_Toc20270"/>
      <w:r>
        <w:rPr>
          <w:rFonts w:hint="eastAsia"/>
          <w:lang w:val="en-US" w:eastAsia="zh-CN"/>
        </w:rPr>
        <w:t>需求清单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6"/>
        <w:gridCol w:w="2100"/>
        <w:gridCol w:w="33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3365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用户通过账号，密码登录，进入系统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著录及其列表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用户可以上传文件到系统，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进行著录并完善对应信息，列表提供档案的预览图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档案详情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提供查阅案卷、文件的详情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借阅申请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用户提交申请查阅档案的操作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我的档案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查看自己著录的档案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校史征集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回收站</w:t>
            </w:r>
          </w:p>
        </w:tc>
        <w:tc>
          <w:tcPr>
            <w:tcW w:w="3365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9" w:name="_Toc4009"/>
      <w:r>
        <w:rPr>
          <w:rFonts w:hint="eastAsia"/>
          <w:lang w:val="en-US" w:eastAsia="zh-CN"/>
        </w:rPr>
        <w:t>需求结构</w:t>
      </w:r>
      <w:bookmarkEnd w:id="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41846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10" w:name="_Toc23753"/>
      <w:r>
        <w:rPr>
          <w:rFonts w:hint="eastAsia"/>
          <w:lang w:val="en-US" w:eastAsia="zh-CN"/>
        </w:rPr>
        <w:t>功能说明</w:t>
      </w:r>
      <w:bookmarkEnd w:id="10"/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1" w:name="_Toc25252"/>
      <w:r>
        <w:rPr>
          <w:rFonts w:hint="eastAsia"/>
          <w:lang w:val="en-US" w:eastAsia="zh-CN"/>
        </w:rPr>
        <w:t>功能性需求</w:t>
      </w:r>
      <w:bookmarkEnd w:id="11"/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需求描述：</w:t>
      </w:r>
      <w:r>
        <w:rPr>
          <w:rFonts w:hint="default"/>
          <w:sz w:val="24"/>
          <w:szCs w:val="24"/>
          <w:lang w:val="en-US" w:eastAsia="zh-CN"/>
        </w:rPr>
        <w:t>用户通过账号，密码登录，进入系统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调用后端/api/user/login接口，获得登录状态，登录成功后将返回用户信息与鉴权的秘钥token。之后请求系统其他接口时都需要在请求头的Authorization字段加上token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页面需求说明：参照附录的原型文档。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著录及其列表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</w:t>
      </w:r>
    </w:p>
    <w:p>
      <w:pPr>
        <w:numPr>
          <w:numId w:val="0"/>
        </w:numPr>
        <w:spacing w:line="360" w:lineRule="auto"/>
        <w:ind w:left="840" w:leftChars="0"/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Open Sans"/>
          <w:b/>
          <w:bCs/>
          <w:color w:val="333333"/>
          <w:kern w:val="0"/>
          <w:sz w:val="24"/>
          <w:szCs w:val="24"/>
          <w:lang w:val="en-US" w:eastAsia="zh-CN"/>
        </w:rPr>
        <w:t>著录</w:t>
      </w: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val="en-US" w:eastAsia="zh-CN"/>
        </w:rPr>
        <w:t>：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用户可以上传文件到系统，上传完立刻变成</w:t>
      </w:r>
      <w:r>
        <w:rPr>
          <w:rFonts w:ascii="宋体" w:hAnsi="宋体" w:eastAsia="宋体" w:cs="Open Sans"/>
          <w:color w:val="FF0000"/>
          <w:kern w:val="0"/>
          <w:sz w:val="24"/>
          <w:szCs w:val="24"/>
        </w:rPr>
        <w:t>临时档案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，然后对临时档案进行编辑，即为文件添加题名，全宗号，类别号等文件附属信息，和人物时间地点等常用元数据信息。 临时档案的信息可以多次修改和保存。</w:t>
      </w:r>
      <w:r>
        <w:rPr>
          <w:rFonts w:ascii="宋体" w:hAnsi="宋体" w:eastAsia="宋体" w:cs="Open Sans"/>
          <w:color w:val="FF0000"/>
          <w:kern w:val="0"/>
          <w:sz w:val="24"/>
          <w:szCs w:val="24"/>
        </w:rPr>
        <w:t>临时档案可以转变为正式档案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，如果要将临时档案变成</w:t>
      </w:r>
      <w:r>
        <w:rPr>
          <w:rFonts w:ascii="宋体" w:hAnsi="宋体" w:eastAsia="宋体" w:cs="Open Sans"/>
          <w:color w:val="FF0000"/>
          <w:kern w:val="0"/>
          <w:sz w:val="24"/>
          <w:szCs w:val="24"/>
        </w:rPr>
        <w:t>案卷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的话，也需要先转成正式档案，然后生成一个空案卷，再把文件跟案卷进行组卷</w:t>
      </w: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left="840" w:leftChars="0"/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Open Sans"/>
          <w:b/>
          <w:bCs/>
          <w:color w:val="333333"/>
          <w:kern w:val="0"/>
          <w:sz w:val="24"/>
          <w:szCs w:val="24"/>
          <w:lang w:val="en-US" w:eastAsia="zh-CN"/>
        </w:rPr>
        <w:t>著录列表</w:t>
      </w: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val="en-US" w:eastAsia="zh-CN"/>
        </w:rPr>
        <w:t>：该模块显示档案的预览图，题名，部门，分类，保密级别，密级，人物，著录人，关键词，著录时间，点击后可以进入查看档案。该模块默认只展示案卷与游离的文件。档案为游离的文件时，预览图为文件的实体文件的图片（照片缩略图、视频第一帧图、word等特殊类型文件的图标）；为案卷时，预览图为案卷的统一图标。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列表有三种展示模式，展示全部，展示文件，展示案卷</w:t>
      </w: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1"/>
          <w:numId w:val="6"/>
        </w:numPr>
        <w:spacing w:before="156" w:beforeLines="50" w:after="156" w:afterLines="50" w:line="0" w:lineRule="atLeast"/>
        <w:ind w:left="1410" w:leftChars="0" w:firstLineChars="0"/>
        <w:jc w:val="left"/>
        <w:rPr>
          <w:rFonts w:ascii="宋体" w:hAnsi="宋体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展示全部：案卷与游离文件，默认为这个状态</w:t>
      </w:r>
    </w:p>
    <w:p>
      <w:pPr>
        <w:widowControl/>
        <w:numPr>
          <w:ilvl w:val="1"/>
          <w:numId w:val="6"/>
        </w:numPr>
        <w:spacing w:before="156" w:beforeLines="50" w:after="156" w:afterLines="50" w:line="0" w:lineRule="atLeast"/>
        <w:ind w:left="1410" w:leftChars="0" w:firstLineChars="0"/>
        <w:jc w:val="left"/>
        <w:rPr>
          <w:rFonts w:ascii="宋体" w:hAnsi="宋体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展示文件：展示所有的文件</w:t>
      </w:r>
    </w:p>
    <w:p>
      <w:pPr>
        <w:widowControl/>
        <w:numPr>
          <w:ilvl w:val="1"/>
          <w:numId w:val="6"/>
        </w:numPr>
        <w:spacing w:before="156" w:beforeLines="50" w:after="156" w:afterLines="50" w:line="0" w:lineRule="atLeast"/>
        <w:ind w:left="1410" w:leftChars="0" w:firstLineChars="0"/>
        <w:jc w:val="left"/>
        <w:rPr>
          <w:rFonts w:ascii="宋体" w:hAnsi="宋体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展示案卷：所有的案卷</w:t>
      </w:r>
    </w:p>
    <w:p>
      <w:pPr>
        <w:widowControl/>
        <w:spacing w:before="156" w:beforeLines="50" w:after="156" w:afterLines="50" w:line="0" w:lineRule="atLeast"/>
        <w:ind w:left="720"/>
        <w:jc w:val="left"/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列表需要分页显示，列表顶部需要有对题名的搜索框，以及切换展示模式的下拉框</w:t>
      </w: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left="840" w:leftChars="0"/>
        <w:rPr>
          <w:rFonts w:hint="default" w:ascii="宋体" w:hAnsi="宋体" w:eastAsia="宋体" w:cs="Open Sans"/>
          <w:color w:val="333333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="840" w:leftChars="0"/>
        <w:jc w:val="center"/>
        <w:rPr>
          <w:rFonts w:hint="eastAsia" w:ascii="宋体" w:hAnsi="宋体" w:eastAsia="宋体" w:cs="Open Sans"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9570" cy="2280285"/>
            <wp:effectExtent l="0" t="0" r="1143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</w:t>
      </w:r>
    </w:p>
    <w:p>
      <w:pPr>
        <w:numPr>
          <w:ilvl w:val="2"/>
          <w:numId w:val="5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著录：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8"/>
        <w:gridCol w:w="3133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上传文件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/api/file/upload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上传实体文件后将获得实体文件id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新增临时档案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/api/archive/addTemporaryArchive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使用上传文件获取到的id组成临时档案，同时该接口也支持对临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时档案进行信息的填写和修改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删除临时档案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/api/archive/deleteTemporaryArchive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查询临时档案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/api/file/selectTemporaryArchive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获取当前用户上传过的所有临时档案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临时档案转正式档案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/api/archive/changeTemporaryArchiveToNormalArchive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著录信息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/api/archive/addArchive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可以选中一个或多个已上传文件进行著录，著录多个文件，点击提交按钮后可以自动将这些文件组成案卷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新增案卷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/api/dossier/insertDossier</w:t>
            </w: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人脸识别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调用后台接口，识别图片中的人脸，只有图片文件支持这个功能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1908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多媒体文件信息抓取</w:t>
            </w:r>
          </w:p>
        </w:tc>
        <w:tc>
          <w:tcPr>
            <w:tcW w:w="3133" w:type="dxa"/>
          </w:tcPr>
          <w:p>
            <w:pPr>
              <w:numPr>
                <w:numId w:val="0"/>
              </w:numPr>
              <w:spacing w:line="360" w:lineRule="auto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481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调用后台接口，获取多媒体文件的相关信息（比如像素，时间，地点等）</w:t>
            </w:r>
          </w:p>
        </w:tc>
      </w:tr>
    </w:tbl>
    <w:p>
      <w:pPr>
        <w:numPr>
          <w:ilvl w:val="2"/>
          <w:numId w:val="5"/>
        </w:numPr>
        <w:spacing w:line="360" w:lineRule="auto"/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著录列表：调用后端接口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/api/dossier/getPartDossierList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页面需求说明：参照附录的原型文档。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档案详情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需求描述：支持查看两种类型的档案：案卷详情和文件详情。归属在著录列表的下一级。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o案卷：查看案卷详情时候可以查看案卷下文件列表，展示的表头同著录列表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o文件：查看文件详情时可以复用著录文件的组件，主要查看实体文件与文件信息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参考附录原型文档。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借阅申请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用户可以提交档案借阅申请表，申请表包括申请原因和申请内容。可以对申请表提交、暂存等操作。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提交或暂存后跳转到借阅申请列表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o借阅申请包含5种状态：申请、待审批、同意、完成、延期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暂存申请后为申请状态，提交申请后为提交状态，同意、完成、延期都为审批后的状态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只有申请状态下才可以编辑和删除，只有待审批状态才能被撤回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o该模块展示申请编号，申请原因，申请内容，部门，申请时间，期限，处理状态，点击后可以进入查看申请表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7400" cy="1390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377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获取我的利用申请列表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/api/use/getMyUseApplyList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根据申请表id获取我的利用申请结果内容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/api/use/getMyUseResultByUseApplyId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查看申请结果详情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/api/use/getUseReviewDetail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申请利用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/api/use/useApply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提交申请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/api/use/submitUseApply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  <w:t>编辑申请表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  <w:t>/api/use/updateUseApply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撤回利用申请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/api/use/recallUseApply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删除利用申请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/api/use/deleteUseApply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完成状态的档案申请延期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Open Sans"/>
                <w:color w:val="333333"/>
                <w:kern w:val="0"/>
                <w:sz w:val="24"/>
                <w:szCs w:val="24"/>
              </w:rPr>
              <w:t>/api/use/useApplyDelay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页面需求说明：参考附录原型文档。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我的档案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需求描述:查看由自己著录或者归档后已入库的档案，档案状态为入库，展示内容同著录列表。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数据流转说明：暂无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页面需求说明：参考附录原型文档。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校史征集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需求描述:提供给游客访问，与著录文件的过程差不多，不需要登录但要放到登录页面上，无临时文件这一概念。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操作逻辑：点击按钮——提示上传文件页面——上传、填写、提交——返回上传文件页面；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377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4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获取资料类型</w:t>
            </w:r>
          </w:p>
        </w:tc>
        <w:tc>
          <w:tcPr>
            <w:tcW w:w="37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/api/type/getCollectedFileType</w:t>
            </w:r>
          </w:p>
        </w:tc>
        <w:tc>
          <w:tcPr>
            <w:tcW w:w="227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页面需求说明：参考附录原型文档。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回收站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需求描述：暂时存储被删除的档案的中转站。</w:t>
      </w:r>
    </w:p>
    <w:p>
      <w:pPr>
        <w:numPr>
          <w:numId w:val="0"/>
        </w:numPr>
        <w:spacing w:line="360" w:lineRule="auto"/>
        <w:ind w:left="420" w:leftChars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5990" cy="1228725"/>
            <wp:effectExtent l="0" t="0" r="381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数据流转说明：暂无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页面需求说明：参考附录原型文档。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优先级：p0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2" w:name="_Toc32400"/>
      <w:r>
        <w:rPr>
          <w:rFonts w:hint="eastAsia"/>
          <w:lang w:val="en-US" w:eastAsia="zh-CN"/>
        </w:rPr>
        <w:t>非功能性需求</w:t>
      </w:r>
      <w:bookmarkEnd w:id="12"/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页面设计需求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参照pc端风格进行设计，简约即可。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3" w:name="_Toc708"/>
      <w:r>
        <w:rPr>
          <w:rFonts w:hint="eastAsia"/>
          <w:lang w:val="en-US" w:eastAsia="zh-CN"/>
        </w:rPr>
        <w:t>四、附录</w:t>
      </w:r>
      <w:bookmarkEnd w:id="13"/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"https://modao.cc/app/5493e3b030917e510b5a0fb8e5c2d6636441f6ae"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t>https://modao.cc/app/5493e3b030917e510b5a0fb8e5c2d6636441f6ae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"https://modao.cc/app/8f506a27bd895128c5c068a8a72ad61d95f394d4"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t>https://modao.cc/app/8f506a27bd895128c5c068a8a72ad61d95f394d4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rPr>
          <w:rFonts w:hint="default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兰米大黑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5952A"/>
    <w:multiLevelType w:val="singleLevel"/>
    <w:tmpl w:val="B97595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B9D191"/>
    <w:multiLevelType w:val="singleLevel"/>
    <w:tmpl w:val="D0B9D191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2">
    <w:nsid w:val="EC058161"/>
    <w:multiLevelType w:val="singleLevel"/>
    <w:tmpl w:val="EC058161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3">
    <w:nsid w:val="04D53CBD"/>
    <w:multiLevelType w:val="singleLevel"/>
    <w:tmpl w:val="04D53C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8A98A6E"/>
    <w:multiLevelType w:val="multilevel"/>
    <w:tmpl w:val="38A98A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D89470C"/>
    <w:multiLevelType w:val="multilevel"/>
    <w:tmpl w:val="4D894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83CC42"/>
    <w:multiLevelType w:val="singleLevel"/>
    <w:tmpl w:val="6383CC42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20F7B7E"/>
    <w:rsid w:val="09B74D83"/>
    <w:rsid w:val="1B0B48DE"/>
    <w:rsid w:val="1F97187F"/>
    <w:rsid w:val="22A74B7E"/>
    <w:rsid w:val="280F3776"/>
    <w:rsid w:val="2ADC1BE8"/>
    <w:rsid w:val="2FEE6EA1"/>
    <w:rsid w:val="32D063A1"/>
    <w:rsid w:val="34491C1C"/>
    <w:rsid w:val="3DA81802"/>
    <w:rsid w:val="3DD1570D"/>
    <w:rsid w:val="43BE5141"/>
    <w:rsid w:val="464C1EC6"/>
    <w:rsid w:val="488A0B30"/>
    <w:rsid w:val="530B7B78"/>
    <w:rsid w:val="55700A78"/>
    <w:rsid w:val="57C974C9"/>
    <w:rsid w:val="57D92541"/>
    <w:rsid w:val="5AAF5D14"/>
    <w:rsid w:val="60492878"/>
    <w:rsid w:val="60F8107F"/>
    <w:rsid w:val="61B41449"/>
    <w:rsid w:val="65877249"/>
    <w:rsid w:val="6A2E78BF"/>
    <w:rsid w:val="75591C77"/>
    <w:rsid w:val="795555E9"/>
    <w:rsid w:val="7AF4480E"/>
    <w:rsid w:val="7D9D6DDE"/>
    <w:rsid w:val="7FF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rPr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2020-08-11T08:45:00Z</dcterms:created>
  <dc:creator>admin</dc:creator>
  <cp:lastModifiedBy>Euphoria.</cp:lastModifiedBy>
  <dcterms:modified xsi:type="dcterms:W3CDTF">2023-08-29T15:59:07Z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20EFD9DC475C440F8090917120D7EB6F_12</vt:lpwstr>
  </property>
</Properties>
</file>