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Forward Deployed Engineer | Enterprise AI Deployment | 0 to 1 Under Ambiguity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Forward deployed engineer who embeds with customers and ships production software against ambiguous requirements. Built a company 0 to 1 in twelve months — 12 Python packages published across 100+ releases, 6 production services, 307 domain knowledge graphs and an open, re-runnable benchmark — making deliberate standardization-versus-customization decisions rather than defaulting to bespoke work: a reusable typed-graph substrate replaced per-customer retrieval builds. Delivered production AI inside Fortune 500 environments — UnitedHealthcare, Best Buy, Cargill — owning outcomes from first workshop through deployed system and writing the integration code rather than handing off a diagram. Codifies successful patterns into reusable primitives: packages, protocol servers, and 84 authored agent skills, so each engagement starts further along than the last. Writes and reviews production-grade Python; ships, meters, secures and monitors live services. Debugs production incidents in unfamiliar systems under time pressure. Eight years as a graduate professor teaching working technologists to deploy and adopt AI inside their own organizations. Publishes field findings honestly, including a public correction to his own benchmark. Patent pending.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enterprise AI strategy definition; build-versus-buy evaluation across cost, performance, scalability and risk; reference architectures, design patterns and best practice documentation; internal AI fluency, talent development and enablement programs; emerging technology monitoring and competitive implications; regulatory, security and data privacy compliance; trade-off analysis across cost, performance, scalability and risk.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direction; inference cost modelling and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Act as technical lead on ambiguous, high-stakes deployments, owning problems end-to-end from definition to resolution and owning both the technical and the business outcome.</w:t>
      </w:r>
    </w:p>
    <w:p>
      <w:pPr>
        <w:spacing w:after="30"/>
        <w:ind w:left="259" w:hanging="259"/>
      </w:pPr>
      <w:r>
        <w:rPr>
          <w:sz w:val="20"/>
        </w:rPr>
        <w:t>- 0 to 1 under ambiguity: built the entire product surface from nothing — retrieval architecture, 6 production Model Context Protocol (MCP) services, 12 published packages, provenance and payment layers, and the benchmark measuring whether any of it worked.</w:t>
      </w:r>
    </w:p>
    <w:p>
      <w:pPr>
        <w:spacing w:after="30"/>
        <w:ind w:left="259" w:hanging="259"/>
      </w:pPr>
      <w:r>
        <w:rPr>
          <w:sz w:val="20"/>
        </w:rPr>
        <w:t>- Made the standardization-versus-customization call explicitly: chose a portable typed-graph substrate reusable across 307 domains over bespoke per-customer retrieval, then measured the trade-off openly against RAG and Microsoft GraphRAG across 44 domains and 7,758 queries.</w:t>
      </w:r>
    </w:p>
    <w:p>
      <w:pPr>
        <w:spacing w:after="30"/>
        <w:ind w:left="259" w:hanging="259"/>
      </w:pPr>
      <w:r>
        <w:rPr>
          <w:sz w:val="20"/>
        </w:rPr>
        <w:t>- Codified patterns into deployment primitives that create leverage: installable packages, protocol servers consumed unchanged by every major agent framework, reference integrations, and 84 authored, versioned agent skills.</w:t>
      </w:r>
    </w:p>
    <w:p>
      <w:pPr>
        <w:spacing w:after="30"/>
        <w:ind w:left="259" w:hanging="259"/>
      </w:pPr>
      <w:r>
        <w:rPr>
          <w:sz w:val="20"/>
        </w:rPr>
        <w:t>- Write and ship production code on both sides of the stack: Python services plus JavaScript serverless functions — including a JSON-RPC MCP server implemented in JavaScript and a Stripe webhook with signature verification — and the interfaces on top, with interactive graph visualizations hand-built in canvas and SVG rather than pulled from a charting library.</w:t>
      </w:r>
    </w:p>
    <w:p>
      <w:pPr>
        <w:spacing w:after="30"/>
        <w:ind w:left="259" w:hanging="259"/>
      </w:pPr>
      <w:r>
        <w:rPr>
          <w:sz w:val="20"/>
        </w:rPr>
        <w:t>- Debug production incidents in unfamiliar systems under time pressure: diagnosed a transport defect rejecting 100% of external clients while health checks stayed green, a tool-schema mismatch silently breaking every caller behind HTTP 200s, and an authorization bypass caught before it shipped — each found by reading the protocol and the raw data, not the dashboard.</w:t>
      </w:r>
    </w:p>
    <w:p>
      <w:pPr>
        <w:spacing w:after="30"/>
        <w:ind w:left="259" w:hanging="259"/>
      </w:pPr>
      <w:r>
        <w:rPr>
          <w:sz w:val="20"/>
        </w:rPr>
        <w:t>- Player-coach by practice: Principal leading cross-functional Fortune 500 delivery, and eight years teaching mid-career engineers and architects to deploy and adopt AI in their own organizations — the enablement half of forward deployment, not just the build.</w:t>
      </w:r>
    </w:p>
    <w:p>
      <w:pPr>
        <w:spacing w:after="30"/>
        <w:ind w:left="259" w:hanging="259"/>
      </w:pPr>
      <w:r>
        <w:rPr>
          <w:sz w:val="20"/>
        </w:rPr>
        <w:t>- Translate field findings into product and research feedback, including publishing a reconciliation correcting his own cost figures when the original comparison proved flawed. Numbers that cannot be defended are worse than no numbers.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complex, matrixed professional services organizations serving financial services, healthcare and regulated clients — able to influence architecture decisions across business lines without direct authority, and to translate strategic priorities into actionable architecture decisions with measurable business impact. Recognized internally as a technical authority and thought leader on enterprise AI.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