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AI Infrastructure Engineer | Model Context Protocol (MCP) | Agent-to-Agent (A2A) Systems | Knowledge Graphs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AI infrastructure engineer who designs, builds, ships, operates and monetizes production Model Context Protocol (MCP) servers end to end. Author of 12 published Python packages on PyPI and 6 live MCP services running in production, covering the full protocol surface: JSON-RPC initialize handshake, tool schema design and output validation, streamable HTTP and Server-Sent Events (SSE) transport, session management, DNS-rebinding transport security, per-method metering, HTTP 402 payment rails, and MCP-native observability. Also builds on Agent-to-Agent (A2A) protocol, Google Agent Development Kit (ADK), x402 agent payments, and ERC-8004 agent identity. Creator of the Compressed Knowledge Graph (CKG), a typed declared-edge knowledge layer with SHA-256 per-node source provenance, benchmarked against Retrieval-Augmented Generation (RAG) and GraphRAG across 44 domains and 7,758 queries. Patent pending. Adjunct professor of graduate AI systems. 15+ years enterprise architecture across healthcare, retail, supply chain and industrial IoT.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Governance, Risk and Assurance: Enterprise AI governance frameworks and standards; model risk management; model explainability and auditability; bias evaluation and mitigation; Responsible AI policy; production-readiness gates; regulatory, security and data-privacy compliance in regulated environments (HIPAA); AI technical due diligence for vendor, partnership and acquisition assessment; enterprise AI strategy definition; build-versus-buy evaluation across cost, performance, scalability and risk; reference architectures, design patterns and best practice documentation; internal AI fluency, talent development and enablement programs; emerging technology monitoring and competitive implications; regulatory, security and data privacy compliance; trade-off analysis across cost, performance, scalability and risk.</w:t>
      </w:r>
    </w:p>
    <w:p>
      <w:pPr>
        <w:spacing w:after="40" w:before="0"/>
      </w:pPr>
      <w:r>
        <w:rPr>
          <w:b w:val="0"/>
          <w:i w:val="0"/>
          <w:sz w:val="20"/>
        </w:rPr>
        <w:t>Enterprise Data Architecture and Lineage: Data governance; data lineage and provenance; access control and entitlement; data quality and availability for AI and machine learning initiatives; structured and unstructured data in AI systems; content-addressed source provenance (SHA-256 per node) with deterministic staleness detection; metadata and catalog platforms (DataHub, Microsoft Purview).</w:t>
      </w:r>
    </w:p>
    <w:p>
      <w:pPr>
        <w:spacing w:after="40" w:before="0"/>
      </w:pPr>
      <w:r>
        <w:rPr>
          <w:b w:val="0"/>
          <w:i w:val="0"/>
          <w:sz w:val="20"/>
        </w:rPr>
        <w:t>Cloud AI Platforms: Azure OpenAI Service and Microsoft Azure AI; AWS SageMaker and AWS Bedrock; Google Vertex AI and Gemini; model selection frameworks and pragmatic build-versus-buy recommendations assessed on latency, cost, compliance fit and roadmap direction; inference cost modelling and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 — owning technical due diligence and build-versus-buy recommendations assessed on latency, cost, compliance fit and roadmap.</w:t>
      </w:r>
    </w:p>
    <w:p>
      <w:pPr>
        <w:spacing w:after="30"/>
        <w:ind w:left="259" w:hanging="259"/>
      </w:pPr>
      <w:r>
        <w:rPr>
          <w:sz w:val="20"/>
        </w:rPr>
        <w:t>- Operated inside complex, matrixed professional services organizations serving financial services, healthcare and regulated clients — able to influence architecture decisions across business lines without direct authority, and to translate strategic priorities into actionable architecture decisions with measurable business impact. Recognized internally as a technical authority and thought leader on enterprise AI.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pageBreakBefore/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