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Agentic AI Architect | Autonomous Multi-Agent Systems | LLM Orchestration and Enterprise Integration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Agentic AI architect who designs and ships autonomous multi-agent systems in production. Architected and deployed agent orchestration where an orchestrating agent queries a domain knowledge graph and dispatches specialized worker agents, each pre-loaded with a task-scoped subgraph so the agent reasons over structured context instead of retrieving after the fact. Built 6 production Model Context Protocol (MCP) services and 12 published Python packages delivering that context to any LLM orchestrator — LangChain, LangGraph, AutoGen, CrewAI, Claude, OpenAI. Deep hands-on Generative AI and Retrieval-Augmented Generation (RAG) engineering: built and benchmarked a full RAG pipeline (FAISS and Chroma vector stores, sentence-transformers embeddings, chunking and top-k retrieval) against a typed knowledge graph across 44 domains and 7,758 queries. 15+ years enterprise architecture delivering AI for UnitedHealthcare, Best Buy, Cargill and Salesforce CRM platforms across AWS, Microsoft Azure and Google Cloud. Patent pending. Adjunct professor of graduate AI systems.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Governance, Risk and Assurance: Enterprise AI governance frameworks and standards; model risk management; model explainability and auditability; bias evaluation and mitigation; Responsible AI policy; production-readiness gates; regulatory, security and data-privacy compliance in regulated environments (HIPAA); AI technical due diligence for vendor, partnership and acquisition assessment; build-versus-buy evaluation across cost, performance, scalability and risk; reference architectures, design patterns and best-practice documentation; internal AI fluency and enablement programs.</w:t>
      </w:r>
    </w:p>
    <w:p>
      <w:pPr>
        <w:spacing w:after="40" w:before="0"/>
      </w:pPr>
      <w:r>
        <w:rPr>
          <w:b w:val="0"/>
          <w:i w:val="0"/>
          <w:sz w:val="20"/>
        </w:rPr>
        <w:t>Enterprise Data Architecture and Lineage: Data governance; data lineage and provenance; access control and entitlement; data quality and availability for AI and machine learning initiatives; structured and unstructured data in AI systems; content-addressed source provenance (SHA-256 per node) with deterministic staleness detection; metadata and catalog platforms (DataHub, Microsoft Purview).</w:t>
      </w:r>
    </w:p>
    <w:p>
      <w:pPr>
        <w:spacing w:after="40" w:before="0"/>
      </w:pPr>
      <w:r>
        <w:rPr>
          <w:b w:val="0"/>
          <w:i w:val="0"/>
          <w:sz w:val="20"/>
        </w:rPr>
        <w:t>Cloud AI Platforms: Azure OpenAI Service and Microsoft Azure AI; AWS SageMaker and AWS Bedrock; Google Vertex AI and Gemini; model selection frameworks and pragmatic build-versus-buy recommendations assessed on latency, cost, compliance fit and roadmap direction.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Full-Stack Web and Interfaces: Production JavaScript on both sides of the stack. Backend: serverless functions on Vercel — a JSON-RPC Model Context Protocol server implemented in JavaScript (initialize, tools/list, tools/call, API-key validation), a Stripe webhook handler with signature verification, license validation and graph-serving endpoints. Frontend: multi-page production sites deployed and live, with hand-written interactive graph visualizations — canvas and SVG rendering, requestAnimationFrame animation loops, drag, zoom, hover and selection state built directly rather than through a charting library. Responsive layout, CSS custom properties, light/dark theming, accessible semantic markup.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JavaScript; HTML; CSS;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Vercel;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Design agentic architectures for autonomous task execution: multi-agent orchestration, agent-to-agent coordination, tool/function calling, reasoning and planning loops, and API-driven integration with enterprise systems including Salesforce CRM.</w:t>
      </w:r>
    </w:p>
    <w:p>
      <w:pPr>
        <w:spacing w:after="30"/>
        <w:ind w:left="259" w:hanging="259"/>
      </w:pPr>
      <w:r>
        <w:rPr>
          <w:sz w:val="20"/>
        </w:rPr>
        <w:t>- Integrated production MCP services with Microsoft Semantic Kernel via the MCPStreamableHttpPlugin connector — all 9 tools register as Semantic Kernel functions with no framework-specific server code. The same servers are consumed unchanged by LangChain, LangGraph, AutoGen, CrewAI and Claude, because the integration happens at the protocol layer rather than per framework.</w:t>
      </w:r>
    </w:p>
    <w:p>
      <w:pPr>
        <w:spacing w:after="30"/>
        <w:ind w:left="259" w:hanging="259"/>
      </w:pPr>
      <w:r>
        <w:rPr>
          <w:sz w:val="20"/>
        </w:rPr>
        <w:t>- Authored and published A2A (Agent-to-Agent) agent cards for 3 production services, advertising skills, authentication, x402 payment terms and a machine-readable economics block — token cost, measured answer quality and a break-even input price — so a calling agent can compute expected value before invoking rather than trusting a claim.</w:t>
      </w:r>
    </w:p>
    <w:p>
      <w:pPr>
        <w:spacing w:after="30"/>
        <w:ind w:left="259" w:hanging="259"/>
      </w:pPr>
      <w:r>
        <w:rPr>
          <w:sz w:val="20"/>
        </w:rPr>
        <w:t>- Own agent distribution: published 12 Python packages across 100+ releases and listed the servers in public MCP registries. Instrumented the handshake to measure consumption and identified 27 distinct directory, registry and reliability crawlers indexing the services daily — turning distribution from an assumption into a measured channel.</w:t>
      </w:r>
    </w:p>
    <w:p>
      <w:pPr>
        <w:spacing w:after="30"/>
        <w:ind w:left="259" w:hanging="259"/>
      </w:pPr>
      <w:r>
        <w:rPr>
          <w:sz w:val="20"/>
        </w:rPr>
        <w:t>- Built machine-payable agent infrastructure: x402 / HTTP 402 payment-required flow with EIP-3009 signed authorizations, Coinbase Developer Platform facilitator authentication, Base network settlement, and ERC-8004 agent identity — and documented honestly where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Own agent performance, latency, cost efficiency and governance — per-call cost modelling, token-efficiency measurement, rate limiting and quota enforcement, structured telemetry, and production monitoring of deployed agent services.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 — owning technical due diligence and build-versus-buy recommendations assessed on latency, cost, compliance fit and roadmap.</w:t>
      </w:r>
    </w:p>
    <w:p>
      <w:pPr>
        <w:spacing w:after="30"/>
        <w:ind w:left="259" w:hanging="259"/>
      </w:pPr>
      <w:r>
        <w:rPr>
          <w:sz w:val="20"/>
        </w:rPr>
        <w:t>- Operated inside complex matrixed professional-services organizations, influencing architecture decisions across business lines without direct authority, and translating strategic priorities into actionable architecture with measurable business impact.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pageBreakBefore/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