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38"/>
        </w:rPr>
        <w:t>Daniel Yarmoluk</w:t>
      </w:r>
    </w:p>
    <w:p>
      <w:pPr>
        <w:spacing w:after="20" w:before="0"/>
        <w:jc w:val="center"/>
      </w:pPr>
      <w:r>
        <w:rPr>
          <w:b/>
          <w:i w:val="0"/>
          <w:sz w:val="21"/>
        </w:rPr>
        <w:t>Agentic AI Architect | Autonomous Multi-Agent Systems | LLM Orchestration and Enterprise Integration</w:t>
      </w:r>
    </w:p>
    <w:p>
      <w:pPr>
        <w:spacing w:after="0" w:before="0"/>
        <w:jc w:val="center"/>
      </w:pPr>
      <w:r>
        <w:rPr>
          <w:b w:val="0"/>
          <w:i w:val="0"/>
          <w:sz w:val="19"/>
        </w:rPr>
        <w:t>Minneapolis, MN | daniel.yarmoluk@gmail.com</w:t>
      </w:r>
    </w:p>
    <w:p>
      <w:pPr>
        <w:spacing w:after="40" w:before="0"/>
        <w:jc w:val="center"/>
      </w:pPr>
      <w:r>
        <w:rPr>
          <w:b w:val="0"/>
          <w:i w:val="0"/>
          <w:sz w:val="19"/>
        </w:rPr>
        <w:t>linkedin.com/in/danyarmoluk | github.com/Yarmoluk | pypi.org/user/danyarm | huggingface.co/danyarm | graphifymd.com</w:t>
      </w:r>
    </w:p>
    <w:p>
      <w:pPr>
        <w:spacing w:after="40" w:before="180"/>
      </w:pPr>
      <w:r>
        <w:rPr>
          <w:b/>
          <w:i w:val="0"/>
          <w:sz w:val="22"/>
        </w:rPr>
        <w:t>PROFESSIONAL SUMMARY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Agentic AI architect who designs and ships autonomous multi-agent systems in production. Architected and deployed agent orchestration where an orchestrating agent queries a domain knowledge graph and dispatches specialized worker agents, each pre-loaded with a task-scoped subgraph so the agent reasons over structured context instead of retrieving after the fact. Built 6 production Model Context Protocol (MCP) services and 12 published Python packages delivering that context to any LLM orchestrator — LangChain, LangGraph, AutoGen, CrewAI, Claude, OpenAI. Deep hands-on Generative AI and Retrieval-Augmented Generation (RAG) engineering: built and benchmarked a full RAG pipeline (FAISS and Chroma vector stores, sentence-transformers embeddings, chunking and top-k retrieval) against a typed knowledge graph across 44 domains and 7,758 queries. 15+ years enterprise architecture delivering AI for UnitedHealthcare, Best Buy, Cargill and Salesforce CRM platforms across AWS, Microsoft Azure and Google Cloud. Patent pending. Adjunct professor of graduate AI systems.</w:t>
      </w:r>
    </w:p>
    <w:p>
      <w:pPr>
        <w:spacing w:after="40" w:before="180"/>
      </w:pPr>
      <w:r>
        <w:rPr>
          <w:b/>
          <w:i w:val="0"/>
          <w:sz w:val="22"/>
        </w:rPr>
        <w:t>TECHNICAL SKILLS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Model Context Protocol (MCP): MCP server design and implementation; FastMCP; JSON-RPC 2.0; initialize handshake and clientInfo negotiation; tools/list, tools/call, resources/list, prompts/list; notifications/initialized; tool input and output schema design and validation; streamable HTTP transport; Server-Sent Events (SSE); Mcp-Session-Id session management; DNS-rebinding protection and Host allow-listing; MCP client integration (Claude Desktop, Claude Code, Cursor); MCP server registries and directory distribution; MCP analytics instrumentation.</w:t>
      </w:r>
    </w:p>
    <w:p>
      <w:pPr>
        <w:spacing w:after="40" w:before="0"/>
      </w:pPr>
      <w:r>
        <w:rPr>
          <w:b w:val="0"/>
          <w:i w:val="0"/>
          <w:sz w:val="20"/>
        </w:rPr>
        <w:t>Agent Distribution and Discovery: MCP server publication and registry distribution; A2A agent card authoring (/.well-known/agent-card.json) with machine-readable capability, pricing and payment extensions; MCP server cards; public MCP registry listing; discovery-document design for automated agent consumption; client identification via the MCP initialize handshake; Python packaging and release engineering (12 packages, 100+ PyPI releases).</w:t>
      </w:r>
    </w:p>
    <w:p>
      <w:pPr>
        <w:spacing w:after="40" w:before="0"/>
      </w:pPr>
      <w:r>
        <w:rPr>
          <w:b w:val="0"/>
          <w:i w:val="0"/>
          <w:sz w:val="20"/>
        </w:rPr>
        <w:t>Agent-to-Agent (A2A) and Agent Protocols: A2A (Agent-to-Agent) protocol v1.0; agent cards, capability advertisement and skill declaration; agent discovery and negotiation; Google Agent Development Kit (ADK); x402 / HTTP 402 machine-payable APIs; EIP-3009 signed payment authorizations; Coinbase Developer Platform (CDP) facilitator; Base network settlement; ERC-8004 agent identity and trust; multi-agent orchestration; LangGraph; LangChain; AutoGen; CrewAI.</w:t>
      </w:r>
    </w:p>
    <w:p>
      <w:pPr>
        <w:spacing w:after="40" w:before="0"/>
      </w:pPr>
      <w:r>
        <w:rPr>
          <w:b w:val="0"/>
          <w:i w:val="0"/>
          <w:sz w:val="20"/>
        </w:rPr>
        <w:t>Generative AI, Agents and Orchestration: Agentic AI architecture; autonomous agent design; multi-agent orchestration; agent-to-agent coordination; reasoning, planning and autonomous decision-making loops; tool and function calling; prompt engineering and context engineering; LangChain; LangGraph; AutoGen; CrewAI; Anthropic Claude; OpenAI; Azure OpenAI Service; Microsoft Azure AI; Microsoft Semantic Kernel; Google Gemini; xAI Grok; Perplexity; open-source models (Llama, Nemotron, Hugging Face); Claude Code (authored 84 skills, subagents, hooks and MCP integrations); agent governance, monitoring, latency and cost optimization.</w:t>
      </w:r>
    </w:p>
    <w:p>
      <w:pPr>
        <w:spacing w:after="40" w:before="0"/>
      </w:pPr>
      <w:r>
        <w:rPr>
          <w:b w:val="0"/>
          <w:i w:val="0"/>
          <w:sz w:val="20"/>
        </w:rPr>
        <w:t>AI Evaluation and Benchmarking: Retrieval evaluation harness design; macro-F1, precision/recall, hop-depth degradation, token and cost-per-query measurement; LLM-as-judge scoring; independent third-party benchmark evaluation (FrontierFinance, Samaya Research — 220 queries, 11,543 rubric items, judge panel); comparative benchmarking of knowledge-graph retrieval against RAG and GraphRAG; published open dataset and reproducible harness.</w:t>
      </w:r>
    </w:p>
    <w:p>
      <w:pPr>
        <w:spacing w:after="40" w:before="0"/>
      </w:pPr>
      <w:r>
        <w:rPr>
          <w:b w:val="0"/>
          <w:i w:val="0"/>
          <w:sz w:val="20"/>
        </w:rPr>
        <w:t>Retrieval-Augmented Generation (RAG) and Vector Search: RAG pipeline design, implementation and evaluation; vector databases and vector search (FAISS, Chroma); sentence-transformers embeddings (all-MiniLM-L6, all-mpnet); chunking strategies; top-k retrieval; hybrid and reranked retrieval; GraphRAG; comparative retrieval benchmarking against a typed knowledge graph.</w:t>
      </w:r>
    </w:p>
    <w:p>
      <w:pPr>
        <w:spacing w:after="40" w:before="0"/>
      </w:pPr>
      <w:r>
        <w:rPr>
          <w:b w:val="0"/>
          <w:i w:val="0"/>
          <w:sz w:val="20"/>
        </w:rPr>
        <w:t>Knowledge Graphs and Retrieval: Knowledge retrieval for enterprise applications; knowledge graph construction and ontology design; typed declared edges; conjunctive (set-intersection) graph queries; multi-hop traversal; taxonomy design; SHA-256 content-addressed source provenance; canonical-text hashing; retrieval evaluation (macro-F1, hop-depth degradation, token cost); RAG, GraphRAG, and vector retrieval comparison; Neo4j and Cypher concepts; SPARQL concepts.</w:t>
      </w:r>
    </w:p>
    <w:p>
      <w:pPr>
        <w:spacing w:after="40" w:before="0"/>
      </w:pPr>
      <w:r>
        <w:rPr>
          <w:b w:val="0"/>
          <w:i w:val="0"/>
          <w:sz w:val="20"/>
        </w:rPr>
        <w:t>Languages, Platforms and Tooling: Python; TypeScript; JavaScript; SQL; asyncio; Starlette; FastAPI; Docker; Git; GitHub Actions; REST API design; microservices architecture; CI/CD pipelines (GitHub Actions, automated Docker image build and publish); OAuth and API key authentication; rate limiting and quota enforcement; secure and scalable service deployment; Amazon Web Services (AWS); Microsoft Azure; Google Cloud Platform (GCP); Render; Snowflake; Databricks; Anthropic Claude API; OpenAI API; PostHog product analytics; Stripe; pytest.</w:t>
      </w:r>
    </w:p>
    <w:p>
      <w:pPr>
        <w:spacing w:after="40" w:before="180"/>
      </w:pPr>
      <w:r>
        <w:rPr>
          <w:b/>
          <w:i w:val="0"/>
          <w:sz w:val="22"/>
        </w:rPr>
        <w:t>PROFESSIONAL EXPERIENCE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0" w:before="120"/>
      </w:pPr>
      <w:r>
        <w:rPr>
          <w:b/>
          <w:i w:val="0"/>
          <w:sz w:val="20"/>
        </w:rPr>
        <w:t>Graphify.md — Minneapolis, MN</w:t>
      </w:r>
    </w:p>
    <w:p>
      <w:pPr>
        <w:spacing w:after="40" w:before="0"/>
      </w:pPr>
      <w:r>
        <w:rPr>
          <w:b w:val="0"/>
          <w:i/>
          <w:sz w:val="20"/>
        </w:rPr>
        <w:t>Founder and Principal Engineer, AI Infrastructure | 04/2026 – Present</w:t>
      </w:r>
    </w:p>
    <w:p>
      <w:pPr>
        <w:spacing w:after="30"/>
        <w:ind w:left="259" w:hanging="259"/>
      </w:pPr>
      <w:r>
        <w:rPr>
          <w:sz w:val="20"/>
        </w:rPr>
        <w:t>- Design agentic architectures for autonomous task execution: multi-agent orchestration, agent-to-agent coordination, tool/function calling, reasoning and planning loops, and API-driven integration with enterprise systems including Salesforce CRM.</w:t>
      </w:r>
    </w:p>
    <w:p>
      <w:pPr>
        <w:spacing w:after="30"/>
        <w:ind w:left="259" w:hanging="259"/>
      </w:pPr>
      <w:r>
        <w:rPr>
          <w:sz w:val="20"/>
        </w:rPr>
        <w:t>- Integrated production MCP services with Microsoft Semantic Kernel via the MCPStreamableHttpPlugin connector — all 9 tools register as Semantic Kernel functions with no framework-specific server code. The same servers are consumed unchanged by LangChain, LangGraph, AutoGen, CrewAI and Claude, because the integration happens at the protocol layer rather than per framework.</w:t>
      </w:r>
    </w:p>
    <w:p>
      <w:pPr>
        <w:spacing w:after="30"/>
        <w:ind w:left="259" w:hanging="259"/>
      </w:pPr>
      <w:r>
        <w:rPr>
          <w:sz w:val="20"/>
        </w:rPr>
        <w:t>- Authored and published A2A (Agent-to-Agent) agent cards for 3 production services, advertising skills, authentication, x402 payment terms and a machine-readable economics block — token cost, measured answer quality and a break-even input price — so a calling agent can compute expected value before invoking rather than trusting a claim.</w:t>
      </w:r>
    </w:p>
    <w:p>
      <w:pPr>
        <w:spacing w:after="30"/>
        <w:ind w:left="259" w:hanging="259"/>
      </w:pPr>
      <w:r>
        <w:rPr>
          <w:sz w:val="20"/>
        </w:rPr>
        <w:t>- Own agent distribution: published 12 Python packages across 100+ releases and listed the servers in public MCP registries. Instrumented the handshake to measure consumption and identified 27 distinct directory, registry and reliability crawlers indexing the services daily — turning distribution from an assumption into a measured channel.</w:t>
      </w:r>
    </w:p>
    <w:p>
      <w:pPr>
        <w:spacing w:after="30"/>
        <w:ind w:left="259" w:hanging="259"/>
      </w:pPr>
      <w:r>
        <w:rPr>
          <w:sz w:val="20"/>
        </w:rPr>
        <w:t>- Built machine-payable agent infrastructure: x402 / HTTP 402 payment-required flow with EIP-3009 signed authorizations, Coinbase Developer Platform facilitator authentication, Base network settlement, and ERC-8004 agent identity — and documented honestly where no mainnet facilitator existed for the required scheme.</w:t>
      </w:r>
    </w:p>
    <w:p>
      <w:pPr>
        <w:spacing w:after="30"/>
        <w:ind w:left="259" w:hanging="259"/>
      </w:pPr>
      <w:r>
        <w:rPr>
          <w:sz w:val="20"/>
        </w:rPr>
        <w:t>- Own agent performance, latency, cost efficiency and governance — per-call cost modelling, token-efficiency measurement, rate limiting and quota enforcement, structured telemetry, and production monitoring of deployed agent services.</w:t>
      </w:r>
    </w:p>
    <w:p>
      <w:pPr>
        <w:spacing w:after="30"/>
        <w:ind w:left="259" w:hanging="259"/>
      </w:pPr>
      <w:r>
        <w:rPr>
          <w:sz w:val="20"/>
        </w:rPr>
        <w:t>- Designed, built, deployed and operated 6 production Model Context Protocol (MCP) servers serving typed knowledge graphs to AI agents, and published 12 Python packages to PyPI across 100+ releases — owning the complete lifecycle from protocol design through incident response. All of it built solo, first package published within weeks of starting.</w:t>
      </w:r>
    </w:p>
    <w:p>
      <w:pPr>
        <w:spacing w:after="30"/>
        <w:ind w:left="259" w:hanging="259"/>
      </w:pPr>
      <w:r>
        <w:rPr>
          <w:sz w:val="20"/>
        </w:rPr>
        <w:t>- Implemented the full MCP protocol surface in Python: JSON-RPC 2.0 initialize handshake with clientInfo and protocolVersion negotiation, tools/list, tools/call, resources/list, prompts/list, and notifications, with tool input and output schema validation.</w:t>
      </w:r>
    </w:p>
    <w:p>
      <w:pPr>
        <w:spacing w:after="30"/>
        <w:ind w:left="259" w:hanging="259"/>
      </w:pPr>
      <w:r>
        <w:rPr>
          <w:sz w:val="20"/>
        </w:rPr>
        <w:t>- Diagnosed and fixed a production transport defect where every external MCP client received HTTP 421 Misdirected Request: DNS-rebinding protection remained active with an empty host allow-list behind a reverse proxy, rejecting all traffic before it reached a tool. Implemented explicit transport security settings with configurable allowed hosts.</w:t>
      </w:r>
    </w:p>
    <w:p>
      <w:pPr>
        <w:spacing w:after="30"/>
        <w:ind w:left="259" w:hanging="259"/>
      </w:pPr>
      <w:r>
        <w:rPr>
          <w:sz w:val="20"/>
        </w:rPr>
        <w:t>- Built the metering and monetization layer for MCP: classified protocol methods as metered versus unmetered so the three-request handshake no longer consumed a client's entire free tier, implemented time-windowed free access with a call ceiling, per-IP and per-/24-subnet rate limiting, license key validation, and HTTP 402 Payment Required responses with signed payment challenges.</w:t>
      </w:r>
    </w:p>
    <w:p>
      <w:pPr>
        <w:spacing w:after="30"/>
        <w:ind w:left="259" w:hanging="259"/>
      </w:pPr>
      <w:r>
        <w:rPr>
          <w:sz w:val="20"/>
        </w:rPr>
        <w:t>- Instrumented MCP servers with product analytics using PostHog's MCP event schema — capturing tool calls, client identity from the initialize handshake, latency, errors and funnel conversion — and corrected three instrumentation defects that had made usage unattributable to any caller.</w:t>
      </w:r>
    </w:p>
    <w:p>
      <w:pPr>
        <w:spacing w:after="30"/>
        <w:ind w:left="259" w:hanging="259"/>
      </w:pPr>
      <w:r>
        <w:rPr>
          <w:sz w:val="20"/>
        </w:rPr>
        <w:t>- Implemented Agent-to-Agent (A2A) and machine-payment integrations: x402 / HTTP 402 request flow with EIP-3009 signed authorizations, Coinbase Developer Platform facilitator authentication, Base network settlement, and ERC-8004 agent identity — and documented the honest limitation that no mainnet facilitator existed for the required scheme.</w:t>
      </w:r>
    </w:p>
    <w:p>
      <w:pPr>
        <w:spacing w:after="30"/>
        <w:ind w:left="259" w:hanging="259"/>
      </w:pPr>
      <w:r>
        <w:rPr>
          <w:sz w:val="20"/>
        </w:rPr>
        <w:t>- Built a conjunctive query operator for knowledge graphs exposed as a single MCP tool — returning concepts reachable from every anchor as an exact set intersection over declared edges, with typed relation paths, AND/OR modes, and a per-step cardinality trace that makes retrieval auditable.</w:t>
      </w:r>
    </w:p>
    <w:p>
      <w:pPr>
        <w:spacing w:after="30"/>
        <w:ind w:left="259" w:hanging="259"/>
      </w:pPr>
      <w:r>
        <w:rPr>
          <w:sz w:val="20"/>
        </w:rPr>
        <w:t>- Designed a SHA-256 per-node source provenance system so any answer can be traced to the exact bytes of its source, including canonical-text hashing for CDN-rendered documents whose raw bytes carry rotating build tokens, and a verification tool that reports honestly when a source cannot be independently verified.</w:t>
      </w:r>
    </w:p>
    <w:p>
      <w:pPr>
        <w:spacing w:after="30"/>
        <w:ind w:left="259" w:hanging="259"/>
      </w:pPr>
      <w:r>
        <w:rPr>
          <w:sz w:val="20"/>
        </w:rPr>
        <w:t>- Benchmarked Compressed Knowledge Graph retrieval against RAG and Microsoft GraphRAG across 44 domains and 7,758 queries: macro-F1 0.471 versus 0.123 (RAG) and 0.120 (GraphRAG), a 3.8x improvement; 269 versus 2,982 tokens per query, an 11x reduction; multi-hop F1 rising to 0.772 at 5 hops while RAG remained flat near 0.17. Published the dataset and harness openly.</w:t>
      </w:r>
    </w:p>
    <w:p>
      <w:pPr>
        <w:spacing w:after="30"/>
        <w:ind w:left="259" w:hanging="259"/>
      </w:pPr>
      <w:r>
        <w:rPr>
          <w:sz w:val="20"/>
        </w:rPr>
        <w:t>- Built AI evaluation infrastructure: a reproducible retrieval-evaluation harness plus an independent evaluation against FrontierFinance, Samaya Research's open finance benchmark (220 queries, 11,543 rubric items, LLM judge panel) — evaluating against a third-party rubric rather than only a self-authored one.</w:t>
      </w:r>
    </w:p>
    <w:p>
      <w:pPr>
        <w:spacing w:after="30"/>
        <w:ind w:left="259" w:hanging="259"/>
      </w:pPr>
      <w:r>
        <w:rPr>
          <w:sz w:val="20"/>
        </w:rPr>
        <w:t>- Authored and maintained 300+ domain knowledge graphs with typed relations and per-node source provenance across healthcare, financial regulation, data engineering, and AI infrastructure.</w:t>
      </w:r>
    </w:p>
    <w:p>
      <w:pPr>
        <w:spacing w:after="30"/>
        <w:ind w:left="259" w:hanging="259"/>
      </w:pPr>
      <w:r>
        <w:rPr>
          <w:sz w:val="20"/>
        </w:rPr>
        <w:t>- Patent pending — three provisional applications filed 2026 covering knowledge graph architecture, encoding pipeline, and context infrastructure.</w:t>
      </w:r>
    </w:p>
    <w:p>
      <w:pPr>
        <w:spacing w:after="0" w:before="120"/>
      </w:pPr>
      <w:r>
        <w:rPr>
          <w:b/>
          <w:i w:val="0"/>
          <w:sz w:val="20"/>
        </w:rPr>
        <w:t>Slalom Consulting — Minneapolis, MN</w:t>
      </w:r>
    </w:p>
    <w:p>
      <w:pPr>
        <w:spacing w:after="40" w:before="0"/>
      </w:pPr>
      <w:r>
        <w:rPr>
          <w:b w:val="0"/>
          <w:i/>
          <w:sz w:val="20"/>
        </w:rPr>
        <w:t>Principal — Solution Owner, AI and Digital Transformation | 09/2023 – 04/2026</w:t>
      </w:r>
    </w:p>
    <w:p>
      <w:pPr>
        <w:spacing w:after="30"/>
        <w:ind w:left="259" w:hanging="259"/>
      </w:pPr>
      <w:r>
        <w:rPr>
          <w:sz w:val="20"/>
        </w:rPr>
        <w:t>- Architected enterprise AI and digital transformation programs for Fortune 500 clients including UnitedHealthcare (clinical AI pipelines), Best Buy (retail AI), and Cargill (supply chain AI).</w:t>
      </w:r>
    </w:p>
    <w:p>
      <w:pPr>
        <w:spacing w:after="30"/>
        <w:ind w:left="259" w:hanging="259"/>
      </w:pPr>
      <w:r>
        <w:rPr>
          <w:sz w:val="20"/>
        </w:rPr>
        <w:t>- Led cross-functional AI delivery across engineering, data science and business stakeholders, translating strategy into production system architecture and deployment roadmaps.</w:t>
      </w:r>
    </w:p>
    <w:p>
      <w:pPr>
        <w:spacing w:after="30"/>
        <w:ind w:left="259" w:hanging="259"/>
      </w:pPr>
      <w:r>
        <w:rPr>
          <w:sz w:val="20"/>
        </w:rPr>
        <w:t>- Designed AI workflow orchestration and agent coordination patterns for enterprise deployment, including production readiness, monitoring and evaluation frameworks for regulated environments.</w:t>
      </w:r>
    </w:p>
    <w:p>
      <w:pPr>
        <w:spacing w:after="30"/>
        <w:ind w:left="259" w:hanging="259"/>
      </w:pPr>
      <w:r>
        <w:rPr>
          <w:sz w:val="20"/>
        </w:rPr>
        <w:t>- Managed technical vendor relationships and platform integration across Anthropic, OpenAI, Azure OpenAI Service on Microsoft Azure AI, and AWS SageMaker.</w:t>
      </w:r>
    </w:p>
    <w:p>
      <w:pPr>
        <w:spacing w:after="0" w:before="120"/>
      </w:pPr>
      <w:r>
        <w:rPr>
          <w:b/>
          <w:i w:val="0"/>
          <w:sz w:val="20"/>
        </w:rPr>
        <w:t>West Monroe Partners — Minneapolis, MN</w:t>
      </w:r>
    </w:p>
    <w:p>
      <w:pPr>
        <w:spacing w:after="40" w:before="0"/>
      </w:pPr>
      <w:r>
        <w:rPr>
          <w:b w:val="0"/>
          <w:i/>
          <w:sz w:val="20"/>
        </w:rPr>
        <w:t>Lead Solution Architect, Industrial IoT and Commercial AI | 2021 – 2023</w:t>
      </w:r>
    </w:p>
    <w:p>
      <w:pPr>
        <w:spacing w:after="30"/>
        <w:ind w:left="259" w:hanging="259"/>
      </w:pPr>
      <w:r>
        <w:rPr>
          <w:sz w:val="20"/>
        </w:rPr>
        <w:t>- Led AI and Internet of Things (IoT) architecture for industrial and commercial clients: production machine learning pipelines, real-time data systems, and multi-system orchestration.</w:t>
      </w:r>
    </w:p>
    <w:p>
      <w:pPr>
        <w:spacing w:after="30"/>
        <w:ind w:left="259" w:hanging="259"/>
      </w:pPr>
      <w:r>
        <w:rPr>
          <w:sz w:val="20"/>
        </w:rPr>
        <w:t>- Designed production deployment architecture for AI systems in operational environments, covering reliability, monitoring and performance under load.</w:t>
      </w:r>
    </w:p>
    <w:p>
      <w:pPr>
        <w:spacing w:after="0" w:before="120"/>
      </w:pPr>
      <w:r>
        <w:rPr>
          <w:b/>
          <w:i w:val="0"/>
          <w:sz w:val="20"/>
        </w:rPr>
        <w:t>ATEK Access Technologies — Minneapolis, MN</w:t>
      </w:r>
    </w:p>
    <w:p>
      <w:pPr>
        <w:spacing w:after="40" w:before="0"/>
      </w:pPr>
      <w:r>
        <w:rPr>
          <w:b w:val="0"/>
          <w:i/>
          <w:sz w:val="20"/>
        </w:rPr>
        <w:t>IoT and Data Science Practice Leader | 2016 – 2020</w:t>
      </w:r>
    </w:p>
    <w:p>
      <w:pPr>
        <w:spacing w:after="30"/>
        <w:ind w:left="259" w:hanging="259"/>
      </w:pPr>
      <w:r>
        <w:rPr>
          <w:sz w:val="20"/>
        </w:rPr>
        <w:t>- Built the data science and IoT practice from zero, including AWS, Siemens and IBM strategic partnerships and production machine learning deployment in industrial field operations.</w:t>
      </w:r>
    </w:p>
    <w:p>
      <w:pPr>
        <w:spacing w:after="30"/>
        <w:ind w:left="259" w:hanging="259"/>
      </w:pPr>
      <w:r>
        <w:rPr>
          <w:sz w:val="20"/>
        </w:rPr>
        <w:t>- Led sensor data orchestration across distributed field devices, including real-time data pipeline design and system integration architecture.</w:t>
      </w:r>
    </w:p>
    <w:p>
      <w:pPr>
        <w:spacing w:after="0" w:before="120"/>
      </w:pPr>
      <w:r>
        <w:rPr>
          <w:b/>
          <w:i w:val="0"/>
          <w:sz w:val="20"/>
        </w:rPr>
        <w:t>University of St. Thomas — Minneapolis, MN</w:t>
      </w:r>
    </w:p>
    <w:p>
      <w:pPr>
        <w:spacing w:after="40" w:before="0"/>
      </w:pPr>
      <w:r>
        <w:rPr>
          <w:b w:val="0"/>
          <w:i/>
          <w:sz w:val="20"/>
        </w:rPr>
        <w:t>Adjunct Professor, Graduate AI Systems (SEIS 666) | 2018 – Present</w:t>
      </w:r>
    </w:p>
    <w:p>
      <w:pPr>
        <w:spacing w:after="30"/>
        <w:ind w:left="259" w:hanging="259"/>
      </w:pPr>
      <w:r>
        <w:rPr>
          <w:sz w:val="20"/>
        </w:rPr>
        <w:t>- Teach a graduate course on production large language model (LLM) systems, agent orchestration design, knowledge graph infrastructure and enterprise AI evaluation.</w:t>
      </w:r>
    </w:p>
    <w:p>
      <w:pPr>
        <w:spacing w:after="40" w:before="180"/>
      </w:pPr>
      <w:r>
        <w:rPr>
          <w:b/>
          <w:i w:val="0"/>
          <w:sz w:val="22"/>
        </w:rPr>
        <w:t>PUBLISHED MCP SERVER PORTFOLIO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12 Python packages published to the Python Package Index (PyPI) under user danyarm, spanning 100+ releases. Full catalog at github.com/Yarmoluk.</w:t>
      </w:r>
    </w:p>
    <w:p>
      <w:pPr>
        <w:spacing w:after="30"/>
        <w:ind w:left="259" w:hanging="259"/>
      </w:pPr>
      <w:r>
        <w:rPr>
          <w:sz w:val="20"/>
        </w:rPr>
        <w:t>- ckg-nvidia-ai — NVIDIA developer stack knowledge graphs (20 domains) served over MCP; 29 releases; includes metered free tier, license-key auth, and HTTP 402 payment challenge.</w:t>
      </w:r>
    </w:p>
    <w:p>
      <w:pPr>
        <w:spacing w:after="30"/>
        <w:ind w:left="259" w:hanging="259"/>
      </w:pPr>
      <w:r>
        <w:rPr>
          <w:sz w:val="20"/>
        </w:rPr>
        <w:t>- ckg-nvidia-nemoclaw — single-domain MCP server, 31 releases; typed relation traversal with per-node source provenance.</w:t>
      </w:r>
    </w:p>
    <w:p>
      <w:pPr>
        <w:spacing w:after="30"/>
        <w:ind w:left="259" w:hanging="259"/>
      </w:pPr>
      <w:r>
        <w:rPr>
          <w:sz w:val="20"/>
        </w:rPr>
        <w:t>- ckg-agentforce — Salesforce Agentforce domain graphs over MCP; 18 releases; license-gated tool surface.</w:t>
      </w:r>
    </w:p>
    <w:p>
      <w:pPr>
        <w:spacing w:after="30"/>
        <w:ind w:left="259" w:hanging="259"/>
      </w:pPr>
      <w:r>
        <w:rPr>
          <w:sz w:val="20"/>
        </w:rPr>
        <w:t>- ckg-mcp — multi-domain MCP server, 300+ knowledge graphs, conjunctive query operator, source-verification tool; 20 releases.</w:t>
      </w:r>
    </w:p>
    <w:p>
      <w:pPr>
        <w:spacing w:after="30"/>
        <w:ind w:left="259" w:hanging="259"/>
      </w:pPr>
      <w:r>
        <w:rPr>
          <w:sz w:val="20"/>
        </w:rPr>
        <w:t>- langchain-ckg — LangChain retriever integration with API-key auth and 402 handling.</w:t>
      </w:r>
    </w:p>
    <w:p>
      <w:pPr>
        <w:spacing w:after="30"/>
        <w:ind w:left="259" w:hanging="259"/>
      </w:pPr>
      <w:r>
        <w:rPr>
          <w:sz w:val="20"/>
        </w:rPr>
        <w:t>- Additional published packages: ckg-ai-platforms, ckg-nemotron-perplexity, ckg-agent-protocols, ckg-nvidia-nemotron, ckg-nvidia-guardrails, agentmem-mcp, ckg-extract.</w:t>
      </w:r>
    </w:p>
    <w:p>
      <w:pPr>
        <w:spacing w:after="40" w:before="180"/>
      </w:pPr>
      <w:r>
        <w:rPr>
          <w:b/>
          <w:i w:val="0"/>
          <w:sz w:val="22"/>
        </w:rPr>
        <w:t>BENCHMARK — PUBLISHED AND REPRODUCIBLE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Compressed Knowledge Graph versus Retrieval-Augmented Generation (RAG) and Microsoft GraphRAG. Version 0.6.2, locked: 44 domains, 7,758 queries. Dataset and evaluation harness published openly (CC-BY-4.0) so results can be independently re-run.</w:t>
      </w:r>
    </w:p>
    <w:p>
      <w:pPr>
        <w:spacing w:after="30"/>
        <w:ind w:left="259" w:hanging="259"/>
      </w:pPr>
      <w:r>
        <w:rPr>
          <w:sz w:val="20"/>
        </w:rPr>
        <w:t>- Answer quality: macro-F1 0.471 (CKG) versus 0.123 (RAG) and 0.120 (GraphRAG) — 3.8x.</w:t>
      </w:r>
    </w:p>
    <w:p>
      <w:pPr>
        <w:spacing w:after="30"/>
        <w:ind w:left="259" w:hanging="259"/>
      </w:pPr>
      <w:r>
        <w:rPr>
          <w:sz w:val="20"/>
        </w:rPr>
        <w:t>- Context efficiency: 269 versus 2,982 tokens per query — 11x fewer tokens.</w:t>
      </w:r>
    </w:p>
    <w:p>
      <w:pPr>
        <w:spacing w:after="30"/>
        <w:ind w:left="259" w:hanging="259"/>
      </w:pPr>
      <w:r>
        <w:rPr>
          <w:sz w:val="20"/>
        </w:rPr>
        <w:t>- Multi-hop reasoning: F1 rises to 0.772 at 5-hop depth while RAG stays flat near 0.170.</w:t>
      </w:r>
    </w:p>
    <w:p>
      <w:pPr>
        <w:spacing w:after="30"/>
        <w:ind w:left="259" w:hanging="259"/>
      </w:pPr>
      <w:r>
        <w:rPr>
          <w:sz w:val="20"/>
        </w:rPr>
        <w:t>- Auditability: every answer traces to a declared relationship and, where source provenance is present, to a SHA-256 hash of the source bytes.</w:t>
      </w:r>
    </w:p>
    <w:p>
      <w:pPr>
        <w:spacing w:after="30"/>
        <w:ind w:left="259" w:hanging="259"/>
      </w:pPr>
      <w:r>
        <w:rPr>
          <w:sz w:val="20"/>
        </w:rPr>
        <w:t>- Reproducibility: github.com/Yarmoluk/ckg-benchmark and huggingface.co/danyarm — clone and re-run.</w:t>
      </w:r>
    </w:p>
    <w:p>
      <w:pPr>
        <w:spacing w:after="40" w:before="180"/>
      </w:pPr>
      <w:r>
        <w:rPr>
          <w:b/>
          <w:i w:val="0"/>
          <w:sz w:val="22"/>
        </w:rPr>
        <w:t>PUBLICATIONS AND RECOGNITION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Publication in preparation: a systematic benchmark of compressed knowledge graphs for enterprise AI, in collaboration with Dan McCreary, former Head of AI at TigerGraph.</w:t>
      </w:r>
    </w:p>
    <w:p>
      <w:pPr>
        <w:spacing w:after="30"/>
        <w:ind w:left="259" w:hanging="259"/>
      </w:pPr>
      <w:r>
        <w:rPr>
          <w:sz w:val="20"/>
        </w:rPr>
        <w:t>- Media: featured in CIO Dive on enterprise context limitations; guest on the AI and Data Horizons podcast; host of All Things Data (1M+ downloads). Benchmark cited independently at Data Tech 2026.</w:t>
      </w:r>
    </w:p>
    <w:p>
      <w:pPr>
        <w:spacing w:after="40" w:before="180"/>
      </w:pPr>
      <w:r>
        <w:rPr>
          <w:b/>
          <w:i w:val="0"/>
          <w:sz w:val="22"/>
        </w:rPr>
        <w:t>EDUCATION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Graduate Degree, Data Science — University of St. Thomas</w:t>
      </w:r>
    </w:p>
    <w:p>
      <w:pPr>
        <w:spacing w:after="30"/>
        <w:ind w:left="259" w:hanging="259"/>
      </w:pPr>
      <w:r>
        <w:rPr>
          <w:sz w:val="20"/>
        </w:rPr>
        <w:t>- Master of Business Administration — Loyola University Chicago</w:t>
      </w:r>
    </w:p>
    <w:p>
      <w:pPr>
        <w:spacing w:after="30"/>
        <w:ind w:left="259" w:hanging="259"/>
      </w:pPr>
      <w:r>
        <w:rPr>
          <w:sz w:val="20"/>
        </w:rPr>
        <w:t>- Bachelor of Arts, International Affairs — University of Texas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