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AI Architect | Agentic AI and Enterprise Adoption | GitHub Copilot, MCP and A2A | Prompt Engineering and Governance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AI architect who defines enterprise AI architecture, standards and governance, and builds the reference implementations teams work from. Fifteen years of Fortune 500 delivery including production-readiness, evaluation and Responsible AI governance frameworks for HIPAA-regulated environments. Hands-on across agentic AI: multi-step autonomous agent orchestration, prompt libraries, guardrails and adoption metrics. Built 6 production Model Context Protocol (MCP) services and 12 published Python packages — and MCP is GitHub Copilot's extension mechanism, configured per repository via .vscode/mcp.json and governed by the organisation-level MCP servers in Copilot policy, so the same servers extend Copilot agent mode unchanged. Deep RAG and vector search: built and benchmarked a full pipeline (FAISS and Chroma, sentence-transformers embeddings, chunking, top-k) against a typed knowledge graph across 44 domains and 7,758 queries. Multi-cloud across AWS, Microsoft Azure and Google Cloud.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Define enterprise AI architecture, standards, reference patterns and governance guidelines for adoption at scale — including Responsible AI practices, production-readiness gates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Architect multi-step autonomous agent workflows and orchestration, and own the enterprise prompt strategy: a reusable prompt library of versioned, trigger-scoped templates (84 authored), zero-shot tool and output schemas, few-shot worked examples, and chain-of-thought decomposition made explicit through task-scoped subgraphs.</w:t>
      </w:r>
    </w:p>
    <w:p>
      <w:pPr>
        <w:spacing w:after="30"/>
        <w:ind w:left="259" w:hanging="259"/>
      </w:pPr>
      <w:r>
        <w:rPr>
          <w:sz w:val="20"/>
        </w:rPr>
        <w:t>- Own adoption guardrails and productivity metrics end to end — authentication, license gating, per-method metering, rate limiting, and client-identity instrumentation. Rebuilt an analytics layer after proving its headline usage metric could not be attributed to any caller; naive adoption metrics measure plausibility, not outcomes.</w:t>
      </w:r>
    </w:p>
    <w:p>
      <w:pPr>
        <w:spacing w:after="30"/>
        <w:ind w:left="259" w:hanging="259"/>
      </w:pPr>
      <w:r>
        <w:rPr>
          <w:sz w:val="20"/>
        </w:rPr>
        <w:t>- Provide hands-on Python reference implementations and integration patterns for teams — 12 published packages across 100+ releases, plus automated testing and CI/CD pipelines.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Teach a graduate course on production large language model (LLM) systems, agent orchestration design, knowledge graph infrastructure and enterprise AI evaluation.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