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Solutions Architect | Enterprise AI, Agents and Knowledge Infrastructure | MCP and A2A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Solutions architect with 15+ years designing and delivering enterprise AI systems for Fortune 500 clients, and hands-on engineering depth in the agent protocol stack. Architected production AI for UnitedHealthcare, Best Buy and Cargill at Slalom Consulting — leading discovery, use-case prioritization, reference architecture, phased roadmaps, vendor evaluation and production-readiness frameworks for regulated (HIPAA) environments. Builds what he architects: 12 Python packages published to PyPI and 6 production Model Context Protocol (MCP) services covering the full protocol surface, plus Agent-to-Agent (A2A), Google Agent Development Kit (ADK) and x402 machine payments. Creator of the Compressed Knowledge Graph (CKG), a typed knowledge layer with SHA-256 source provenance, benchmarked against Retrieval-Augmented Generation (RAG) and GraphRAG across 44 domains. Multi-cloud: Amazon Web Services (AWS), Microsoft Azure, Google Cloud Platform (GCP). Patent pending. Adjunct professor of graduate AI systems. Master of Science in Data Science; MBA.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TypeScript; JavaScript;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Own end-to-end solution architecture for enterprise AI: discovery and requirements through reference architecture, phased delivery roadmap, production readiness, monitoring and handover.</w:t>
      </w:r>
    </w:p>
    <w:p>
      <w:pPr>
        <w:spacing w:after="30"/>
        <w:ind w:left="259" w:hanging="259"/>
      </w:pPr>
      <w:r>
        <w:rPr>
          <w:sz w:val="20"/>
        </w:rPr>
        <w:t>- Translate executive AI ambition into system design and implementation plans, and communicate architecture and trade-offs to both engineering teams and business stakeholders.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Teach a graduate course on production large language model (LLM) systems, agent orchestration design, knowledge graph infrastructure and enterprise AI evaluation.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