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b/>
          <w:i w:val="0"/>
          <w:sz w:val="38"/>
        </w:rPr>
        <w:t>Daniel Yarmoluk</w:t>
      </w:r>
    </w:p>
    <w:p>
      <w:pPr>
        <w:spacing w:after="20" w:before="0"/>
        <w:jc w:val="center"/>
      </w:pPr>
      <w:r>
        <w:rPr>
          <w:b/>
          <w:i w:val="0"/>
          <w:sz w:val="21"/>
        </w:rPr>
        <w:t>Forward Deployed Engineer | Enterprise AI Deployment | 0 to 1 Under Ambiguity</w:t>
      </w:r>
    </w:p>
    <w:p>
      <w:pPr>
        <w:spacing w:after="0" w:before="0"/>
        <w:jc w:val="center"/>
      </w:pPr>
      <w:r>
        <w:rPr>
          <w:b w:val="0"/>
          <w:i w:val="0"/>
          <w:sz w:val="19"/>
        </w:rPr>
        <w:t>Minneapolis, MN | daniel.yarmoluk@gmail.com</w:t>
      </w:r>
    </w:p>
    <w:p>
      <w:pPr>
        <w:spacing w:after="40" w:before="0"/>
        <w:jc w:val="center"/>
      </w:pPr>
      <w:r>
        <w:rPr>
          <w:b w:val="0"/>
          <w:i w:val="0"/>
          <w:sz w:val="19"/>
        </w:rPr>
        <w:t>linkedin.com/in/danyarmoluk | github.com/Yarmoluk | pypi.org/user/danyarm | huggingface.co/danyarm | graphifymd.com</w:t>
      </w:r>
    </w:p>
    <w:p>
      <w:pPr>
        <w:spacing w:after="40" w:before="180"/>
      </w:pPr>
      <w:r>
        <w:rPr>
          <w:b/>
          <w:i w:val="0"/>
          <w:sz w:val="22"/>
        </w:rPr>
        <w:t>PROFESSIONAL SUMMARY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40" w:before="0"/>
      </w:pPr>
      <w:r>
        <w:rPr>
          <w:b w:val="0"/>
          <w:i w:val="0"/>
          <w:sz w:val="20"/>
        </w:rPr>
        <w:t>Forward deployed engineer who embeds with customers and ships production software against ambiguous requirements. Built a company 0 to 1 in twelve months — 12 Python packages published across 100+ releases, 6 production services, 307 domain knowledge graphs and an open, re-runnable benchmark — making deliberate standardization-versus-customization decisions rather than defaulting to bespoke work: a reusable typed-graph substrate replaced per-customer retrieval builds. Delivered production AI inside Fortune 500 environments — UnitedHealthcare, Best Buy, Cargill — owning outcomes from first workshop through deployed system and writing the integration code rather than handing off a diagram. Codifies successful patterns into reusable primitives: packages, protocol servers, and 84 authored agent skills, so each engagement starts further along than the last. Writes and reviews production-grade Python; ships, meters, secures and monitors live services. Debugs production incidents in unfamiliar systems under time pressure. Eight years as a graduate professor teaching working technologists to deploy and adopt AI inside their own organizations. Publishes field findings honestly, including a public correction to his own benchmark. Patent pending.</w:t>
      </w:r>
    </w:p>
    <w:p>
      <w:pPr>
        <w:spacing w:after="40" w:before="180"/>
      </w:pPr>
      <w:r>
        <w:rPr>
          <w:b/>
          <w:i w:val="0"/>
          <w:sz w:val="22"/>
        </w:rPr>
        <w:t>TECHNICAL SKILLS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40" w:before="0"/>
      </w:pPr>
      <w:r>
        <w:rPr>
          <w:b w:val="0"/>
          <w:i w:val="0"/>
          <w:sz w:val="20"/>
        </w:rPr>
        <w:t>Model Context Protocol (MCP): MCP server design and implementation; FastMCP; JSON-RPC 2.0; initialize handshake and clientInfo negotiation; tools/list, tools/call, resources/list, prompts/list; notifications/initialized; tool input and output schema design and validation; streamable HTTP transport; Server-Sent Events (SSE); Mcp-Session-Id session management; DNS-rebinding protection and Host allow-listing; MCP client integration (Claude Desktop, Claude Code, Cursor); MCP server registries and directory distribution; MCP analytics instrumentation.</w:t>
      </w:r>
    </w:p>
    <w:p>
      <w:pPr>
        <w:spacing w:after="40" w:before="0"/>
      </w:pPr>
      <w:r>
        <w:rPr>
          <w:b w:val="0"/>
          <w:i w:val="0"/>
          <w:sz w:val="20"/>
        </w:rPr>
        <w:t>Agent Distribution and Discovery: MCP server publication and registry distribution; A2A agent card authoring (/.well-known/agent-card.json) with machine-readable capability, pricing and payment extensions; MCP server cards; public MCP registry listing; discovery-document design for automated agent consumption; client identification via the MCP initialize handshake; Python packaging and release engineering (12 packages, 100+ PyPI releases).</w:t>
      </w:r>
    </w:p>
    <w:p>
      <w:pPr>
        <w:spacing w:after="40" w:before="0"/>
      </w:pPr>
      <w:r>
        <w:rPr>
          <w:b w:val="0"/>
          <w:i w:val="0"/>
          <w:sz w:val="20"/>
        </w:rPr>
        <w:t>Agent-to-Agent (A2A) and Agent Protocols: A2A (Agent-to-Agent) protocol v1.0; agent cards, capability advertisement and skill declaration; agent discovery and negotiation; Google Agent Development Kit (ADK); x402 / HTTP 402 machine-payable APIs; EIP-3009 signed payment authorizations; Coinbase Developer Platform (CDP) facilitator; Base network settlement; ERC-8004 agent identity and trust; multi-agent orchestration; LangGraph; LangChain; AutoGen; CrewAI.</w:t>
      </w:r>
    </w:p>
    <w:p>
      <w:pPr>
        <w:spacing w:after="40" w:before="0"/>
      </w:pPr>
      <w:r>
        <w:rPr>
          <w:b w:val="0"/>
          <w:i w:val="0"/>
          <w:sz w:val="20"/>
        </w:rPr>
        <w:t>Generative AI, Agents and Orchestration: Agentic AI architecture; autonomous agent design; multi-agent orchestration; agent-to-agent coordination; reasoning, planning and autonomous decision-making loops; tool and function calling; prompt engineering and context engineering; LangChain; LangGraph; AutoGen; CrewAI; Anthropic Claude; OpenAI; Azure OpenAI Service; Microsoft Azure AI; Microsoft Semantic Kernel; Google Gemini; xAI Grok; Perplexity; open-source models (Llama, Nemotron, Hugging Face); Claude Code (authored 84 skills, subagents, hooks and MCP integrations); agent governance, monitoring, latency and cost optimization.</w:t>
      </w:r>
    </w:p>
    <w:p>
      <w:pPr>
        <w:spacing w:after="40" w:before="0"/>
      </w:pPr>
      <w:r>
        <w:rPr>
          <w:b w:val="0"/>
          <w:i w:val="0"/>
          <w:sz w:val="20"/>
        </w:rPr>
        <w:t>AI Evaluation and Benchmarking: Retrieval evaluation harness design; macro-F1, precision/recall, hop-depth degradation, token and cost-per-query measurement; LLM-as-judge scoring; independent third-party benchmark evaluation (FrontierFinance, Samaya Research — 220 queries, 11,543 rubric items, judge panel); comparative benchmarking of knowledge-graph retrieval against RAG and GraphRAG; published open dataset and reproducible harness.</w:t>
      </w:r>
    </w:p>
    <w:p>
      <w:pPr>
        <w:spacing w:after="40" w:before="0"/>
      </w:pPr>
      <w:r>
        <w:rPr>
          <w:b w:val="0"/>
          <w:i w:val="0"/>
          <w:sz w:val="20"/>
        </w:rPr>
        <w:t>Retrieval-Augmented Generation (RAG) and Vector Search: RAG pipeline design, implementation and evaluation; vector databases and vector search (FAISS, Chroma); sentence-transformers embeddings (all-MiniLM-L6, all-mpnet); chunking strategies; top-k retrieval; hybrid and reranked retrieval; GraphRAG; comparative retrieval benchmarking against a typed knowledge graph.</w:t>
      </w:r>
    </w:p>
    <w:p>
      <w:pPr>
        <w:spacing w:after="40" w:before="0"/>
      </w:pPr>
      <w:r>
        <w:rPr>
          <w:b w:val="0"/>
          <w:i w:val="0"/>
          <w:sz w:val="20"/>
        </w:rPr>
        <w:t>Knowledge Graphs and Retrieval: Knowledge retrieval for enterprise applications; knowledge graph construction and ontology design; typed declared edges; conjunctive (set-intersection) graph queries; multi-hop traversal; taxonomy design; SHA-256 content-addressed source provenance; canonical-text hashing; retrieval evaluation (macro-F1, hop-depth degradation, token cost); RAG, GraphRAG, and vector retrieval comparison; Neo4j and Cypher concepts; SPARQL concepts.</w:t>
      </w:r>
    </w:p>
    <w:p>
      <w:pPr>
        <w:spacing w:after="40" w:before="0"/>
      </w:pPr>
      <w:r>
        <w:rPr>
          <w:b w:val="0"/>
          <w:i w:val="0"/>
          <w:sz w:val="20"/>
        </w:rPr>
        <w:t>Full-Stack Web and Interfaces: Production JavaScript on both sides of the stack. Backend: serverless functions on Vercel — a JSON-RPC Model Context Protocol server implemented in JavaScript (initialize, tools/list, tools/call, API-key validation), a Stripe webhook handler with signature verification, license validation and graph-serving endpoints. Frontend: multi-page production sites deployed and live, with hand-written interactive graph visualizations — canvas and SVG rendering, requestAnimationFrame animation loops, drag, zoom, hover and selection state built directly rather than through a charting library. Responsive layout, CSS custom properties, light/dark theming, accessible semantic markup.</w:t>
      </w:r>
    </w:p>
    <w:p>
      <w:pPr>
        <w:spacing w:after="40" w:before="0"/>
      </w:pPr>
      <w:r>
        <w:rPr>
          <w:b w:val="0"/>
          <w:i w:val="0"/>
          <w:sz w:val="20"/>
        </w:rPr>
        <w:t>Languages, Platforms and Tooling: Python; JavaScript; HTML; CSS; SQL; asyncio; Starlette; FastAPI; Docker; Git; GitHub Actions; REST API design; microservices architecture; CI/CD pipelines (GitHub Actions, automated Docker image build and publish); OAuth and API key authentication; rate limiting and quota enforcement; secure and scalable service deployment; Amazon Web Services (AWS); Microsoft Azure; Google Cloud Platform (GCP); Vercel; Render; Snowflake; Databricks; Anthropic Claude API; OpenAI API; PostHog product analytics; Stripe; pytest.</w:t>
      </w:r>
    </w:p>
    <w:p>
      <w:pPr>
        <w:spacing w:after="40" w:before="180"/>
      </w:pPr>
      <w:r>
        <w:rPr>
          <w:b/>
          <w:i w:val="0"/>
          <w:sz w:val="22"/>
        </w:rPr>
        <w:t>PROFESSIONAL EXPERIENCE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0" w:before="120"/>
      </w:pPr>
      <w:r>
        <w:rPr>
          <w:b/>
          <w:i w:val="0"/>
          <w:sz w:val="20"/>
        </w:rPr>
        <w:t>Graphify.md — Minneapolis, MN</w:t>
      </w:r>
    </w:p>
    <w:p>
      <w:pPr>
        <w:spacing w:after="40" w:before="0"/>
      </w:pPr>
      <w:r>
        <w:rPr>
          <w:b w:val="0"/>
          <w:i/>
          <w:sz w:val="20"/>
        </w:rPr>
        <w:t>Founder and Principal Engineer, AI Infrastructure | 04/2026 – Present</w:t>
      </w:r>
    </w:p>
    <w:p>
      <w:pPr>
        <w:spacing w:after="30"/>
        <w:ind w:left="259" w:hanging="259"/>
      </w:pPr>
      <w:r>
        <w:rPr>
          <w:sz w:val="20"/>
        </w:rPr>
        <w:t>- Act as technical lead on ambiguous, high-stakes deployments, owning problems end-to-end from definition to resolution and owning both the technical and the business outcome.</w:t>
      </w:r>
    </w:p>
    <w:p>
      <w:pPr>
        <w:spacing w:after="30"/>
        <w:ind w:left="259" w:hanging="259"/>
      </w:pPr>
      <w:r>
        <w:rPr>
          <w:sz w:val="20"/>
        </w:rPr>
        <w:t>- 0 to 1 under ambiguity: built the entire product surface from nothing — retrieval architecture, 6 production Model Context Protocol (MCP) services, 12 published packages, provenance and payment layers, and the benchmark measuring whether any of it worked.</w:t>
      </w:r>
    </w:p>
    <w:p>
      <w:pPr>
        <w:spacing w:after="30"/>
        <w:ind w:left="259" w:hanging="259"/>
      </w:pPr>
      <w:r>
        <w:rPr>
          <w:sz w:val="20"/>
        </w:rPr>
        <w:t>- Made the standardization-versus-customization call explicitly: chose a portable typed-graph substrate reusable across 307 domains over bespoke per-customer retrieval, then measured the trade-off openly against RAG and Microsoft GraphRAG across 44 domains and 7,758 queries.</w:t>
      </w:r>
    </w:p>
    <w:p>
      <w:pPr>
        <w:spacing w:after="30"/>
        <w:ind w:left="259" w:hanging="259"/>
      </w:pPr>
      <w:r>
        <w:rPr>
          <w:sz w:val="20"/>
        </w:rPr>
        <w:t>- Codified patterns into deployment primitives that create leverage: installable packages, protocol servers consumed unchanged by every major agent framework, reference integrations, and 84 authored, versioned agent skills.</w:t>
      </w:r>
    </w:p>
    <w:p>
      <w:pPr>
        <w:spacing w:after="30"/>
        <w:ind w:left="259" w:hanging="259"/>
      </w:pPr>
      <w:r>
        <w:rPr>
          <w:sz w:val="20"/>
        </w:rPr>
        <w:t>- Write and ship production code on both sides of the stack: Python services plus JavaScript serverless functions — including a JSON-RPC MCP server implemented in JavaScript and a Stripe webhook with signature verification — and the interfaces on top, with interactive graph visualizations hand-built in canvas and SVG rather than pulled from a charting library.</w:t>
      </w:r>
    </w:p>
    <w:p>
      <w:pPr>
        <w:spacing w:after="30"/>
        <w:ind w:left="259" w:hanging="259"/>
      </w:pPr>
      <w:r>
        <w:rPr>
          <w:sz w:val="20"/>
        </w:rPr>
        <w:t>- Debug production incidents in unfamiliar systems under time pressure: diagnosed a transport defect rejecting 100% of external clients while health checks stayed green, a tool-schema mismatch silently breaking every caller behind HTTP 200s, and an authorization bypass caught before it shipped — each found by reading the protocol and the raw data, not the dashboard.</w:t>
      </w:r>
    </w:p>
    <w:p>
      <w:pPr>
        <w:spacing w:after="30"/>
        <w:ind w:left="259" w:hanging="259"/>
      </w:pPr>
      <w:r>
        <w:rPr>
          <w:sz w:val="20"/>
        </w:rPr>
        <w:t>- Player-coach by practice: Principal leading cross-functional Fortune 500 delivery, and eight years teaching mid-career engineers and architects to deploy and adopt AI in their own organizations — the enablement half of forward deployment, not just the build.</w:t>
      </w:r>
    </w:p>
    <w:p>
      <w:pPr>
        <w:spacing w:after="30"/>
        <w:ind w:left="259" w:hanging="259"/>
      </w:pPr>
      <w:r>
        <w:rPr>
          <w:sz w:val="20"/>
        </w:rPr>
        <w:t>- Translate field findings into product and research feedback, including publishing a reconciliation correcting his own cost figures when the original comparison proved flawed. Numbers that cannot be defended are worse than no numbers.</w:t>
      </w:r>
    </w:p>
    <w:p>
      <w:pPr>
        <w:spacing w:after="30"/>
        <w:ind w:left="259" w:hanging="259"/>
      </w:pPr>
      <w:r>
        <w:rPr>
          <w:sz w:val="20"/>
        </w:rPr>
        <w:t>- Designed, built, deployed and operated 6 production Model Context Protocol (MCP) servers serving typed knowledge graphs to AI agents, and published 12 Python packages to PyPI across 100+ releases — owning the complete lifecycle from protocol design through incident response. All of it built solo, first package published within weeks of starting.</w:t>
      </w:r>
    </w:p>
    <w:p>
      <w:pPr>
        <w:spacing w:after="30"/>
        <w:ind w:left="259" w:hanging="259"/>
      </w:pPr>
      <w:r>
        <w:rPr>
          <w:sz w:val="20"/>
        </w:rPr>
        <w:t>- Implemented the full MCP protocol surface in Python: JSON-RPC 2.0 initialize handshake with clientInfo and protocolVersion negotiation, tools/list, tools/call, resources/list, prompts/list, and notifications, with tool input and output schema validation.</w:t>
      </w:r>
    </w:p>
    <w:p>
      <w:pPr>
        <w:spacing w:after="30"/>
        <w:ind w:left="259" w:hanging="259"/>
      </w:pPr>
      <w:r>
        <w:rPr>
          <w:sz w:val="20"/>
        </w:rPr>
        <w:t>- Diagnosed and fixed a production transport defect where every external MCP client received HTTP 421 Misdirected Request: DNS-rebinding protection remained active with an empty host allow-list behind a reverse proxy, rejecting all traffic before it reached a tool. Implemented explicit transport security settings with configurable allowed hosts.</w:t>
      </w:r>
    </w:p>
    <w:p>
      <w:pPr>
        <w:spacing w:after="30"/>
        <w:ind w:left="259" w:hanging="259"/>
      </w:pPr>
      <w:r>
        <w:rPr>
          <w:sz w:val="20"/>
        </w:rPr>
        <w:t>- Built the metering and monetization layer for MCP: classified protocol methods as metered versus unmetered so the three-request handshake no longer consumed a client's entire free tier, implemented time-windowed free access with a call ceiling, per-IP and per-/24-subnet rate limiting, license key validation, and HTTP 402 Payment Required responses with signed payment challenges.</w:t>
      </w:r>
    </w:p>
    <w:p>
      <w:pPr>
        <w:spacing w:after="30"/>
        <w:ind w:left="259" w:hanging="259"/>
      </w:pPr>
      <w:r>
        <w:rPr>
          <w:sz w:val="20"/>
        </w:rPr>
        <w:t>- Instrumented MCP servers with product analytics using PostHog's MCP event schema — capturing tool calls, client identity from the initialize handshake, latency, errors and funnel conversion — and corrected three instrumentation defects that had made usage unattributable to any caller.</w:t>
      </w:r>
    </w:p>
    <w:p>
      <w:pPr>
        <w:spacing w:after="30"/>
        <w:ind w:left="259" w:hanging="259"/>
      </w:pPr>
      <w:r>
        <w:rPr>
          <w:sz w:val="20"/>
        </w:rPr>
        <w:t>- Implemented Agent-to-Agent (A2A) and machine-payment integrations: x402 / HTTP 402 request flow with EIP-3009 signed authorizations, Coinbase Developer Platform facilitator authentication, Base network settlement, and ERC-8004 agent identity — and documented the honest limitation that no mainnet facilitator existed for the required scheme.</w:t>
      </w:r>
    </w:p>
    <w:p>
      <w:pPr>
        <w:spacing w:after="30"/>
        <w:ind w:left="259" w:hanging="259"/>
      </w:pPr>
      <w:r>
        <w:rPr>
          <w:sz w:val="20"/>
        </w:rPr>
        <w:t>- Built a conjunctive query operator for knowledge graphs exposed as a single MCP tool — returning concepts reachable from every anchor as an exact set intersection over declared edges, with typed relation paths, AND/OR modes, and a per-step cardinality trace that makes retrieval auditable.</w:t>
      </w:r>
    </w:p>
    <w:p>
      <w:pPr>
        <w:spacing w:after="30"/>
        <w:ind w:left="259" w:hanging="259"/>
      </w:pPr>
      <w:r>
        <w:rPr>
          <w:sz w:val="20"/>
        </w:rPr>
        <w:t>- Designed a SHA-256 per-node source provenance system so any answer can be traced to the exact bytes of its source, including canonical-text hashing for CDN-rendered documents whose raw bytes carry rotating build tokens, and a verification tool that reports honestly when a source cannot be independently verified.</w:t>
      </w:r>
    </w:p>
    <w:p>
      <w:pPr>
        <w:spacing w:after="30"/>
        <w:ind w:left="259" w:hanging="259"/>
      </w:pPr>
      <w:r>
        <w:rPr>
          <w:sz w:val="20"/>
        </w:rPr>
        <w:t>- Benchmarked Compressed Knowledge Graph retrieval against RAG and Microsoft GraphRAG across 44 domains and 7,758 queries: macro-F1 0.471 versus 0.123 (RAG) and 0.120 (GraphRAG), a 3.8x improvement; 269 versus 2,982 tokens per query, an 11x reduction; multi-hop F1 rising to 0.772 at 5 hops while RAG remained flat near 0.17. Published the dataset and harness openly.</w:t>
      </w:r>
    </w:p>
    <w:p>
      <w:pPr>
        <w:spacing w:after="30"/>
        <w:ind w:left="259" w:hanging="259"/>
      </w:pPr>
      <w:r>
        <w:rPr>
          <w:sz w:val="20"/>
        </w:rPr>
        <w:t>- Built AI evaluation infrastructure: a reproducible retrieval-evaluation harness plus an independent evaluation against FrontierFinance, Samaya Research's open finance benchmark (220 queries, 11,543 rubric items, LLM judge panel) — evaluating against a third-party rubric rather than only a self-authored one.</w:t>
      </w:r>
    </w:p>
    <w:p>
      <w:pPr>
        <w:spacing w:after="30"/>
        <w:ind w:left="259" w:hanging="259"/>
      </w:pPr>
      <w:r>
        <w:rPr>
          <w:sz w:val="20"/>
        </w:rPr>
        <w:t>- Authored and maintained 300+ domain knowledge graphs with typed relations and per-node source provenance across healthcare, financial regulation, data engineering, and AI infrastructure.</w:t>
      </w:r>
    </w:p>
    <w:p>
      <w:pPr>
        <w:spacing w:after="30"/>
        <w:ind w:left="259" w:hanging="259"/>
      </w:pPr>
      <w:r>
        <w:rPr>
          <w:sz w:val="20"/>
        </w:rPr>
        <w:t>- Patent pending — three provisional applications filed 2026 covering knowledge graph architecture, encoding pipeline, and context infrastructure.</w:t>
      </w:r>
    </w:p>
    <w:p>
      <w:pPr>
        <w:spacing w:after="0" w:before="120"/>
      </w:pPr>
      <w:r>
        <w:rPr>
          <w:b/>
          <w:i w:val="0"/>
          <w:sz w:val="20"/>
        </w:rPr>
        <w:t>Slalom Consulting — Minneapolis, MN</w:t>
      </w:r>
    </w:p>
    <w:p>
      <w:pPr>
        <w:spacing w:after="40" w:before="0"/>
      </w:pPr>
      <w:r>
        <w:rPr>
          <w:b w:val="0"/>
          <w:i/>
          <w:sz w:val="20"/>
        </w:rPr>
        <w:t>Principal — Solution Owner, AI and Digital Transformation | 09/2023 – 04/2026</w:t>
      </w:r>
    </w:p>
    <w:p>
      <w:pPr>
        <w:spacing w:after="30"/>
        <w:ind w:left="259" w:hanging="259"/>
      </w:pPr>
      <w:r>
        <w:rPr>
          <w:sz w:val="20"/>
        </w:rPr>
        <w:t>- Architected enterprise AI and digital transformation programs for Fortune 500 clients including UnitedHealthcare (clinical AI pipelines), Best Buy (retail AI), and Cargill (supply chain AI).</w:t>
      </w:r>
    </w:p>
    <w:p>
      <w:pPr>
        <w:spacing w:after="30"/>
        <w:ind w:left="259" w:hanging="259"/>
      </w:pPr>
      <w:r>
        <w:rPr>
          <w:sz w:val="20"/>
        </w:rPr>
        <w:t>- Led cross-functional AI delivery across engineering, data science and business stakeholders, translating strategy into production system architecture and deployment roadmaps.</w:t>
      </w:r>
    </w:p>
    <w:p>
      <w:pPr>
        <w:spacing w:after="30"/>
        <w:ind w:left="259" w:hanging="259"/>
      </w:pPr>
      <w:r>
        <w:rPr>
          <w:sz w:val="20"/>
        </w:rPr>
        <w:t>- Designed AI workflow orchestration and agent coordination patterns for enterprise deployment, including production readiness, monitoring and evaluation frameworks for regulated environments.</w:t>
      </w:r>
    </w:p>
    <w:p>
      <w:pPr>
        <w:spacing w:after="30"/>
        <w:ind w:left="259" w:hanging="259"/>
      </w:pPr>
      <w:r>
        <w:rPr>
          <w:sz w:val="20"/>
        </w:rPr>
        <w:t>- Managed technical vendor relationships and platform integration across Anthropic, OpenAI, Azure OpenAI Service on Microsoft Azure AI, and AWS SageMaker.</w:t>
      </w:r>
    </w:p>
    <w:p>
      <w:pPr>
        <w:spacing w:after="0" w:before="120"/>
      </w:pPr>
      <w:r>
        <w:rPr>
          <w:b/>
          <w:i w:val="0"/>
          <w:sz w:val="20"/>
        </w:rPr>
        <w:t>West Monroe Partners — Minneapolis, MN</w:t>
      </w:r>
    </w:p>
    <w:p>
      <w:pPr>
        <w:spacing w:after="40" w:before="0"/>
      </w:pPr>
      <w:r>
        <w:rPr>
          <w:b w:val="0"/>
          <w:i/>
          <w:sz w:val="20"/>
        </w:rPr>
        <w:t>Lead Solution Architect, Industrial IoT and Commercial AI | 2021 – 2023</w:t>
      </w:r>
    </w:p>
    <w:p>
      <w:pPr>
        <w:spacing w:after="30"/>
        <w:ind w:left="259" w:hanging="259"/>
      </w:pPr>
      <w:r>
        <w:rPr>
          <w:sz w:val="20"/>
        </w:rPr>
        <w:t>- Led AI and Internet of Things (IoT) architecture for industrial and commercial clients: production machine learning pipelines, real-time data systems, and multi-system orchestration.</w:t>
      </w:r>
    </w:p>
    <w:p>
      <w:pPr>
        <w:spacing w:after="30"/>
        <w:ind w:left="259" w:hanging="259"/>
      </w:pPr>
      <w:r>
        <w:rPr>
          <w:sz w:val="20"/>
        </w:rPr>
        <w:t>- Designed production deployment architecture for AI systems in operational environments, covering reliability, monitoring and performance under load.</w:t>
      </w:r>
    </w:p>
    <w:p>
      <w:pPr>
        <w:spacing w:after="0" w:before="120"/>
      </w:pPr>
      <w:r>
        <w:rPr>
          <w:b/>
          <w:i w:val="0"/>
          <w:sz w:val="20"/>
        </w:rPr>
        <w:t>ATEK Access Technologies — Minneapolis, MN</w:t>
      </w:r>
    </w:p>
    <w:p>
      <w:pPr>
        <w:spacing w:after="40" w:before="0"/>
      </w:pPr>
      <w:r>
        <w:rPr>
          <w:b w:val="0"/>
          <w:i/>
          <w:sz w:val="20"/>
        </w:rPr>
        <w:t>IoT and Data Science Practice Leader | 2016 – 2020</w:t>
      </w:r>
    </w:p>
    <w:p>
      <w:pPr>
        <w:spacing w:after="30"/>
        <w:ind w:left="259" w:hanging="259"/>
      </w:pPr>
      <w:r>
        <w:rPr>
          <w:sz w:val="20"/>
        </w:rPr>
        <w:t>- Built the data science and IoT practice from zero, including AWS, Siemens and IBM strategic partnerships and production machine learning deployment in industrial field operations.</w:t>
      </w:r>
    </w:p>
    <w:p>
      <w:pPr>
        <w:spacing w:after="30"/>
        <w:ind w:left="259" w:hanging="259"/>
      </w:pPr>
      <w:r>
        <w:rPr>
          <w:sz w:val="20"/>
        </w:rPr>
        <w:t>- Led sensor data orchestration across distributed field devices, including real-time data pipeline design and system integration architecture.</w:t>
      </w:r>
    </w:p>
    <w:p>
      <w:pPr>
        <w:spacing w:after="0" w:before="120"/>
      </w:pPr>
      <w:r>
        <w:rPr>
          <w:b/>
          <w:i w:val="0"/>
          <w:sz w:val="20"/>
        </w:rPr>
        <w:t>University of St. Thomas — Minneapolis, MN</w:t>
      </w:r>
    </w:p>
    <w:p>
      <w:pPr>
        <w:spacing w:after="40" w:before="0"/>
      </w:pPr>
      <w:r>
        <w:rPr>
          <w:b w:val="0"/>
          <w:i/>
          <w:sz w:val="20"/>
        </w:rPr>
        <w:t>Adjunct Professor, Graduate AI Systems (SEIS 666) | 2018 – Present</w:t>
      </w:r>
    </w:p>
    <w:p>
      <w:pPr>
        <w:spacing w:after="30"/>
        <w:ind w:left="259" w:hanging="259"/>
      </w:pPr>
      <w:r>
        <w:rPr>
          <w:sz w:val="20"/>
        </w:rPr>
        <w:t>- Eight years accelerating large language model (LLM) and knowledge graph capability for senior product and engineering leaders. Students are practicing technology executives and staff-level engineers who apply the material directly to live production initiatives at their own companies.</w:t>
      </w:r>
    </w:p>
    <w:p>
      <w:pPr>
        <w:spacing w:after="30"/>
        <w:ind w:left="259" w:hanging="259"/>
      </w:pPr>
      <w:r>
        <w:rPr>
          <w:sz w:val="20"/>
        </w:rPr>
        <w:t>- Designed and continually rewrite graduate curriculum spanning production LLM systems, agent orchestration design, knowledge graph infrastructure, enterprise AI evaluation, and digital transformation — updated each term as the capability frontier moves.</w:t>
      </w:r>
    </w:p>
    <w:p>
      <w:pPr>
        <w:spacing w:after="30"/>
        <w:ind w:left="259" w:hanging="259"/>
      </w:pPr>
      <w:r>
        <w:rPr>
          <w:sz w:val="20"/>
        </w:rPr>
        <w:t>- Enterprise AI adoption and enablement at leadership level: technical upskilling of senior technologists, change management, and closing the gap between what a system can do and what an organization will actually put into production.</w:t>
      </w:r>
    </w:p>
    <w:p>
      <w:pPr>
        <w:spacing w:after="40" w:before="180"/>
      </w:pPr>
      <w:r>
        <w:rPr>
          <w:b/>
          <w:i w:val="0"/>
          <w:sz w:val="22"/>
        </w:rPr>
        <w:t>PUBLISHED MCP SERVER PORTFOLIO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60" w:before="0"/>
      </w:pPr>
      <w:r>
        <w:rPr>
          <w:b w:val="0"/>
          <w:i w:val="0"/>
          <w:sz w:val="20"/>
        </w:rPr>
        <w:t>12 Python packages published to the Python Package Index (PyPI) under user danyarm, spanning 100+ releases. Full catalog at github.com/Yarmoluk.</w:t>
      </w:r>
    </w:p>
    <w:p>
      <w:pPr>
        <w:spacing w:after="30"/>
        <w:ind w:left="259" w:hanging="259"/>
      </w:pPr>
      <w:r>
        <w:rPr>
          <w:sz w:val="20"/>
        </w:rPr>
        <w:t>- ckg-nvidia-ai — NVIDIA developer stack knowledge graphs (20 domains) served over MCP; 29 releases; includes metered free tier, license-key auth, and HTTP 402 payment challenge.</w:t>
      </w:r>
    </w:p>
    <w:p>
      <w:pPr>
        <w:spacing w:after="30"/>
        <w:ind w:left="259" w:hanging="259"/>
      </w:pPr>
      <w:r>
        <w:rPr>
          <w:sz w:val="20"/>
        </w:rPr>
        <w:t>- ckg-nvidia-nemoclaw — single-domain MCP server, 31 releases; typed relation traversal with per-node source provenance.</w:t>
      </w:r>
    </w:p>
    <w:p>
      <w:pPr>
        <w:spacing w:after="30"/>
        <w:ind w:left="259" w:hanging="259"/>
      </w:pPr>
      <w:r>
        <w:rPr>
          <w:sz w:val="20"/>
        </w:rPr>
        <w:t>- ckg-agentforce — Salesforce Agentforce domain graphs over MCP; 18 releases; license-gated tool surface.</w:t>
      </w:r>
    </w:p>
    <w:p>
      <w:pPr>
        <w:spacing w:after="30"/>
        <w:ind w:left="259" w:hanging="259"/>
      </w:pPr>
      <w:r>
        <w:rPr>
          <w:sz w:val="20"/>
        </w:rPr>
        <w:t>- ckg-mcp — multi-domain MCP server, 300+ knowledge graphs, conjunctive query operator, source-verification tool; 20 releases.</w:t>
      </w:r>
    </w:p>
    <w:p>
      <w:pPr>
        <w:spacing w:after="30"/>
        <w:ind w:left="259" w:hanging="259"/>
      </w:pPr>
      <w:r>
        <w:rPr>
          <w:sz w:val="20"/>
        </w:rPr>
        <w:t>- langchain-ckg — LangChain retriever integration with API-key auth and 402 handling.</w:t>
      </w:r>
    </w:p>
    <w:p>
      <w:pPr>
        <w:spacing w:after="30"/>
        <w:ind w:left="259" w:hanging="259"/>
      </w:pPr>
      <w:r>
        <w:rPr>
          <w:sz w:val="20"/>
        </w:rPr>
        <w:t>- Additional published packages: ckg-ai-platforms, ckg-nemotron-perplexity, ckg-agent-protocols, ckg-nvidia-nemotron, ckg-nvidia-guardrails, agentmem-mcp, ckg-extract.</w:t>
      </w:r>
    </w:p>
    <w:p>
      <w:pPr>
        <w:spacing w:after="40" w:before="180"/>
      </w:pPr>
      <w:r>
        <w:rPr>
          <w:b/>
          <w:i w:val="0"/>
          <w:sz w:val="22"/>
        </w:rPr>
        <w:t>BENCHMARK — PUBLISHED AND REPRODUCIBLE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60" w:before="0"/>
      </w:pPr>
      <w:r>
        <w:rPr>
          <w:b w:val="0"/>
          <w:i w:val="0"/>
          <w:sz w:val="20"/>
        </w:rPr>
        <w:t>Compressed Knowledge Graph versus Retrieval-Augmented Generation (RAG) and Microsoft GraphRAG. Version 0.6.2, locked: 44 domains, 7,758 queries. Dataset and evaluation harness published openly (CC-BY-4.0) so results can be independently re-run.</w:t>
      </w:r>
    </w:p>
    <w:p>
      <w:pPr>
        <w:spacing w:after="30"/>
        <w:ind w:left="259" w:hanging="259"/>
      </w:pPr>
      <w:r>
        <w:rPr>
          <w:sz w:val="20"/>
        </w:rPr>
        <w:t>- Answer quality: macro-F1 0.471 (CKG) versus 0.123 (RAG) and 0.120 (GraphRAG) — 3.8x.</w:t>
      </w:r>
    </w:p>
    <w:p>
      <w:pPr>
        <w:spacing w:after="30"/>
        <w:ind w:left="259" w:hanging="259"/>
      </w:pPr>
      <w:r>
        <w:rPr>
          <w:sz w:val="20"/>
        </w:rPr>
        <w:t>- Context efficiency: 269 versus 2,982 tokens per query — 11x fewer tokens.</w:t>
      </w:r>
    </w:p>
    <w:p>
      <w:pPr>
        <w:spacing w:after="30"/>
        <w:ind w:left="259" w:hanging="259"/>
      </w:pPr>
      <w:r>
        <w:rPr>
          <w:sz w:val="20"/>
        </w:rPr>
        <w:t>- Multi-hop reasoning: F1 rises to 0.772 at 5-hop depth while RAG stays flat near 0.170.</w:t>
      </w:r>
    </w:p>
    <w:p>
      <w:pPr>
        <w:spacing w:after="30"/>
        <w:ind w:left="259" w:hanging="259"/>
      </w:pPr>
      <w:r>
        <w:rPr>
          <w:sz w:val="20"/>
        </w:rPr>
        <w:t>- Auditability: every answer traces to a declared relationship and, where source provenance is present, to a SHA-256 hash of the source bytes.</w:t>
      </w:r>
    </w:p>
    <w:p>
      <w:pPr>
        <w:spacing w:after="30"/>
        <w:ind w:left="259" w:hanging="259"/>
      </w:pPr>
      <w:r>
        <w:rPr>
          <w:sz w:val="20"/>
        </w:rPr>
        <w:t>- Reproducibility: github.com/Yarmoluk/ckg-benchmark and huggingface.co/danyarm — clone and re-run.</w:t>
      </w:r>
    </w:p>
    <w:p>
      <w:pPr>
        <w:spacing w:after="40" w:before="180"/>
      </w:pPr>
      <w:r>
        <w:rPr>
          <w:b/>
          <w:i w:val="0"/>
          <w:sz w:val="22"/>
        </w:rPr>
        <w:t>PUBLICATIONS AND RECOGNITION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30"/>
        <w:ind w:left="259" w:hanging="259"/>
      </w:pPr>
      <w:r>
        <w:rPr>
          <w:sz w:val="20"/>
        </w:rPr>
        <w:t>- Publication in preparation: a systematic benchmark of compressed knowledge graphs for enterprise AI, in collaboration with Dan McCreary, former Head of AI at TigerGraph.</w:t>
      </w:r>
    </w:p>
    <w:p>
      <w:pPr>
        <w:spacing w:after="30"/>
        <w:ind w:left="259" w:hanging="259"/>
      </w:pPr>
      <w:r>
        <w:rPr>
          <w:sz w:val="20"/>
        </w:rPr>
        <w:t>- Media: featured in CIO Dive on enterprise context limitations; guest on the AI and Data Horizons podcast; host of All Things Data (1M+ downloads). Benchmark cited independently at Data Tech 2026.</w:t>
      </w:r>
    </w:p>
    <w:p>
      <w:pPr>
        <w:spacing w:after="40" w:before="180"/>
      </w:pPr>
      <w:r>
        <w:rPr>
          <w:b/>
          <w:i w:val="0"/>
          <w:sz w:val="22"/>
        </w:rPr>
        <w:t>EDUCATION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30"/>
        <w:ind w:left="259" w:hanging="259"/>
      </w:pPr>
      <w:r>
        <w:rPr>
          <w:sz w:val="20"/>
        </w:rPr>
        <w:t>- Graduate Degree, Data Science — University of St. Thomas</w:t>
      </w:r>
    </w:p>
    <w:p>
      <w:pPr>
        <w:spacing w:after="30"/>
        <w:ind w:left="259" w:hanging="259"/>
      </w:pPr>
      <w:r>
        <w:rPr>
          <w:sz w:val="20"/>
        </w:rPr>
        <w:t>- Master of Business Administration — Loyola University Chicago</w:t>
      </w:r>
    </w:p>
    <w:p>
      <w:pPr>
        <w:spacing w:after="30"/>
        <w:ind w:left="259" w:hanging="259"/>
      </w:pPr>
      <w:r>
        <w:rPr>
          <w:sz w:val="20"/>
        </w:rPr>
        <w:t>- Bachelor of Arts, International Affairs — University of Texas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