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Forward Deployed Engineer | Enterprise AI Agents | Model Context Protocol (MCP) and A2A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Forward deployed engineer who embeds with customers and ships working software against ambiguous requirements. Delivered production AI systems inside Fortune 500 environments — UnitedHealthcare, Best Buy, Cargill — owning the outcome from first workshop through deployed system, and building the integration code rather than handing off a diagram. Deep hands-on ownership of the agent protocol stack: 12 Python packages published to PyPI, 6 production Model Context Protocol (MCP) services, and end-to-end implementation of the protocol surface including transport security, metering, HTTP 402 payment rails and observability. Also Agent-to-Agent (A2A), Google Agent Development Kit (ADK), x402 machine payments and ERC-8004 agent identity. Creator of the Compressed Knowledge Graph (CKG), benchmarked openly against Retrieval-Augmented Generation (RAG) and GraphRAG. Comfortable debugging production incidents in unfamiliar systems under time pressure. Patent pending. Adjunct professor of graduate AI systems.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Full-Stack Web and Interfaces: Production JavaScript on both sides of the stack. Backend: serverless functions on Vercel — a JSON-RPC Model Context Protocol server implemented in JavaScript (initialize, tools/list, tools/call, API-key validation), a Stripe webhook handler with signature verification, license validation and graph-serving endpoints. Frontend: multi-page production sites deployed and live, with hand-written interactive graph visualizations — canvas and SVG rendering, requestAnimationFrame animation loops, drag, zoom, hover and selection state built directly rather than through a charting library. Responsive layout, CSS custom properties, light/dark theming, accessible semantic markup.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JavaScript; HTML; CSS;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Vercel;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Embed directly with customer engineering teams to scope, prototype and ship production systems against ambiguous and shifting requirements, owning the working result rather than the design document.</w:t>
      </w:r>
    </w:p>
    <w:p>
      <w:pPr>
        <w:spacing w:after="30"/>
        <w:ind w:left="259" w:hanging="259"/>
      </w:pPr>
      <w:r>
        <w:rPr>
          <w:sz w:val="20"/>
        </w:rPr>
        <w:t>- Debug and resolve production incidents in unfamiliar systems: diagnosed and fixed a transport defect rejecting 100% of external clients, a tool-schema mismatch silently breaking every caller, and an authorization bypass — each found by reading the protocol and the data rather than assuming.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