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i w:val="0"/>
          <w:sz w:val="38"/>
        </w:rPr>
        <w:t>Daniel Yarmoluk</w:t>
      </w:r>
    </w:p>
    <w:p>
      <w:pPr>
        <w:spacing w:after="20" w:before="0"/>
        <w:jc w:val="center"/>
      </w:pPr>
      <w:r>
        <w:rPr>
          <w:b/>
          <w:i w:val="0"/>
          <w:sz w:val="21"/>
        </w:rPr>
        <w:t>Vice President / Managing Director, Artificial Intelligence | Enterprise AI Strategy, Practice Building and Delivery</w:t>
      </w:r>
    </w:p>
    <w:p>
      <w:pPr>
        <w:spacing w:after="0" w:before="0"/>
        <w:jc w:val="center"/>
      </w:pPr>
      <w:r>
        <w:rPr>
          <w:b w:val="0"/>
          <w:i w:val="0"/>
          <w:sz w:val="19"/>
        </w:rPr>
        <w:t>Minneapolis, MN | daniel.yarmoluk@gmail.com</w:t>
      </w:r>
    </w:p>
    <w:p>
      <w:pPr>
        <w:spacing w:after="40" w:before="0"/>
        <w:jc w:val="center"/>
      </w:pPr>
      <w:r>
        <w:rPr>
          <w:b w:val="0"/>
          <w:i w:val="0"/>
          <w:sz w:val="19"/>
        </w:rPr>
        <w:t>linkedin.com/in/danyarmoluk | github.com/Yarmoluk | pypi.org/user/danyarm | huggingface.co/danyarm | graphifymd.com</w:t>
      </w:r>
    </w:p>
    <w:p>
      <w:pPr>
        <w:spacing w:after="40" w:before="180"/>
      </w:pPr>
      <w:r>
        <w:rPr>
          <w:b/>
          <w:i w:val="0"/>
          <w:sz w:val="22"/>
        </w:rPr>
        <w:t>PROFESSIONAL SUMMARY</w:t>
      </w:r>
    </w:p>
    <w:p>
      <w:pPr>
        <w:spacing w:after="60" w:before="0"/>
      </w:pPr>
      <w:r>
        <w:rPr>
          <w:sz w:val="12"/>
        </w:rPr>
        <w:t>________________________________________________________________________________________________</w:t>
      </w:r>
    </w:p>
    <w:p>
      <w:pPr>
        <w:spacing w:after="40" w:before="0"/>
      </w:pPr>
      <w:r>
        <w:rPr>
          <w:b w:val="0"/>
          <w:i w:val="0"/>
          <w:sz w:val="20"/>
        </w:rPr>
        <w:t>Enterprise AI executive with 20 years building and leading technology practices, and the rare ability to both set AI strategy at the executive table and build the reference implementation teams work from. As Principal and Solution Owner at Slalom Consulting, led Fortune 500 AI programs for UnitedHealthcare, Best Buy and Cargill — owning discovery, executive alignment, reference architecture, phased roadmaps, vendor selection and production-readiness and evaluation frameworks for HIPAA-regulated environments. Built a data science and Internet of Things practice from zero at ATEK, including AWS, Siemens and IBM strategic partnerships. Managed platform and vendor relationships across Anthropic, OpenAI, Azure OpenAI Service and AWS SageMaker. Founder-operator of an AI infrastructure company built end to end — 12 published packages, 6 production services, 307 domain knowledge graphs, and an open benchmark against Retrieval-Augmented Generation (RAG) and Microsoft GraphRAG; patent pending. Eight years on graduate faculty at the University of St. Thomas accelerating AI capability for senior product and engineering leaders.</w:t>
      </w:r>
    </w:p>
    <w:p>
      <w:pPr>
        <w:spacing w:after="40" w:before="180"/>
      </w:pPr>
      <w:r>
        <w:rPr>
          <w:b/>
          <w:i w:val="0"/>
          <w:sz w:val="22"/>
        </w:rPr>
        <w:t>TECHNICAL SKILLS</w:t>
      </w:r>
    </w:p>
    <w:p>
      <w:pPr>
        <w:spacing w:after="60" w:before="0"/>
      </w:pPr>
      <w:r>
        <w:rPr>
          <w:sz w:val="12"/>
        </w:rPr>
        <w:t>________________________________________________________________________________________________</w:t>
      </w:r>
    </w:p>
    <w:p>
      <w:pPr>
        <w:spacing w:after="40" w:before="0"/>
      </w:pPr>
      <w:r>
        <w:rPr>
          <w:b w:val="0"/>
          <w:i w:val="0"/>
          <w:sz w:val="20"/>
        </w:rPr>
        <w:t>Model Context Protocol (MCP): MCP server design and implementation; FastMCP; JSON-RPC 2.0; initialize handshake and clientInfo negotiation; tools/list, tools/call, resources/list, prompts/list; notifications/initialized; tool input and output schema design and validation; streamable HTTP transport; Server-Sent Events (SSE); Mcp-Session-Id session management; DNS-rebinding protection and Host allow-listing; MCP client integration (Claude Desktop, Claude Code, Cursor); MCP server registries and directory distribution; MCP analytics instrumentation.</w:t>
      </w:r>
    </w:p>
    <w:p>
      <w:pPr>
        <w:spacing w:after="40" w:before="0"/>
      </w:pPr>
      <w:r>
        <w:rPr>
          <w:b w:val="0"/>
          <w:i w:val="0"/>
          <w:sz w:val="20"/>
        </w:rPr>
        <w:t>Agent Distribution and Discovery: MCP server publication and registry distribution; A2A agent card authoring (/.well-known/agent-card.json) with machine-readable capability, pricing and payment extensions; MCP server cards; public MCP registry listing; discovery-document design for automated agent consumption; client identification via the MCP initialize handshake; Python packaging and release engineering (12 packages, 100+ PyPI releases).</w:t>
      </w:r>
    </w:p>
    <w:p>
      <w:pPr>
        <w:spacing w:after="40" w:before="0"/>
      </w:pPr>
      <w:r>
        <w:rPr>
          <w:b w:val="0"/>
          <w:i w:val="0"/>
          <w:sz w:val="20"/>
        </w:rPr>
        <w:t>Agent-to-Agent (A2A) and Agent Protocols: A2A (Agent-to-Agent) protocol v1.0; agent cards, capability advertisement and skill declaration; agent discovery and negotiation; Google Agent Development Kit (ADK); x402 / HTTP 402 machine-payable APIs; EIP-3009 signed payment authorizations; Coinbase Developer Platform (CDP) facilitator; Base network settlement; ERC-8004 agent identity and trust; multi-agent orchestration; LangGraph; LangChain; AutoGen; CrewAI.</w:t>
      </w:r>
    </w:p>
    <w:p>
      <w:pPr>
        <w:spacing w:after="40" w:before="0"/>
      </w:pPr>
      <w:r>
        <w:rPr>
          <w:b w:val="0"/>
          <w:i w:val="0"/>
          <w:sz w:val="20"/>
        </w:rPr>
        <w:t>Generative AI, Agents and Orchestration: Agentic AI architecture; autonomous agent design; multi-agent orchestration; agent-to-agent coordination; reasoning, planning and autonomous decision-making loops; tool and function calling; prompt engineering and context engineering; LangChain; LangGraph; AutoGen; CrewAI; Anthropic Claude; OpenAI; Azure OpenAI Service; Microsoft Azure AI; Microsoft Semantic Kernel; Google Gemini; xAI Grok; Perplexity; open-source models (Llama, Nemotron, Hugging Face); Claude Code (authored 84 skills, subagents, hooks and MCP integrations); agent governance, monitoring, latency and cost optimization.</w:t>
      </w:r>
    </w:p>
    <w:p>
      <w:pPr>
        <w:spacing w:after="40" w:before="0"/>
      </w:pPr>
      <w:r>
        <w:rPr>
          <w:b w:val="0"/>
          <w:i w:val="0"/>
          <w:sz w:val="20"/>
        </w:rPr>
        <w:t>AI Evaluation and Benchmarking: Retrieval evaluation harness design; macro-F1, precision/recall, hop-depth degradation, token and cost-per-query measurement; LLM-as-judge scoring; independent third-party benchmark evaluation (FrontierFinance, Samaya Research — 220 queries, 11,543 rubric items, judge panel); comparative benchmarking of knowledge-graph retrieval against RAG and GraphRAG; published open dataset and reproducible harness.</w:t>
      </w:r>
    </w:p>
    <w:p>
      <w:pPr>
        <w:spacing w:after="40" w:before="0"/>
      </w:pPr>
      <w:r>
        <w:rPr>
          <w:b w:val="0"/>
          <w:i w:val="0"/>
          <w:sz w:val="20"/>
        </w:rPr>
        <w:t>Retrieval-Augmented Generation (RAG) and Vector Search: RAG pipeline design, implementation and evaluation; vector databases and vector search (FAISS, Chroma); sentence-transformers embeddings (all-MiniLM-L6, all-mpnet); chunking strategies; top-k retrieval; hybrid and reranked retrieval; GraphRAG; comparative retrieval benchmarking against a typed knowledge graph.</w:t>
      </w:r>
    </w:p>
    <w:p>
      <w:pPr>
        <w:spacing w:after="40" w:before="0"/>
      </w:pPr>
      <w:r>
        <w:rPr>
          <w:b w:val="0"/>
          <w:i w:val="0"/>
          <w:sz w:val="20"/>
        </w:rPr>
        <w:t>Knowledge Graphs and Retrieval: Knowledge retrieval for enterprise applications; knowledge graph construction and ontology design; typed declared edges; conjunctive (set-intersection) graph queries; multi-hop traversal; taxonomy design; SHA-256 content-addressed source provenance; canonical-text hashing; retrieval evaluation (macro-F1, hop-depth degradation, token cost); RAG, GraphRAG, and vector retrieval comparison; Neo4j and Cypher concepts; SPARQL concepts.</w:t>
      </w:r>
    </w:p>
    <w:p>
      <w:pPr>
        <w:spacing w:after="40" w:before="0"/>
      </w:pPr>
      <w:r>
        <w:rPr>
          <w:b w:val="0"/>
          <w:i w:val="0"/>
          <w:sz w:val="20"/>
        </w:rPr>
        <w:t>Full-Stack Web and Interfaces: Production JavaScript on both sides of the stack. Backend: serverless functions on Vercel — a JSON-RPC Model Context Protocol server implemented in JavaScript (initialize, tools/list, tools/call, API-key validation), a Stripe webhook handler with signature verification, license validation and graph-serving endpoints. Frontend: multi-page production sites deployed and live, with hand-written interactive graph visualizations — canvas and SVG rendering, requestAnimationFrame animation loops, drag, zoom, hover and selection state built directly rather than through a charting library. Responsive layout, CSS custom properties, light/dark theming, accessible semantic markup.</w:t>
      </w:r>
    </w:p>
    <w:p>
      <w:pPr>
        <w:spacing w:after="40" w:before="0"/>
      </w:pPr>
      <w:r>
        <w:rPr>
          <w:b w:val="0"/>
          <w:i w:val="0"/>
          <w:sz w:val="20"/>
        </w:rPr>
        <w:t>Languages, Platforms and Tooling: Python; JavaScript; HTML; CSS; SQL; asyncio; Starlette; FastAPI; Docker; Git; GitHub Actions; REST API design; microservices architecture; CI/CD pipelines (GitHub Actions, automated Docker image build and publish); OAuth and API key authentication; rate limiting and quota enforcement; secure and scalable service deployment; Amazon Web Services (AWS); Microsoft Azure; Google Cloud Platform (GCP); Vercel; Render; Snowflake; Databricks; Anthropic Claude API; OpenAI API; PostHog product analytics; Stripe; pytest.</w:t>
      </w:r>
    </w:p>
    <w:p>
      <w:pPr>
        <w:spacing w:after="40" w:before="180"/>
      </w:pPr>
      <w:r>
        <w:rPr>
          <w:b/>
          <w:i w:val="0"/>
          <w:sz w:val="22"/>
        </w:rPr>
        <w:t>PROFESSIONAL EXPERIENCE</w:t>
      </w:r>
    </w:p>
    <w:p>
      <w:pPr>
        <w:spacing w:after="60" w:before="0"/>
      </w:pPr>
      <w:r>
        <w:rPr>
          <w:sz w:val="12"/>
        </w:rPr>
        <w:t>________________________________________________________________________________________________</w:t>
      </w:r>
    </w:p>
    <w:p>
      <w:pPr>
        <w:spacing w:after="0" w:before="120"/>
      </w:pPr>
      <w:r>
        <w:rPr>
          <w:b/>
          <w:i w:val="0"/>
          <w:sz w:val="20"/>
        </w:rPr>
        <w:t>Graphify.md — Minneapolis, MN</w:t>
      </w:r>
    </w:p>
    <w:p>
      <w:pPr>
        <w:spacing w:after="40" w:before="0"/>
      </w:pPr>
      <w:r>
        <w:rPr>
          <w:b w:val="0"/>
          <w:i/>
          <w:sz w:val="20"/>
        </w:rPr>
        <w:t>Founder and Principal Engineer, AI Infrastructure | 04/2026 – Present</w:t>
      </w:r>
    </w:p>
    <w:p>
      <w:pPr>
        <w:spacing w:after="30"/>
        <w:ind w:left="259" w:hanging="259"/>
      </w:pPr>
      <w:r>
        <w:rPr>
          <w:sz w:val="20"/>
        </w:rPr>
        <w:t>- Set enterprise AI strategy with executive stakeholders and translate it into funded, sequenced delivery: business case, reference architecture, phased roadmap, build-versus-buy and vendor selection, production-readiness gates and measurable adoption.</w:t>
      </w:r>
    </w:p>
    <w:p>
      <w:pPr>
        <w:spacing w:after="30"/>
        <w:ind w:left="259" w:hanging="259"/>
      </w:pPr>
      <w:r>
        <w:rPr>
          <w:sz w:val="20"/>
        </w:rPr>
        <w:t>- Build and lead practices: established a data science and IoT practice from zero including strategic partnerships with AWS, Siemens and IBM, and led cross-functional delivery teams spanning engineering, data science and business stakeholders at Fortune 500 scale.</w:t>
      </w:r>
    </w:p>
    <w:p>
      <w:pPr>
        <w:spacing w:after="30"/>
        <w:ind w:left="259" w:hanging="259"/>
      </w:pPr>
      <w:r>
        <w:rPr>
          <w:sz w:val="20"/>
        </w:rPr>
        <w:t>- Own AI governance and risk posture for regulated environments — Responsible AI practice, evaluation frameworks, monitoring, provenance and auditability in HIPAA-regulated healthcare delivery.</w:t>
      </w:r>
    </w:p>
    <w:p>
      <w:pPr>
        <w:spacing w:after="30"/>
        <w:ind w:left="259" w:hanging="259"/>
      </w:pPr>
      <w:r>
        <w:rPr>
          <w:sz w:val="20"/>
        </w:rPr>
        <w:t>- Evaluate and negotiate platform and vendor relationships across Anthropic, OpenAI, Azure OpenAI Service and AWS SageMaker on latency, cost, compliance and roadmap fit.</w:t>
      </w:r>
    </w:p>
    <w:p>
      <w:pPr>
        <w:spacing w:after="30"/>
        <w:ind w:left="259" w:hanging="259"/>
      </w:pPr>
      <w:r>
        <w:rPr>
          <w:sz w:val="20"/>
        </w:rPr>
        <w:t>- Develop senior talent: eight years teaching graduate AI systems to practicing technology executives and staff-level engineers, and 84 authored, versioned enablement assets that codify practice rather than leaving it tacit.</w:t>
      </w:r>
    </w:p>
    <w:p>
      <w:pPr>
        <w:spacing w:after="30"/>
        <w:ind w:left="259" w:hanging="259"/>
      </w:pPr>
      <w:r>
        <w:rPr>
          <w:sz w:val="20"/>
        </w:rPr>
        <w:t>- Bring hard evidence to claims. Published an open, re-runnable benchmark across 44 domains and 7,758 queries — and a public correction of my own cost figures when the original comparison proved flawed. Numbers that cannot be defended are worse than no numbers.</w:t>
      </w:r>
    </w:p>
    <w:p>
      <w:pPr>
        <w:spacing w:after="30"/>
        <w:ind w:left="259" w:hanging="259"/>
      </w:pPr>
      <w:r>
        <w:rPr>
          <w:sz w:val="20"/>
        </w:rPr>
        <w:t>- Designed, built, deployed and operated 6 production Model Context Protocol (MCP) servers serving typed knowledge graphs to AI agents, and published 12 Python packages to PyPI across 100+ releases — owning the complete lifecycle from protocol design through incident response. All of it built solo, first package published within weeks of starting.</w:t>
      </w:r>
    </w:p>
    <w:p>
      <w:pPr>
        <w:spacing w:after="30"/>
        <w:ind w:left="259" w:hanging="259"/>
      </w:pPr>
      <w:r>
        <w:rPr>
          <w:sz w:val="20"/>
        </w:rPr>
        <w:t>- Implemented the full MCP protocol surface in Python: JSON-RPC 2.0 initialize handshake with clientInfo and protocolVersion negotiation, tools/list, tools/call, resources/list, prompts/list, and notifications, with tool input and output schema validation.</w:t>
      </w:r>
    </w:p>
    <w:p>
      <w:pPr>
        <w:spacing w:after="30"/>
        <w:ind w:left="259" w:hanging="259"/>
      </w:pPr>
      <w:r>
        <w:rPr>
          <w:sz w:val="20"/>
        </w:rPr>
        <w:t>- Diagnosed and fixed a production transport defect where every external MCP client received HTTP 421 Misdirected Request: DNS-rebinding protection remained active with an empty host allow-list behind a reverse proxy, rejecting all traffic before it reached a tool. Implemented explicit transport security settings with configurable allowed hosts.</w:t>
      </w:r>
    </w:p>
    <w:p>
      <w:pPr>
        <w:spacing w:after="30"/>
        <w:ind w:left="259" w:hanging="259"/>
      </w:pPr>
      <w:r>
        <w:rPr>
          <w:sz w:val="20"/>
        </w:rPr>
        <w:t>- Built the metering and monetization layer for MCP: classified protocol methods as metered versus unmetered so the three-request handshake no longer consumed a client's entire free tier, implemented time-windowed free access with a call ceiling, per-IP and per-/24-subnet rate limiting, license key validation, and HTTP 402 Payment Required responses with signed payment challenges.</w:t>
      </w:r>
    </w:p>
    <w:p>
      <w:pPr>
        <w:spacing w:after="30"/>
        <w:ind w:left="259" w:hanging="259"/>
      </w:pPr>
      <w:r>
        <w:rPr>
          <w:sz w:val="20"/>
        </w:rPr>
        <w:t>- Instrumented MCP servers with product analytics using PostHog's MCP event schema — capturing tool calls, client identity from the initialize handshake, latency, errors and funnel conversion — and corrected three instrumentation defects that had made usage unattributable to any caller.</w:t>
      </w:r>
    </w:p>
    <w:p>
      <w:pPr>
        <w:spacing w:after="30"/>
        <w:ind w:left="259" w:hanging="259"/>
      </w:pPr>
      <w:r>
        <w:rPr>
          <w:sz w:val="20"/>
        </w:rPr>
        <w:t>- Implemented Agent-to-Agent (A2A) and machine-payment integrations: x402 / HTTP 402 request flow with EIP-3009 signed authorizations, Coinbase Developer Platform facilitator authentication, Base network settlement, and ERC-8004 agent identity — and documented the honest limitation that no mainnet facilitator existed for the required scheme.</w:t>
      </w:r>
    </w:p>
    <w:p>
      <w:pPr>
        <w:spacing w:after="30"/>
        <w:ind w:left="259" w:hanging="259"/>
      </w:pPr>
      <w:r>
        <w:rPr>
          <w:sz w:val="20"/>
        </w:rPr>
        <w:t>- Built a conjunctive query operator for knowledge graphs exposed as a single MCP tool — returning concepts reachable from every anchor as an exact set intersection over declared edges, with typed relation paths, AND/OR modes, and a per-step cardinality trace that makes retrieval auditable.</w:t>
      </w:r>
    </w:p>
    <w:p>
      <w:pPr>
        <w:spacing w:after="30"/>
        <w:ind w:left="259" w:hanging="259"/>
      </w:pPr>
      <w:r>
        <w:rPr>
          <w:sz w:val="20"/>
        </w:rPr>
        <w:t>- Designed a SHA-256 per-node source provenance system so any answer can be traced to the exact bytes of its source, including canonical-text hashing for CDN-rendered documents whose raw bytes carry rotating build tokens, and a verification tool that reports honestly when a source cannot be independently verified.</w:t>
      </w:r>
    </w:p>
    <w:p>
      <w:pPr>
        <w:spacing w:after="30"/>
        <w:ind w:left="259" w:hanging="259"/>
      </w:pPr>
      <w:r>
        <w:rPr>
          <w:sz w:val="20"/>
        </w:rPr>
        <w:t>- Benchmarked Compressed Knowledge Graph retrieval against RAG and Microsoft GraphRAG across 44 domains and 7,758 queries: macro-F1 0.471 versus 0.123 (RAG) and 0.120 (GraphRAG), a 3.8x improvement; 269 versus 2,982 tokens per query, an 11x reduction; multi-hop F1 rising to 0.772 at 5 hops while RAG remained flat near 0.17. Published the dataset and harness openly.</w:t>
      </w:r>
    </w:p>
    <w:p>
      <w:pPr>
        <w:spacing w:after="30"/>
        <w:ind w:left="259" w:hanging="259"/>
      </w:pPr>
      <w:r>
        <w:rPr>
          <w:sz w:val="20"/>
        </w:rPr>
        <w:t>- Built AI evaluation infrastructure: a reproducible retrieval-evaluation harness plus an independent evaluation against FrontierFinance, Samaya Research's open finance benchmark (220 queries, 11,543 rubric items, LLM judge panel) — evaluating against a third-party rubric rather than only a self-authored one.</w:t>
      </w:r>
    </w:p>
    <w:p>
      <w:pPr>
        <w:spacing w:after="30"/>
        <w:ind w:left="259" w:hanging="259"/>
      </w:pPr>
      <w:r>
        <w:rPr>
          <w:sz w:val="20"/>
        </w:rPr>
        <w:t>- Authored and maintained 300+ domain knowledge graphs with typed relations and per-node source provenance across healthcare, financial regulation, data engineering, and AI infrastructure.</w:t>
      </w:r>
    </w:p>
    <w:p>
      <w:pPr>
        <w:spacing w:after="30"/>
        <w:ind w:left="259" w:hanging="259"/>
      </w:pPr>
      <w:r>
        <w:rPr>
          <w:sz w:val="20"/>
        </w:rPr>
        <w:t>- Patent pending — three provisional applications filed 2026 covering knowledge graph architecture, encoding pipeline, and context infrastructure.</w:t>
      </w:r>
    </w:p>
    <w:p>
      <w:pPr>
        <w:spacing w:after="0" w:before="120"/>
      </w:pPr>
      <w:r>
        <w:rPr>
          <w:b/>
          <w:i w:val="0"/>
          <w:sz w:val="20"/>
        </w:rPr>
        <w:t>Slalom Consulting — Minneapolis, MN</w:t>
      </w:r>
    </w:p>
    <w:p>
      <w:pPr>
        <w:spacing w:after="40" w:before="0"/>
      </w:pPr>
      <w:r>
        <w:rPr>
          <w:b w:val="0"/>
          <w:i/>
          <w:sz w:val="20"/>
        </w:rPr>
        <w:t>Principal — Solution Owner, AI and Digital Transformation | 09/2023 – 04/2026</w:t>
      </w:r>
    </w:p>
    <w:p>
      <w:pPr>
        <w:spacing w:after="30"/>
        <w:ind w:left="259" w:hanging="259"/>
      </w:pPr>
      <w:r>
        <w:rPr>
          <w:sz w:val="20"/>
        </w:rPr>
        <w:t>- Architected enterprise AI and digital transformation programs for Fortune 500 clients including UnitedHealthcare (clinical AI pipelines), Best Buy (retail AI), and Cargill (supply chain AI).</w:t>
      </w:r>
    </w:p>
    <w:p>
      <w:pPr>
        <w:spacing w:after="30"/>
        <w:ind w:left="259" w:hanging="259"/>
      </w:pPr>
      <w:r>
        <w:rPr>
          <w:sz w:val="20"/>
        </w:rPr>
        <w:t>- Led cross-functional AI delivery across engineering, data science and business stakeholders, translating strategy into production system architecture and deployment roadmaps.</w:t>
      </w:r>
    </w:p>
    <w:p>
      <w:pPr>
        <w:spacing w:after="30"/>
        <w:ind w:left="259" w:hanging="259"/>
      </w:pPr>
      <w:r>
        <w:rPr>
          <w:sz w:val="20"/>
        </w:rPr>
        <w:t>- Designed AI workflow orchestration and agent coordination patterns for enterprise deployment, including production readiness, monitoring and evaluation frameworks for regulated environments.</w:t>
      </w:r>
    </w:p>
    <w:p>
      <w:pPr>
        <w:spacing w:after="30"/>
        <w:ind w:left="259" w:hanging="259"/>
      </w:pPr>
      <w:r>
        <w:rPr>
          <w:sz w:val="20"/>
        </w:rPr>
        <w:t>- Managed technical vendor relationships and platform integration across Anthropic, OpenAI, Azure OpenAI Service on Microsoft Azure AI, and AWS SageMaker.</w:t>
      </w:r>
    </w:p>
    <w:p>
      <w:pPr>
        <w:spacing w:after="0" w:before="120"/>
      </w:pPr>
      <w:r>
        <w:rPr>
          <w:b/>
          <w:i w:val="0"/>
          <w:sz w:val="20"/>
        </w:rPr>
        <w:t>West Monroe Partners — Minneapolis, MN</w:t>
      </w:r>
    </w:p>
    <w:p>
      <w:pPr>
        <w:spacing w:after="40" w:before="0"/>
      </w:pPr>
      <w:r>
        <w:rPr>
          <w:b w:val="0"/>
          <w:i/>
          <w:sz w:val="20"/>
        </w:rPr>
        <w:t>Lead Solution Architect, Industrial IoT and Commercial AI | 2021 – 2023</w:t>
      </w:r>
    </w:p>
    <w:p>
      <w:pPr>
        <w:spacing w:after="30"/>
        <w:ind w:left="259" w:hanging="259"/>
      </w:pPr>
      <w:r>
        <w:rPr>
          <w:sz w:val="20"/>
        </w:rPr>
        <w:t>- Led AI and Internet of Things (IoT) architecture for industrial and commercial clients: production machine learning pipelines, real-time data systems, and multi-system orchestration.</w:t>
      </w:r>
    </w:p>
    <w:p>
      <w:pPr>
        <w:spacing w:after="30"/>
        <w:ind w:left="259" w:hanging="259"/>
      </w:pPr>
      <w:r>
        <w:rPr>
          <w:sz w:val="20"/>
        </w:rPr>
        <w:t>- Designed production deployment architecture for AI systems in operational environments, covering reliability, monitoring and performance under load.</w:t>
      </w:r>
    </w:p>
    <w:p>
      <w:pPr>
        <w:spacing w:after="0" w:before="120"/>
      </w:pPr>
      <w:r>
        <w:rPr>
          <w:b/>
          <w:i w:val="0"/>
          <w:sz w:val="20"/>
        </w:rPr>
        <w:t>ATEK Access Technologies — Minneapolis, MN</w:t>
      </w:r>
    </w:p>
    <w:p>
      <w:pPr>
        <w:spacing w:after="40" w:before="0"/>
      </w:pPr>
      <w:r>
        <w:rPr>
          <w:b w:val="0"/>
          <w:i/>
          <w:sz w:val="20"/>
        </w:rPr>
        <w:t>IoT and Data Science Practice Leader | 2016 – 2020</w:t>
      </w:r>
    </w:p>
    <w:p>
      <w:pPr>
        <w:spacing w:after="30"/>
        <w:ind w:left="259" w:hanging="259"/>
      </w:pPr>
      <w:r>
        <w:rPr>
          <w:sz w:val="20"/>
        </w:rPr>
        <w:t>- Built the data science and IoT practice from zero, including AWS, Siemens and IBM strategic partnerships and production machine learning deployment in industrial field operations.</w:t>
      </w:r>
    </w:p>
    <w:p>
      <w:pPr>
        <w:spacing w:after="30"/>
        <w:ind w:left="259" w:hanging="259"/>
      </w:pPr>
      <w:r>
        <w:rPr>
          <w:sz w:val="20"/>
        </w:rPr>
        <w:t>- Led sensor data orchestration across distributed field devices, including real-time data pipeline design and system integration architecture.</w:t>
      </w:r>
    </w:p>
    <w:p>
      <w:pPr>
        <w:spacing w:after="0" w:before="120"/>
      </w:pPr>
      <w:r>
        <w:rPr>
          <w:b/>
          <w:i w:val="0"/>
          <w:sz w:val="20"/>
        </w:rPr>
        <w:t>University of St. Thomas — Minneapolis, MN</w:t>
      </w:r>
    </w:p>
    <w:p>
      <w:pPr>
        <w:spacing w:after="40" w:before="0"/>
      </w:pPr>
      <w:r>
        <w:rPr>
          <w:b w:val="0"/>
          <w:i/>
          <w:sz w:val="20"/>
        </w:rPr>
        <w:t>Adjunct Professor, Graduate AI Systems (SEIS 666) | 2018 – Present</w:t>
      </w:r>
    </w:p>
    <w:p>
      <w:pPr>
        <w:spacing w:after="30"/>
        <w:ind w:left="259" w:hanging="259"/>
      </w:pPr>
      <w:r>
        <w:rPr>
          <w:sz w:val="20"/>
        </w:rPr>
        <w:t>- Eight years accelerating large language model (LLM) and knowledge graph capability for senior product and engineering leaders. Students are practicing technology executives and staff-level engineers who apply the material directly to live production initiatives at their own companies.</w:t>
      </w:r>
    </w:p>
    <w:p>
      <w:pPr>
        <w:spacing w:after="30"/>
        <w:ind w:left="259" w:hanging="259"/>
      </w:pPr>
      <w:r>
        <w:rPr>
          <w:sz w:val="20"/>
        </w:rPr>
        <w:t>- Designed and continually rewrite graduate curriculum spanning production LLM systems, agent orchestration design, knowledge graph infrastructure, enterprise AI evaluation, and digital transformation — updated each term as the capability frontier moves.</w:t>
      </w:r>
    </w:p>
    <w:p>
      <w:pPr>
        <w:spacing w:after="30"/>
        <w:ind w:left="259" w:hanging="259"/>
      </w:pPr>
      <w:r>
        <w:rPr>
          <w:sz w:val="20"/>
        </w:rPr>
        <w:t>- Enterprise AI adoption and enablement at leadership level: technical upskilling of senior technologists, change management, and closing the gap between what a system can do and what an organization will actually put into production.</w:t>
      </w:r>
    </w:p>
    <w:p>
      <w:pPr>
        <w:spacing w:after="40" w:before="180"/>
      </w:pPr>
      <w:r>
        <w:rPr>
          <w:b/>
          <w:i w:val="0"/>
          <w:sz w:val="22"/>
        </w:rPr>
        <w:t>PUBLISHED MCP SERVER PORTFOLIO</w:t>
      </w:r>
    </w:p>
    <w:p>
      <w:pPr>
        <w:spacing w:after="60" w:before="0"/>
      </w:pPr>
      <w:r>
        <w:rPr>
          <w:sz w:val="12"/>
        </w:rPr>
        <w:t>________________________________________________________________________________________________</w:t>
      </w:r>
    </w:p>
    <w:p>
      <w:pPr>
        <w:spacing w:after="60" w:before="0"/>
      </w:pPr>
      <w:r>
        <w:rPr>
          <w:b w:val="0"/>
          <w:i w:val="0"/>
          <w:sz w:val="20"/>
        </w:rPr>
        <w:t>12 Python packages published to the Python Package Index (PyPI) under user danyarm, spanning 100+ releases. Full catalog at github.com/Yarmoluk.</w:t>
      </w:r>
    </w:p>
    <w:p>
      <w:pPr>
        <w:spacing w:after="30"/>
        <w:ind w:left="259" w:hanging="259"/>
      </w:pPr>
      <w:r>
        <w:rPr>
          <w:sz w:val="20"/>
        </w:rPr>
        <w:t>- ckg-nvidia-ai — NVIDIA developer stack knowledge graphs (20 domains) served over MCP; 29 releases; includes metered free tier, license-key auth, and HTTP 402 payment challenge.</w:t>
      </w:r>
    </w:p>
    <w:p>
      <w:pPr>
        <w:spacing w:after="30"/>
        <w:ind w:left="259" w:hanging="259"/>
      </w:pPr>
      <w:r>
        <w:rPr>
          <w:sz w:val="20"/>
        </w:rPr>
        <w:t>- ckg-nvidia-nemoclaw — single-domain MCP server, 31 releases; typed relation traversal with per-node source provenance.</w:t>
      </w:r>
    </w:p>
    <w:p>
      <w:pPr>
        <w:spacing w:after="30"/>
        <w:ind w:left="259" w:hanging="259"/>
      </w:pPr>
      <w:r>
        <w:rPr>
          <w:sz w:val="20"/>
        </w:rPr>
        <w:t>- ckg-agentforce — Salesforce Agentforce domain graphs over MCP; 18 releases; license-gated tool surface.</w:t>
      </w:r>
    </w:p>
    <w:p>
      <w:pPr>
        <w:spacing w:after="30"/>
        <w:ind w:left="259" w:hanging="259"/>
      </w:pPr>
      <w:r>
        <w:rPr>
          <w:sz w:val="20"/>
        </w:rPr>
        <w:t>- ckg-mcp — multi-domain MCP server, 300+ knowledge graphs, conjunctive query operator, source-verification tool; 20 releases.</w:t>
      </w:r>
    </w:p>
    <w:p>
      <w:pPr>
        <w:spacing w:after="30"/>
        <w:ind w:left="259" w:hanging="259"/>
      </w:pPr>
      <w:r>
        <w:rPr>
          <w:sz w:val="20"/>
        </w:rPr>
        <w:t>- langchain-ckg — LangChain retriever integration with API-key auth and 402 handling.</w:t>
      </w:r>
    </w:p>
    <w:p>
      <w:pPr>
        <w:spacing w:after="30"/>
        <w:ind w:left="259" w:hanging="259"/>
      </w:pPr>
      <w:r>
        <w:rPr>
          <w:sz w:val="20"/>
        </w:rPr>
        <w:t>- Additional published packages: ckg-ai-platforms, ckg-nemotron-perplexity, ckg-agent-protocols, ckg-nvidia-nemotron, ckg-nvidia-guardrails, agentmem-mcp, ckg-extract.</w:t>
      </w:r>
    </w:p>
    <w:p>
      <w:pPr>
        <w:spacing w:after="40" w:before="180"/>
      </w:pPr>
      <w:r>
        <w:rPr>
          <w:b/>
          <w:i w:val="0"/>
          <w:sz w:val="22"/>
        </w:rPr>
        <w:t>BENCHMARK — PUBLISHED AND REPRODUCIBLE</w:t>
      </w:r>
    </w:p>
    <w:p>
      <w:pPr>
        <w:spacing w:after="60" w:before="0"/>
      </w:pPr>
      <w:r>
        <w:rPr>
          <w:sz w:val="12"/>
        </w:rPr>
        <w:t>________________________________________________________________________________________________</w:t>
      </w:r>
    </w:p>
    <w:p>
      <w:pPr>
        <w:spacing w:after="60" w:before="0"/>
      </w:pPr>
      <w:r>
        <w:rPr>
          <w:b w:val="0"/>
          <w:i w:val="0"/>
          <w:sz w:val="20"/>
        </w:rPr>
        <w:t>Compressed Knowledge Graph versus Retrieval-Augmented Generation (RAG) and Microsoft GraphRAG. Version 0.6.2, locked: 44 domains, 7,758 queries. Dataset and evaluation harness published openly (CC-BY-4.0) so results can be independently re-run.</w:t>
      </w:r>
    </w:p>
    <w:p>
      <w:pPr>
        <w:spacing w:after="30"/>
        <w:ind w:left="259" w:hanging="259"/>
      </w:pPr>
      <w:r>
        <w:rPr>
          <w:sz w:val="20"/>
        </w:rPr>
        <w:t>- Answer quality: macro-F1 0.471 (CKG) versus 0.123 (RAG) and 0.120 (GraphRAG) — 3.8x.</w:t>
      </w:r>
    </w:p>
    <w:p>
      <w:pPr>
        <w:spacing w:after="30"/>
        <w:ind w:left="259" w:hanging="259"/>
      </w:pPr>
      <w:r>
        <w:rPr>
          <w:sz w:val="20"/>
        </w:rPr>
        <w:t>- Context efficiency: 269 versus 2,982 tokens per query — 11x fewer tokens.</w:t>
      </w:r>
    </w:p>
    <w:p>
      <w:pPr>
        <w:spacing w:after="30"/>
        <w:ind w:left="259" w:hanging="259"/>
      </w:pPr>
      <w:r>
        <w:rPr>
          <w:sz w:val="20"/>
        </w:rPr>
        <w:t>- Multi-hop reasoning: F1 rises to 0.772 at 5-hop depth while RAG stays flat near 0.170.</w:t>
      </w:r>
    </w:p>
    <w:p>
      <w:pPr>
        <w:spacing w:after="30"/>
        <w:ind w:left="259" w:hanging="259"/>
      </w:pPr>
      <w:r>
        <w:rPr>
          <w:sz w:val="20"/>
        </w:rPr>
        <w:t>- Auditability: every answer traces to a declared relationship and, where source provenance is present, to a SHA-256 hash of the source bytes.</w:t>
      </w:r>
    </w:p>
    <w:p>
      <w:pPr>
        <w:spacing w:after="30"/>
        <w:ind w:left="259" w:hanging="259"/>
      </w:pPr>
      <w:r>
        <w:rPr>
          <w:sz w:val="20"/>
        </w:rPr>
        <w:t>- Reproducibility: github.com/Yarmoluk/ckg-benchmark and huggingface.co/danyarm — clone and re-run.</w:t>
      </w:r>
    </w:p>
    <w:p>
      <w:pPr>
        <w:spacing w:after="40" w:before="180"/>
      </w:pPr>
      <w:r>
        <w:rPr>
          <w:b/>
          <w:i w:val="0"/>
          <w:sz w:val="22"/>
        </w:rPr>
        <w:t>PUBLICATIONS AND RECOGNITION</w:t>
      </w:r>
    </w:p>
    <w:p>
      <w:pPr>
        <w:spacing w:after="60" w:before="0"/>
      </w:pPr>
      <w:r>
        <w:rPr>
          <w:sz w:val="12"/>
        </w:rPr>
        <w:t>________________________________________________________________________________________________</w:t>
      </w:r>
    </w:p>
    <w:p>
      <w:pPr>
        <w:spacing w:after="30"/>
        <w:ind w:left="259" w:hanging="259"/>
      </w:pPr>
      <w:r>
        <w:rPr>
          <w:sz w:val="20"/>
        </w:rPr>
        <w:t>- Publication in preparation: a systematic benchmark of compressed knowledge graphs for enterprise AI, in collaboration with Dan McCreary, former Head of AI at TigerGraph.</w:t>
      </w:r>
    </w:p>
    <w:p>
      <w:pPr>
        <w:spacing w:after="30"/>
        <w:ind w:left="259" w:hanging="259"/>
      </w:pPr>
      <w:r>
        <w:rPr>
          <w:sz w:val="20"/>
        </w:rPr>
        <w:t>- Media: featured in CIO Dive on enterprise context limitations; guest on the AI and Data Horizons podcast; host of All Things Data (1M+ downloads). Benchmark cited independently at Data Tech 2026.</w:t>
      </w:r>
    </w:p>
    <w:p>
      <w:pPr>
        <w:spacing w:after="40" w:before="180"/>
      </w:pPr>
      <w:r>
        <w:rPr>
          <w:b/>
          <w:i w:val="0"/>
          <w:sz w:val="22"/>
        </w:rPr>
        <w:t>EDUCATION</w:t>
      </w:r>
    </w:p>
    <w:p>
      <w:pPr>
        <w:spacing w:after="60" w:before="0"/>
      </w:pPr>
      <w:r>
        <w:rPr>
          <w:sz w:val="12"/>
        </w:rPr>
        <w:t>________________________________________________________________________________________________</w:t>
      </w:r>
    </w:p>
    <w:p>
      <w:pPr>
        <w:spacing w:after="30"/>
        <w:ind w:left="259" w:hanging="259"/>
      </w:pPr>
      <w:r>
        <w:rPr>
          <w:sz w:val="20"/>
        </w:rPr>
        <w:t>- Graduate Degree, Data Science — University of St. Thomas</w:t>
      </w:r>
    </w:p>
    <w:p>
      <w:pPr>
        <w:spacing w:after="30"/>
        <w:ind w:left="259" w:hanging="259"/>
      </w:pPr>
      <w:r>
        <w:rPr>
          <w:sz w:val="20"/>
        </w:rPr>
        <w:t>- Master of Business Administration — Loyola University Chicago</w:t>
      </w:r>
    </w:p>
    <w:p>
      <w:pPr>
        <w:spacing w:after="30"/>
        <w:ind w:left="259" w:hanging="259"/>
      </w:pPr>
      <w:r>
        <w:rPr>
          <w:sz w:val="20"/>
        </w:rPr>
        <w:t>- Bachelor of Arts, International Affairs — University of Texas</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