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Factor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Year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World Value</w:t>
            </w:r>
          </w:p>
        </w:tc>
      </w:tr>
      <w:tr>
        <w:tc>
          <w:tcPr>
            <w:tcW w:type="dxa" w:w="2880"/>
            <w:vMerge w:val="restart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1.811326900081317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1.4527119087973634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1.5225520695357753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1.5768083468792025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1.48732751578284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1.4812645354445173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1.5541853323816337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1.4331309656646007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1.5051265631795276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1.5130009105185152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1.5097667565451516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1.4914233003656114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1.5454860386862004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p/>
    <w:p>
      <w:r>
        <w:t>Factor 6 decreased by avg -1.31% every year from 2007 to 2019.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