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WTitle"/>
        <w:jc w:val="center"/>
      </w:pPr>
      <w:r>
        <w:t>ПРОЕКТ ДОГОВОРА</w:t>
      </w:r>
    </w:p>
    <w:p>
      <w:pPr>
        <w:pStyle w:val="MWTitle"/>
        <w:jc w:val="center"/>
      </w:pPr>
      <w:r>
        <w:t>об оказании информационно-технологических услуг</w:t>
        <w:br/>
        <w:t>и привлечении клиентов через платформу MyWave</w:t>
      </w:r>
    </w:p>
    <w:p>
      <w:pPr>
        <w:pStyle w:val="MWSubtitle"/>
        <w:jc w:val="center"/>
      </w:pPr>
      <w:r>
        <w:t>Версия v1 • для размещения на сайте и скачивания партнёром</w:t>
      </w:r>
    </w:p>
    <w:p/>
    <w:tbl>
      <w:tblPr>
        <w:tblW w:type="auto" w:w="0"/>
        <w:jc w:val="center"/>
        <w:tblLayout w:type="fixed"/>
        <w:tblLook w:firstColumn="1" w:firstRow="1" w:lastColumn="0" w:lastRow="0" w:noHBand="0" w:noVBand="1" w:val="04A0"/>
      </w:tblPr>
      <w:tblGrid>
        <w:gridCol w:w="4873"/>
        <w:gridCol w:w="4873"/>
      </w:tblGrid>
      <w:tr>
        <w:tc>
          <w:tcPr>
            <w:tcW w:type="dxa" w:w="2835"/>
            <w:vAlign w:val="center"/>
            <w:shd w:fill="E9F5F6"/>
          </w:tcPr>
          <w:p>
            <w:r/>
            <w:r>
              <w:rPr>
                <w:rFonts w:ascii="Calibri" w:hAnsi="Calibri" w:eastAsia="Calibri"/>
                <w:b/>
                <w:sz w:val="21"/>
              </w:rPr>
              <w:t>Сторона 1</w:t>
            </w:r>
          </w:p>
        </w:tc>
        <w:tc>
          <w:tcPr>
            <w:tcW w:type="dxa" w:w="5783"/>
            <w:vAlign w:val="center"/>
            <w:shd w:fill="FFFFFF"/>
          </w:tcPr>
          <w:p>
            <w:r/>
            <w:r>
              <w:rPr>
                <w:rFonts w:ascii="Calibri" w:hAnsi="Calibri" w:eastAsia="Calibri"/>
                <w:b w:val="0"/>
                <w:sz w:val="21"/>
              </w:rPr>
              <w:t>MyWave / ИП Валеев Я.Р. (точные реквизиты и полное написание будут внесены дополнительно)</w:t>
            </w:r>
          </w:p>
        </w:tc>
      </w:tr>
      <w:tr>
        <w:tc>
          <w:tcPr>
            <w:tcW w:type="dxa" w:w="2835"/>
            <w:vAlign w:val="center"/>
            <w:shd w:fill="F5FBFB"/>
          </w:tcPr>
          <w:p>
            <w:r/>
            <w:r>
              <w:rPr>
                <w:rFonts w:ascii="Calibri" w:hAnsi="Calibri" w:eastAsia="Calibri"/>
                <w:b/>
                <w:sz w:val="21"/>
              </w:rPr>
              <w:t>Сторона 2</w:t>
            </w:r>
          </w:p>
        </w:tc>
        <w:tc>
          <w:tcPr>
            <w:tcW w:type="dxa" w:w="5783"/>
            <w:vAlign w:val="center"/>
            <w:shd w:fill="FFFFFF"/>
          </w:tcPr>
          <w:p>
            <w:r/>
            <w:r>
              <w:rPr>
                <w:rFonts w:ascii="Calibri" w:hAnsi="Calibri" w:eastAsia="Calibri"/>
                <w:b w:val="0"/>
                <w:sz w:val="21"/>
              </w:rPr>
              <w:t>Организатор / Партнёр (ИП / ООО / самозанятый / иное лицо, действующее законно по праву РФ)</w:t>
            </w:r>
          </w:p>
        </w:tc>
      </w:tr>
      <w:tr>
        <w:tc>
          <w:tcPr>
            <w:tcW w:type="dxa" w:w="2835"/>
            <w:vAlign w:val="center"/>
            <w:shd w:fill="E9F5F6"/>
          </w:tcPr>
          <w:p>
            <w:r/>
            <w:r>
              <w:rPr>
                <w:rFonts w:ascii="Calibri" w:hAnsi="Calibri" w:eastAsia="Calibri"/>
                <w:b/>
                <w:sz w:val="21"/>
              </w:rPr>
              <w:t>Модель расчётов</w:t>
            </w:r>
          </w:p>
        </w:tc>
        <w:tc>
          <w:tcPr>
            <w:tcW w:type="dxa" w:w="5783"/>
            <w:vAlign w:val="center"/>
            <w:shd w:fill="FFFFFF"/>
          </w:tcPr>
          <w:p>
            <w:r/>
            <w:r>
              <w:rPr>
                <w:rFonts w:ascii="Calibri" w:hAnsi="Calibri" w:eastAsia="Calibri"/>
                <w:b w:val="0"/>
                <w:sz w:val="21"/>
              </w:rPr>
              <w:t>Комиссия MyWave только с подтверждённой продажи, атрибутированной платформе</w:t>
            </w:r>
          </w:p>
        </w:tc>
      </w:tr>
      <w:tr>
        <w:tc>
          <w:tcPr>
            <w:tcW w:type="dxa" w:w="2835"/>
            <w:vAlign w:val="center"/>
            <w:shd w:fill="F5FBFB"/>
          </w:tcPr>
          <w:p>
            <w:r/>
            <w:r>
              <w:rPr>
                <w:rFonts w:ascii="Calibri" w:hAnsi="Calibri" w:eastAsia="Calibri"/>
                <w:b/>
                <w:sz w:val="21"/>
              </w:rPr>
              <w:t>Применимое право</w:t>
            </w:r>
          </w:p>
        </w:tc>
        <w:tc>
          <w:tcPr>
            <w:tcW w:type="dxa" w:w="5783"/>
            <w:vAlign w:val="center"/>
            <w:shd w:fill="FFFFFF"/>
          </w:tcPr>
          <w:p>
            <w:r/>
            <w:r>
              <w:rPr>
                <w:rFonts w:ascii="Calibri" w:hAnsi="Calibri" w:eastAsia="Calibri"/>
                <w:b w:val="0"/>
                <w:sz w:val="21"/>
              </w:rPr>
              <w:t>Законодательство Российской Федерации</w:t>
            </w:r>
          </w:p>
        </w:tc>
      </w:tr>
      <w:tr>
        <w:tc>
          <w:tcPr>
            <w:tcW w:type="dxa" w:w="2835"/>
            <w:vAlign w:val="center"/>
            <w:shd w:fill="E9F5F6"/>
          </w:tcPr>
          <w:p>
            <w:r/>
            <w:r>
              <w:rPr>
                <w:rFonts w:ascii="Calibri" w:hAnsi="Calibri" w:eastAsia="Calibri"/>
                <w:b/>
                <w:sz w:val="21"/>
              </w:rPr>
              <w:t>Формат подписания</w:t>
            </w:r>
          </w:p>
        </w:tc>
        <w:tc>
          <w:tcPr>
            <w:tcW w:type="dxa" w:w="5783"/>
            <w:vAlign w:val="center"/>
            <w:shd w:fill="FFFFFF"/>
          </w:tcPr>
          <w:p>
            <w:r/>
            <w:r>
              <w:rPr>
                <w:rFonts w:ascii="Calibri" w:hAnsi="Calibri" w:eastAsia="Calibri"/>
                <w:b w:val="0"/>
                <w:sz w:val="21"/>
              </w:rPr>
              <w:t>Бумажный экземпляр и/или электронное подписание / акцепт в личном кабинете</w:t>
            </w:r>
          </w:p>
        </w:tc>
      </w:tr>
    </w:tbl>
    <w:p/>
    <w:p>
      <w:pPr>
        <w:pStyle w:val="MWNote"/>
        <w:jc w:val="center"/>
      </w:pPr>
      <w:r>
        <w:t>Документ подготовлен как рабочий двусторонний шаблон. Поля с реквизитами, ставкой комиссии, адресами и иными переменными заполняются перед публикацией финальной версии.</w:t>
      </w:r>
    </w:p>
    <w:p>
      <w:r>
        <w:br w:type="page"/>
      </w:r>
    </w:p>
    <w:p>
      <w:pPr>
        <w:pStyle w:val="Heading1"/>
      </w:pPr>
      <w:r>
        <w:t>ДОГОВОР № ______</w:t>
      </w:r>
    </w:p>
    <w:p>
      <w:pPr>
        <w:spacing w:after="120" w:line="276" w:lineRule="auto"/>
      </w:pPr>
      <w:r>
        <w:t>г. ____________________                                   «___» ____________ 20___ г.</w:t>
      </w:r>
    </w:p>
    <w:p>
      <w:pPr>
        <w:spacing w:after="120" w:line="276" w:lineRule="auto"/>
      </w:pPr>
      <w:r>
        <w:t>Индивидуальный предприниматель Валеев Я.Р., действующий под брендом MyWave, именуемый в дальнейшем «Платформа» или «Исполнитель», с одной стороны, и ____________________________, именуем__ в дальнейшем «Организатор» или «Партнёр», с другой стороны, совместно именуемые «Стороны», заключили настоящий договор (далее - «Договор») о нижеследующем.</w:t>
      </w:r>
    </w:p>
    <w:p>
      <w:pPr>
        <w:pStyle w:val="Heading1"/>
      </w:pPr>
      <w:r>
        <w:t>1. Предмет Договора</w:t>
      </w:r>
    </w:p>
    <w:p>
      <w:pPr>
        <w:spacing w:after="120" w:line="276" w:lineRule="auto"/>
      </w:pPr>
      <w:r>
        <w:t>1.1. Платформа предоставляет Организатору доступ к цифровой платформе MyWave и оказывает информационно-технологические услуги, направленные на размещение предложений Организатора, привлечение потенциальных клиентов, фиксацию заявок, сопровождение статусов сделок, расчёт вознаграждения Платформы и обмен юридически значимыми сообщениями в пределах функциональности сервиса.</w:t>
      </w:r>
    </w:p>
    <w:p>
      <w:pPr>
        <w:spacing w:after="120" w:line="276" w:lineRule="auto"/>
      </w:pPr>
      <w:r>
        <w:t>1.2. Организатор размещает на Платформе информацию о своих турах, кэмпах, тренировках, клиниках, поездках, мерче и иных связанных продуктах, самостоятельно определяет условия продажи, несёт ответственность за законность, фактическое оказание услуг и качество исполнения обязательств перед клиентами.</w:t>
      </w:r>
    </w:p>
    <w:p>
      <w:pPr>
        <w:spacing w:after="120" w:line="276" w:lineRule="auto"/>
      </w:pPr>
      <w:r>
        <w:t>1.3. Платформа не является организатором мероприятий Организатора, не формирует туристский продукт Организатора, не подменяет собой Организатора в отношениях с клиентом и не несёт ответственность за проведение мероприятий, за исключением собственных обязательств Платформы по настоящему Договору.</w:t>
      </w:r>
    </w:p>
    <w:p>
      <w:pPr>
        <w:spacing w:after="120" w:line="276" w:lineRule="auto"/>
      </w:pPr>
      <w:r>
        <w:t>1.4. Экономическая модель настоящего Договора - Fair Success Fee: Платформа получает вознаграждение исключительно с подтверждённых продаж, атрибутированных Платформе, в размере и порядке, установленном разделом 5 настоящего Договора и Приложением № 1.</w:t>
      </w:r>
    </w:p>
    <w:p>
      <w:pPr>
        <w:pStyle w:val="Heading1"/>
      </w:pPr>
      <w:r>
        <w:t>2. Термины и определения</w:t>
      </w:r>
    </w:p>
    <w:p>
      <w:pPr>
        <w:spacing w:after="120" w:line="276" w:lineRule="auto"/>
      </w:pPr>
      <w:r>
        <w:t>2.1. «Платформа» - сайт, личные кабинеты, CRM-модули, инструменты обмена данными, уведомлений и расчётов, работающие под брендом MyWave.</w:t>
      </w:r>
    </w:p>
    <w:p>
      <w:pPr>
        <w:spacing w:after="120" w:line="276" w:lineRule="auto"/>
      </w:pPr>
      <w:r>
        <w:t>2.2. «Предложение» - карточка продукта или услуги Организатора, размещённая на Платформе: тур, кэмп, поездка, тренировка, clinic, экспедиция, мерч, дополнительная услуга или иной связанный продукт.</w:t>
      </w:r>
    </w:p>
    <w:p>
      <w:pPr>
        <w:spacing w:after="120" w:line="276" w:lineRule="auto"/>
      </w:pPr>
      <w:r>
        <w:t>2.3. «Лид» - обращение потенциального клиента, зафиксированное через формы, чат, бронирование, ссылку, кнопку, виджет или иной канал Платформы.</w:t>
      </w:r>
    </w:p>
    <w:p>
      <w:pPr>
        <w:spacing w:after="120" w:line="276" w:lineRule="auto"/>
      </w:pPr>
      <w:r>
        <w:t>2.4. «Заказ» - оформленная сделка по конкретному Предложению Организатора, связанная с лидом, карточкой Предложения и профилем клиента.</w:t>
      </w:r>
    </w:p>
    <w:p>
      <w:pPr>
        <w:spacing w:after="120" w:line="276" w:lineRule="auto"/>
      </w:pPr>
      <w:r>
        <w:t>2.5. «Атрибутированный заказ» - заказ, для которого в системе Платформы подтверждена связь с MyWave как источником клиента или сделки.</w:t>
      </w:r>
    </w:p>
    <w:p>
      <w:pPr>
        <w:spacing w:after="120" w:line="276" w:lineRule="auto"/>
      </w:pPr>
      <w:r>
        <w:t>2.6. «Подтверждённая продажа» - заказ, по которому Организатор фактически получил от клиента оплату полностью или частично, и такая оплата не была полностью возвращена клиенту.</w:t>
      </w:r>
    </w:p>
    <w:p>
      <w:pPr>
        <w:spacing w:after="120" w:line="276" w:lineRule="auto"/>
      </w:pPr>
      <w:r>
        <w:t>2.7. «Чистая сумма заказа (Net Amount)» - сумма денежных средств, реально полученная Организатором от клиента по Атрибутированному заказу, за вычетом фактически возвращённых клиенту денежных средств по данному заказу.</w:t>
      </w:r>
    </w:p>
    <w:p>
      <w:pPr>
        <w:spacing w:after="120" w:line="276" w:lineRule="auto"/>
      </w:pPr>
      <w:r>
        <w:t>2.8. «Окно атрибуции» - период, в течение которого повторная или связанная покупка клиента у Организатора считается относимой к первоначальному лиду Платформы. Если иное не согласовано в Приложении № 1, окно атрибуции составляет 60 календарных дней.</w:t>
      </w:r>
    </w:p>
    <w:p>
      <w:pPr>
        <w:pStyle w:val="Heading1"/>
      </w:pPr>
      <w:r>
        <w:t>3. Статус Платформы и базовые принципы сотрудничества</w:t>
      </w:r>
    </w:p>
    <w:p>
      <w:pPr>
        <w:spacing w:after="120" w:line="276" w:lineRule="auto"/>
      </w:pPr>
      <w:r>
        <w:t>3.1. Стороны подтверждают, что Платформа действует как независимый исполнитель информационно-технологических услуг и оператор цифрового контура взаимодействия, а Организатор действует как независимый продавец и/или исполнитель собственных услуг.</w:t>
      </w:r>
    </w:p>
    <w:p>
      <w:pPr>
        <w:spacing w:after="120" w:line="276" w:lineRule="auto"/>
      </w:pPr>
      <w:r>
        <w:t>3.2. Платформа не гарантирует Организатору минимальный объём трафика, лидов, бронирований или выручки, если иное прямо не согласовано письменно.</w:t>
      </w:r>
    </w:p>
    <w:p>
      <w:pPr>
        <w:spacing w:after="120" w:line="276" w:lineRule="auto"/>
      </w:pPr>
      <w:r>
        <w:t>3.3. Организатор не обязан платить Платформе за просмотры карточек, размещение как таковое, клики, обращения без продажи или неподтверждённые сделки. Вознаграждение возникает только при наличии Подтверждённой продажи.</w:t>
      </w:r>
    </w:p>
    <w:p>
      <w:pPr>
        <w:spacing w:after="120" w:line="276" w:lineRule="auto"/>
      </w:pPr>
      <w:r>
        <w:t>3.4. Стороны исходят из принципов добросовестности, разумности, прозрачности расчётов, минимизации споров и сохранения партнёрских отношений.</w:t>
      </w:r>
    </w:p>
    <w:p>
      <w:pPr>
        <w:pStyle w:val="Heading1"/>
      </w:pPr>
      <w:r>
        <w:t>4. Права и обязанности Сторон</w:t>
      </w:r>
    </w:p>
    <w:p>
      <w:pPr>
        <w:spacing w:after="120" w:line="276" w:lineRule="auto"/>
      </w:pPr>
      <w:r>
        <w:t>4.1. Платформа обязуется: 4.1.1. предоставить Организатору техническую возможность создания и ведения профиля; 4.1.2. обеспечить доступ к функционалу размещения Предложений, приёма лидов, учёта статусов и формирования расчётных отчётов; 4.1.3. в разумный срок модерировать и обрабатывать материалы Организатора; 4.1.4. отображать начисления, возвраты и корректировки в максимально прозрачной форме; 4.1.5. соблюдать применимые требования законодательства РФ о персональных данных и конфиденциальности; 4.1.6. уведомлять Организатора о существенных изменениях условий сервиса и настоящего Договора.</w:t>
      </w:r>
    </w:p>
    <w:p>
      <w:pPr>
        <w:spacing w:after="120" w:line="276" w:lineRule="auto"/>
      </w:pPr>
      <w:r>
        <w:t>4.2. Платформа вправе: 4.2.1. запрашивать документы, подтверждающие правовой статус, безопасность, квалификацию, страхование, права на контент и иные значимые обстоятельства; 4.2.2. временно ограничивать публикацию или видимость Предложений при отсутствии обязательных данных, наличии жалоб, рисков безопасности или признаков нарушения закона; 4.2.3. проводить модерацию и требовать исправления недостоверной, неполной либо вводящей в заблуждение информации; 4.2.4. начислять вознаграждение в соответствии с разделом 5; 4.2.5. приостанавливать действие привилегий Организатора при просрочке оплаты подтверждённых начислений либо существенном нарушении настоящего Договора.</w:t>
      </w:r>
    </w:p>
    <w:p>
      <w:pPr>
        <w:spacing w:after="120" w:line="276" w:lineRule="auto"/>
      </w:pPr>
      <w:r>
        <w:t>4.3. Организатор обязуется: 4.3.1. предоставлять полную, достоверную и актуальную информацию о себе и о Предложениях; 4.3.2. самостоятельно исполнять все обязательства перед клиентами, включая организацию поездки, безопасность, логистику, сервис, возвраты, информирование о рисках и соблюдение обязательных требований законодательства; 4.3.3. при необходимости иметь все требуемые по закону статусы, разрешения, страхование, квалификацию персонала, согласия, инструкции и документы; 4.3.4. своевременно обновлять условия продажи, даты, стоимость, квоты, ограничения и информацию о наличии мест; 4.3.5. не вводить клиентов и Платформу в заблуждение; 4.3.6. не использовать Платформу для незаконной деятельности или обхода закона; 4.3.7. соблюдать требования по обработке персональных данных клиентов, полученных через Платформу, только в объёме, необходимом для исполнения заказа и выполнения закона.</w:t>
      </w:r>
    </w:p>
    <w:p>
      <w:pPr>
        <w:spacing w:after="120" w:line="276" w:lineRule="auto"/>
      </w:pPr>
      <w:r>
        <w:t>4.4. Организатор вправе: 4.4.1. размещать Предложения в рамках доступного функционала; 4.4.2. получать лиды, уведомления, отчёты и документы по начислениям; 4.4.3. оспаривать начисления в порядке, предусмотренном настоящим Договором; 4.4.4. запрашивать разумные разъяснения по атрибуции и расчётам; 4.4.5. прекратить размещение новых Предложений при условии исполнения обязательств по уже заключённым сделкам.</w:t>
      </w:r>
    </w:p>
    <w:p>
      <w:pPr>
        <w:pStyle w:val="Heading1"/>
      </w:pPr>
      <w:r>
        <w:t>5. Вознаграждение Платформы, порядок расчётов и справедливые правила постоплаты</w:t>
      </w:r>
    </w:p>
    <w:p>
      <w:pPr>
        <w:spacing w:after="120" w:line="276" w:lineRule="auto"/>
      </w:pPr>
      <w:r>
        <w:t>5.1. Вознаграждение Платформы определяется как процент от Чистой суммы Атрибутированного заказа. Конкретная ставка комиссии указывается в Приложении № 1 к настоящему Договору.</w:t>
      </w:r>
    </w:p>
    <w:p>
      <w:pPr>
        <w:spacing w:after="120" w:line="276" w:lineRule="auto"/>
      </w:pPr>
      <w:r>
        <w:t>5.2. Вознаграждение возникает исключительно по Подтверждённой продаже. Лид, бронь без оплаты, неподтверждённое намерение клиента, отменённый без оплаты заказ либо полностью возвращённый заказ не образуют обязательства по оплате вознаграждения Платформе.</w:t>
      </w:r>
    </w:p>
    <w:p>
      <w:pPr>
        <w:spacing w:after="120" w:line="276" w:lineRule="auto"/>
      </w:pPr>
      <w:r>
        <w:t>5.3. Если клиент внёс частичную оплату или депозит, вознаграждение Платформы начисляется пропорционально реально полученной сумме. При последующих доплатах вознаграждение начисляется на каждую следующую фактически полученную часть.</w:t>
      </w:r>
    </w:p>
    <w:p>
      <w:pPr>
        <w:spacing w:after="120" w:line="276" w:lineRule="auto"/>
      </w:pPr>
      <w:r>
        <w:t>5.4. При рассрочке или поэтапной оплате заказ считается Подтверждённой продажей в части каждого реально поступившего платежа.</w:t>
      </w:r>
    </w:p>
    <w:p>
      <w:pPr>
        <w:spacing w:after="120" w:line="276" w:lineRule="auto"/>
      </w:pPr>
      <w:r>
        <w:t>5.5. При полном возврате денежных средств клиенту вознаграждение Платформы по соответствующему платежу аннулируется. При частичном возврате вознаграждение пересчитывается пропорционально сумме, оставшейся у Организатора.</w:t>
      </w:r>
    </w:p>
    <w:p>
      <w:pPr>
        <w:spacing w:after="120" w:line="276" w:lineRule="auto"/>
      </w:pPr>
      <w:r>
        <w:t>5.6. Если по заказу произошёл chargeback, отмена, спор по оплате или иное событие, уменьшающее фактически удержанную Организатором сумму, расчёты сторон корректируются в текущем либо следующем расчётном периоде.</w:t>
      </w:r>
    </w:p>
    <w:p>
      <w:pPr>
        <w:spacing w:after="120" w:line="276" w:lineRule="auto"/>
      </w:pPr>
      <w:r>
        <w:t>5.7. Базовая формула расчёта: Вознаграждение Платформы = Чистая сумма заказа × Ставка комиссии.</w:t>
      </w:r>
    </w:p>
    <w:p>
      <w:pPr>
        <w:spacing w:after="120" w:line="276" w:lineRule="auto"/>
      </w:pPr>
      <w:r>
        <w:t>5.8. Если иное не предусмотрено Приложением № 1, расчётный период составляет один календарный месяц. По окончании расчётного периода Платформа формирует отчёт по начислениям, отражающий: лиды, заказы, оплаты, возвраты, чистые суммы, ставку комиссии, сумму начисления и корректировки.</w:t>
      </w:r>
    </w:p>
    <w:p>
      <w:pPr>
        <w:spacing w:after="120" w:line="276" w:lineRule="auto"/>
      </w:pPr>
      <w:r>
        <w:t>5.9. Организатор обязан в течение 5 (пяти) рабочих дней с даты получения отчёта проверить его и направить мотивированные возражения при их наличии. Если возражения не поступили в указанный срок, отчёт считается согласованным.</w:t>
      </w:r>
    </w:p>
    <w:p>
      <w:pPr>
        <w:spacing w:after="120" w:line="276" w:lineRule="auto"/>
      </w:pPr>
      <w:r>
        <w:t>5.10. После согласования отчёта Платформа формирует счёт, акт и/или иной расчётный документ. Оплата производится Организатором в течение 5 (пяти) рабочих дней, если иное не указано в Приложении № 1.</w:t>
      </w:r>
    </w:p>
    <w:p>
      <w:pPr>
        <w:spacing w:after="120" w:line="276" w:lineRule="auto"/>
      </w:pPr>
      <w:r>
        <w:t>5.11. Стороны могут согласовать автоматическое удержание вознаграждения, расчёты через платёжного партнёра или иную безопасную схему взаиморасчётов. До внедрения такого механизма применяется безналичная оплата по выставленному счёту.</w:t>
      </w:r>
    </w:p>
    <w:p>
      <w:pPr>
        <w:pStyle w:val="Heading1"/>
      </w:pPr>
      <w:r>
        <w:t>6. Атрибуция заказов и защита от обхода Платформы</w:t>
      </w:r>
    </w:p>
    <w:p>
      <w:pPr>
        <w:spacing w:after="120" w:line="276" w:lineRule="auto"/>
      </w:pPr>
      <w:r>
        <w:t>6.1. Заказ считается Атрибутированным Платформе при наличии одного или нескольких признаков: уникальный lead ID; заявка, созданная через форму/кнопку/виджет Платформы; переписка, инициированная через интерфейс Платформы; зафиксированный переход клиента из карточки MyWave; иные цифровые следы, разумно подтверждающие источник сделки.</w:t>
      </w:r>
    </w:p>
    <w:p>
      <w:pPr>
        <w:spacing w:after="120" w:line="276" w:lineRule="auto"/>
      </w:pPr>
      <w:r>
        <w:t>6.2. Повторная или связанная покупка клиента у того же Организатора в течение Окна атрибуции также считается Атрибутированной Платформе, если такая покупка произошла по логике той же воронки, того же Предложения либо его апсейла, допродажи или логического продолжения.</w:t>
      </w:r>
    </w:p>
    <w:p>
      <w:pPr>
        <w:spacing w:after="120" w:line="276" w:lineRule="auto"/>
      </w:pPr>
      <w:r>
        <w:t>6.3. Во избежание несправедливости данное правило не применяется, если Организатор документально подтвердит, что: а) клиент находился в его собственной базе и взаимодействовал с ним до фиксации лида в MyWave; б) продажа произошла независимо от Платформы и не была связана с воронкой MyWave; в) Платформа по очевидной ошибке приписала заказ не тому источнику.</w:t>
      </w:r>
    </w:p>
    <w:p>
      <w:pPr>
        <w:spacing w:after="120" w:line="276" w:lineRule="auto"/>
      </w:pPr>
      <w:r>
        <w:t>6.4. Организатор обязуется не обходить Платформу умышленно по Атрибутированным заказам и не переводить такие сделки во внеплатформенный режим исключительно с целью избежать оплаты вознаграждения Платформе.</w:t>
      </w:r>
    </w:p>
    <w:p>
      <w:pPr>
        <w:spacing w:after="120" w:line="276" w:lineRule="auto"/>
      </w:pPr>
      <w:r>
        <w:t>6.5. Платформа обязуется не злоупотреблять правилами атрибуции и не предъявлять требования по заказам, связь которых с MyWave не может быть разумно подтверждена.</w:t>
      </w:r>
    </w:p>
    <w:p>
      <w:pPr>
        <w:pStyle w:val="Heading1"/>
      </w:pPr>
      <w:r>
        <w:t>7. Размещение Предложений и требования к контенту</w:t>
      </w:r>
    </w:p>
    <w:p>
      <w:pPr>
        <w:spacing w:after="120" w:line="276" w:lineRule="auto"/>
      </w:pPr>
      <w:r>
        <w:t>7.1. Организатор размещает Предложения в соответствии с правилами Платформы, включая требования к структуре карточек, фотографиям, датам, ценам, уровню подготовки участников, рискам, отменам, комплектации, страховке и иному существенному содержанию.</w:t>
      </w:r>
    </w:p>
    <w:p>
      <w:pPr>
        <w:spacing w:after="120" w:line="276" w:lineRule="auto"/>
      </w:pPr>
      <w:r>
        <w:t>7.2. Информация должна быть полной и понятной для клиента. Не допускается сокрытие существенных условий, ограничений, дополнительных обязательных доплат, реальных рисков, требований к здоровью, экипировке и документам.</w:t>
      </w:r>
    </w:p>
    <w:p>
      <w:pPr>
        <w:spacing w:after="120" w:line="276" w:lineRule="auto"/>
      </w:pPr>
      <w:r>
        <w:t>7.3. Платформа вправе вернуть карточку на доработку, временно ограничить публикацию либо снять её с публикации до устранения нарушений.</w:t>
      </w:r>
    </w:p>
    <w:p>
      <w:pPr>
        <w:spacing w:after="120" w:line="276" w:lineRule="auto"/>
      </w:pPr>
      <w:r>
        <w:t>7.4. Организатор гарантирует наличие у него прав на текст, фото, видео, логотипы и иные материалы, размещаемые на Платформе, и предоставляет Платформе простую неисключительную лицензию на использование таких материалов в целях исполнения настоящего Договора и продвижения соответствующих Предложений.</w:t>
      </w:r>
    </w:p>
    <w:p>
      <w:pPr>
        <w:pStyle w:val="Heading1"/>
      </w:pPr>
      <w:r>
        <w:t>8. Возвраты, отмены и работа со спорными сделками</w:t>
      </w:r>
    </w:p>
    <w:p>
      <w:pPr>
        <w:spacing w:after="120" w:line="276" w:lineRule="auto"/>
      </w:pPr>
      <w:r>
        <w:t>8.1. Организатор обязан заранее установить и опубликовать условия бронирования, отмены и возврата денежных средств, не противоречащие законодательству РФ и не нарушающие права потребителей.</w:t>
      </w:r>
    </w:p>
    <w:p>
      <w:pPr>
        <w:spacing w:after="120" w:line="276" w:lineRule="auto"/>
      </w:pPr>
      <w:r>
        <w:t>8.2. В отношениях с клиентом Организатор самостоятельно несёт ответственность за возвраты, отмены, замену дат, перерасчёт стоимости, урегулирование претензий по качеству оказания услуг, если иной порядок прямо не согласован Сторонами.</w:t>
      </w:r>
    </w:p>
    <w:p>
      <w:pPr>
        <w:spacing w:after="120" w:line="276" w:lineRule="auto"/>
      </w:pPr>
      <w:r>
        <w:t>8.3. Если клиент предъявляет претензию к Платформе по существу проведения мероприятия, Платформа вправе переадресовать такую претензию Организатору и привлечь его к совместному урегулированию.</w:t>
      </w:r>
    </w:p>
    <w:p>
      <w:pPr>
        <w:spacing w:after="120" w:line="276" w:lineRule="auto"/>
      </w:pPr>
      <w:r>
        <w:t>8.4. При наличии спора по атрибуции, сумме оплаты или правомерности начисления Платформа временно переводит спорную комиссию в статус «заморожено» до завершения проверки. Стороны обязуются добросовестно предоставить документы и сведения, подтверждающие свои позиции.</w:t>
      </w:r>
    </w:p>
    <w:p>
      <w:pPr>
        <w:pStyle w:val="Heading1"/>
      </w:pPr>
      <w:r>
        <w:t>9. Персональные данные и конфиденциальность</w:t>
      </w:r>
    </w:p>
    <w:p>
      <w:pPr>
        <w:spacing w:after="120" w:line="276" w:lineRule="auto"/>
      </w:pPr>
      <w:r>
        <w:t>9.1. Каждая из Сторон самостоятельно является оператором либо обработчиком персональных данных в той части, в которой она определяет цели и средства обработки соответствующих данных.</w:t>
      </w:r>
    </w:p>
    <w:p>
      <w:pPr>
        <w:spacing w:after="120" w:line="276" w:lineRule="auto"/>
      </w:pPr>
      <w:r>
        <w:t>9.2. Стороны обязуются обрабатывать персональные данные на законной, справедливой и ограниченной целью основе; не собирать и не использовать лишние данные; принимать достаточные организационные и технические меры защиты; соблюдать требования к хранению, удалению, уничтожению и локализации персональных данных в случаях, предусмотренных законодательством РФ.</w:t>
      </w:r>
    </w:p>
    <w:p>
      <w:pPr>
        <w:spacing w:after="120" w:line="276" w:lineRule="auto"/>
      </w:pPr>
      <w:r>
        <w:t>9.3. Организатор вправе использовать персональные данные клиентов, полученные через Платформу, только для обработки заказа, связи с клиентом, исполнения обязательств и соблюдения закона. Использование таких данных для нерелевантных рассылок, передачи третьим лицам без законного основания или иных несогласованных целей не допускается.</w:t>
      </w:r>
    </w:p>
    <w:p>
      <w:pPr>
        <w:spacing w:after="120" w:line="276" w:lineRule="auto"/>
      </w:pPr>
      <w:r>
        <w:t>9.4. Стороны обязуются не раскрывать конфиденциальную информацию, полученную друг от друга при исполнении настоящего Договора, за исключением случаев, когда такое раскрытие обязательно по закону либо необходимо для исполнения обязательств по настоящему Договору.</w:t>
      </w:r>
    </w:p>
    <w:p>
      <w:pPr>
        <w:pStyle w:val="Heading1"/>
      </w:pPr>
      <w:r>
        <w:t>10. Ответственность Сторон</w:t>
      </w:r>
    </w:p>
    <w:p>
      <w:pPr>
        <w:spacing w:after="120" w:line="276" w:lineRule="auto"/>
      </w:pPr>
      <w:r>
        <w:t>10.1. Платформа отвечает за собственные нарушения настоящего Договора, включая ненадлежащее предоставление информационно-технологических услуг, неправомерное начисление вознаграждения при отсутствии основания, утрату данных по своей вине либо иные нарушения, доказанно возникшие по вине Платформы.</w:t>
      </w:r>
    </w:p>
    <w:p>
      <w:pPr>
        <w:spacing w:after="120" w:line="276" w:lineRule="auto"/>
      </w:pPr>
      <w:r>
        <w:t>10.2. Организатор отвечает за законность своей деятельности, содержание и достоверность Предложений, безопасность мероприятий, качество исполнения обязательств перед клиентами, надлежащее информирование клиентов, соблюдение требований налогового, туристского, спортивного, гражданского, санитарного и иного применимого законодательства.</w:t>
      </w:r>
    </w:p>
    <w:p>
      <w:pPr>
        <w:spacing w:after="120" w:line="276" w:lineRule="auto"/>
      </w:pPr>
      <w:r>
        <w:t>10.3. Ни одна из Сторон не отвечает за упущенную выгоду другой Стороны, если иное прямо не установлено законом или если вред не причинён умышленно.</w:t>
      </w:r>
    </w:p>
    <w:p>
      <w:pPr>
        <w:spacing w:after="120" w:line="276" w:lineRule="auto"/>
      </w:pPr>
      <w:r>
        <w:t>10.4. Ограничение ответственности Платформы не распространяется на случаи умысла, грубой неосторожности, нарушения законодательства о персональных данных либо иных случаев, когда ограничение ответственности прямо запрещено законом.</w:t>
      </w:r>
    </w:p>
    <w:p>
      <w:pPr>
        <w:spacing w:after="120" w:line="276" w:lineRule="auto"/>
      </w:pPr>
      <w:r>
        <w:t>10.5. Если Платформа по собственной ошибке начислила избыточную сумму вознаграждения, она обязуется оперативно произвести корректировку в текущем или следующем расчётном периоде либо вернуть излишне уплаченную сумму.</w:t>
      </w:r>
    </w:p>
    <w:p>
      <w:pPr>
        <w:pStyle w:val="Heading1"/>
      </w:pPr>
      <w:r>
        <w:t>11. Форс-мажор</w:t>
      </w:r>
    </w:p>
    <w:p>
      <w:pPr>
        <w:spacing w:after="120" w:line="276" w:lineRule="auto"/>
      </w:pPr>
      <w:r>
        <w:t>11.1. Стороны освобождаются от ответственности за полное или частичное неисполнение обязательств при наличии обстоятельств непреодолимой силы, которые возникли после заключения Договора, имеют чрезвычайный и непредотвратимый характер и подтверждаются надлежащими доказательствами.</w:t>
      </w:r>
    </w:p>
    <w:p>
      <w:pPr>
        <w:spacing w:after="120" w:line="276" w:lineRule="auto"/>
      </w:pPr>
      <w:r>
        <w:t>11.2. Сторона, для которой возникли такие обстоятельства, обязана в разумный срок уведомить другую Сторону о наступлении и предполагаемой продолжительности форс-мажора.</w:t>
      </w:r>
    </w:p>
    <w:p>
      <w:pPr>
        <w:pStyle w:val="Heading1"/>
      </w:pPr>
      <w:r>
        <w:t>12. Срок действия, изменение и расторжение Договора</w:t>
      </w:r>
    </w:p>
    <w:p>
      <w:pPr>
        <w:spacing w:after="120" w:line="276" w:lineRule="auto"/>
      </w:pPr>
      <w:r>
        <w:t>12.1. Договор вступает в силу с даты его подписания обеими Сторонами либо с даты электронного акцепта/подписания в системе и действует бессрочно, если иной срок не установлен в Приложении № 1.</w:t>
      </w:r>
    </w:p>
    <w:p>
      <w:pPr>
        <w:spacing w:after="120" w:line="276" w:lineRule="auto"/>
      </w:pPr>
      <w:r>
        <w:t>12.2. Любая из Сторон вправе отказаться от Договора, письменно уведомив другую Сторону не менее чем за 15 календарных дней, при условии завершения взаиморасчётов и исполнения обязательств по уже возникшим Атрибутированным заказам.</w:t>
      </w:r>
    </w:p>
    <w:p>
      <w:pPr>
        <w:spacing w:after="120" w:line="276" w:lineRule="auto"/>
      </w:pPr>
      <w:r>
        <w:t>12.3. Платформа вправе ограничить или прекратить доступ Организатора к сервису в случае существенного нарушения настоящего Договора, законодательства РФ, прав клиентов или правил Платформы, включая: предоставление недостоверных данных, угрозу безопасности пользователей, повторные жалобы, злонамеренный обход Платформы, отказ оплачивать подтверждённые начисления.</w:t>
      </w:r>
    </w:p>
    <w:p>
      <w:pPr>
        <w:spacing w:after="120" w:line="276" w:lineRule="auto"/>
      </w:pPr>
      <w:r>
        <w:t>12.4. Расторжение Договора не прекращает обязанности по оплате уже возникшего и подтверждённого вознаграждения, а также не влияет на обязанности Сторон по конфиденциальности, персональным данным и урегулированию споров по ранее возникшим отношениям.</w:t>
      </w:r>
    </w:p>
    <w:p>
      <w:pPr>
        <w:pStyle w:val="Heading1"/>
      </w:pPr>
      <w:r>
        <w:t>13. Электронный документооборот и подпись</w:t>
      </w:r>
    </w:p>
    <w:p>
      <w:pPr>
        <w:spacing w:after="120" w:line="276" w:lineRule="auto"/>
      </w:pPr>
      <w:r>
        <w:t>13.1. Стороны признают юридическую силу документов, уведомлений, отчётов, актов, счетов и иных сообщений, направленных через личный кабинет Платформы, электронную почту, интегрированную систему ЭДО либо иной согласованный канал, позволяющий достоверно установить отправителя и содержание сообщения.</w:t>
      </w:r>
    </w:p>
    <w:p>
      <w:pPr>
        <w:spacing w:after="120" w:line="276" w:lineRule="auto"/>
      </w:pPr>
      <w:r>
        <w:t>13.2. Стороны вправе использовать простую электронную подпись, усиленную неквалифицированную электронную подпись, усиленную квалифицированную электронную подпись, а также иные допустимые законом способы электронного подписания документов при условии соблюдения правил идентификации подписанта и сохранности средств подписи.</w:t>
      </w:r>
    </w:p>
    <w:p>
      <w:pPr>
        <w:spacing w:after="120" w:line="276" w:lineRule="auto"/>
      </w:pPr>
      <w:r>
        <w:t>13.3. До внедрения полноценного электронного подписания допускается подписание бумажного экземпляра Договора и обмен сканами/подписанными экземплярами через согласованный канал с последующим предоставлением оригиналов по требованию.</w:t>
      </w:r>
    </w:p>
    <w:p>
      <w:pPr>
        <w:pStyle w:val="Heading1"/>
      </w:pPr>
      <w:r>
        <w:t>14. Порядок урегулирования споров</w:t>
      </w:r>
    </w:p>
    <w:p>
      <w:pPr>
        <w:spacing w:after="120" w:line="276" w:lineRule="auto"/>
      </w:pPr>
      <w:r>
        <w:t>14.1. Стороны стремятся урегулировать все разногласия путём переговоров, обмена документами и добросовестной проверки фактов.</w:t>
      </w:r>
    </w:p>
    <w:p>
      <w:pPr>
        <w:spacing w:after="120" w:line="276" w:lineRule="auto"/>
      </w:pPr>
      <w:r>
        <w:t>14.2. Претензионный порядок является обязательным. Срок ответа на претензию - 10 рабочих дней с даты её получения, если иной срок не вытекает из существа спора.</w:t>
      </w:r>
    </w:p>
    <w:p>
      <w:pPr>
        <w:spacing w:after="120" w:line="276" w:lineRule="auto"/>
      </w:pPr>
      <w:r>
        <w:t>14.3. При недостижении соглашения спор подлежит рассмотрению в суде по месту нахождения ответчика, если иной порядок не является обязательным в силу закона.</w:t>
      </w:r>
    </w:p>
    <w:p>
      <w:pPr>
        <w:pStyle w:val="Heading1"/>
      </w:pPr>
      <w:r>
        <w:t>15. Заключительные положения</w:t>
      </w:r>
    </w:p>
    <w:p>
      <w:pPr>
        <w:spacing w:after="120" w:line="276" w:lineRule="auto"/>
      </w:pPr>
      <w:r>
        <w:t>15.1. Приложение № 1 «Коммерческие условия и расчётные параметры», Приложение № 2 «Чек-лист документов и данных Организатора», правила Платформы, политика конфиденциальности и иные документы, прямо названные в Договоре, являются его неотъемлемой частью.</w:t>
      </w:r>
    </w:p>
    <w:p>
      <w:pPr>
        <w:spacing w:after="120" w:line="276" w:lineRule="auto"/>
      </w:pPr>
      <w:r>
        <w:t>15.2. Если отдельное положение настоящего Договора будет признано недействительным, это не влечёт недействительность остальных положений, если из существа отношений не следует иное.</w:t>
      </w:r>
    </w:p>
    <w:p>
      <w:pPr>
        <w:spacing w:after="120" w:line="276" w:lineRule="auto"/>
      </w:pPr>
      <w:r>
        <w:t>15.3. Во всём, что не урегулировано настоящим Договором, Стороны руководствуются законодательством Российской Федерации.</w:t>
      </w:r>
    </w:p>
    <w:p>
      <w:r>
        <w:br w:type="page"/>
      </w:r>
    </w:p>
    <w:p>
      <w:pPr>
        <w:pStyle w:val="Heading1"/>
      </w:pPr>
      <w:r>
        <w:t>ПРИЛОЖЕНИЕ № 1</w:t>
      </w:r>
    </w:p>
    <w:p>
      <w:pPr>
        <w:spacing w:after="120" w:line="276" w:lineRule="auto"/>
      </w:pPr>
      <w:r>
        <w:t>Коммерческие условия и расчётные параметры</w:t>
      </w:r>
    </w:p>
    <w:tbl>
      <w:tblPr>
        <w:tblW w:type="auto" w:w="0"/>
        <w:jc w:val="center"/>
        <w:tblLayout w:type="fixed"/>
        <w:tblLook w:firstColumn="1" w:firstRow="1" w:lastColumn="0" w:lastRow="0" w:noHBand="0" w:noVBand="1" w:val="04A0"/>
      </w:tblPr>
      <w:tblGrid>
        <w:gridCol w:w="4873"/>
        <w:gridCol w:w="4873"/>
      </w:tblGrid>
      <w:tr>
        <w:tc>
          <w:tcPr>
            <w:tcW w:type="dxa" w:w="3402"/>
            <w:vAlign w:val="center"/>
            <w:shd w:fill="E9F5F6"/>
          </w:tcPr>
          <w:p>
            <w:r/>
            <w:r>
              <w:rPr>
                <w:rFonts w:ascii="Calibri" w:hAnsi="Calibri" w:eastAsia="Calibri"/>
                <w:b/>
                <w:sz w:val="21"/>
              </w:rPr>
              <w:t>Ставка комиссии MyWave</w:t>
            </w:r>
          </w:p>
        </w:tc>
        <w:tc>
          <w:tcPr>
            <w:tcW w:type="dxa" w:w="5216"/>
            <w:vAlign w:val="center"/>
          </w:tcPr>
          <w:p>
            <w:r/>
            <w:r>
              <w:rPr>
                <w:rFonts w:ascii="Calibri" w:hAnsi="Calibri" w:eastAsia="Calibri"/>
                <w:b w:val="0"/>
                <w:sz w:val="21"/>
              </w:rPr>
              <w:t>_____ % от Чистой суммы Атрибутированного заказа</w:t>
            </w:r>
          </w:p>
        </w:tc>
      </w:tr>
      <w:tr>
        <w:tc>
          <w:tcPr>
            <w:tcW w:type="dxa" w:w="3402"/>
            <w:vAlign w:val="center"/>
            <w:shd w:fill="F5FBFB"/>
          </w:tcPr>
          <w:p>
            <w:r/>
            <w:r>
              <w:rPr>
                <w:rFonts w:ascii="Calibri" w:hAnsi="Calibri" w:eastAsia="Calibri"/>
                <w:b/>
                <w:sz w:val="21"/>
              </w:rPr>
              <w:t>Расчётный период</w:t>
            </w:r>
          </w:p>
        </w:tc>
        <w:tc>
          <w:tcPr>
            <w:tcW w:type="dxa" w:w="5216"/>
            <w:vAlign w:val="center"/>
          </w:tcPr>
          <w:p>
            <w:r/>
            <w:r>
              <w:rPr>
                <w:rFonts w:ascii="Calibri" w:hAnsi="Calibri" w:eastAsia="Calibri"/>
                <w:b w:val="0"/>
                <w:sz w:val="21"/>
              </w:rPr>
              <w:t>Календарный месяц / иной: ____________________</w:t>
            </w:r>
          </w:p>
        </w:tc>
      </w:tr>
      <w:tr>
        <w:tc>
          <w:tcPr>
            <w:tcW w:type="dxa" w:w="3402"/>
            <w:vAlign w:val="center"/>
            <w:shd w:fill="E9F5F6"/>
          </w:tcPr>
          <w:p>
            <w:r/>
            <w:r>
              <w:rPr>
                <w:rFonts w:ascii="Calibri" w:hAnsi="Calibri" w:eastAsia="Calibri"/>
                <w:b/>
                <w:sz w:val="21"/>
              </w:rPr>
              <w:t>Срок на возражения по отчёту</w:t>
            </w:r>
          </w:p>
        </w:tc>
        <w:tc>
          <w:tcPr>
            <w:tcW w:type="dxa" w:w="5216"/>
            <w:vAlign w:val="center"/>
          </w:tcPr>
          <w:p>
            <w:r/>
            <w:r>
              <w:rPr>
                <w:rFonts w:ascii="Calibri" w:hAnsi="Calibri" w:eastAsia="Calibri"/>
                <w:b w:val="0"/>
                <w:sz w:val="21"/>
              </w:rPr>
              <w:t>5 рабочих дней / иной: ____________________</w:t>
            </w:r>
          </w:p>
        </w:tc>
      </w:tr>
      <w:tr>
        <w:tc>
          <w:tcPr>
            <w:tcW w:type="dxa" w:w="3402"/>
            <w:vAlign w:val="center"/>
            <w:shd w:fill="F5FBFB"/>
          </w:tcPr>
          <w:p>
            <w:r/>
            <w:r>
              <w:rPr>
                <w:rFonts w:ascii="Calibri" w:hAnsi="Calibri" w:eastAsia="Calibri"/>
                <w:b/>
                <w:sz w:val="21"/>
              </w:rPr>
              <w:t>Срок оплаты начисления</w:t>
            </w:r>
          </w:p>
        </w:tc>
        <w:tc>
          <w:tcPr>
            <w:tcW w:type="dxa" w:w="5216"/>
            <w:vAlign w:val="center"/>
          </w:tcPr>
          <w:p>
            <w:r/>
            <w:r>
              <w:rPr>
                <w:rFonts w:ascii="Calibri" w:hAnsi="Calibri" w:eastAsia="Calibri"/>
                <w:b w:val="0"/>
                <w:sz w:val="21"/>
              </w:rPr>
              <w:t>5 рабочих дней / иной: ____________________</w:t>
            </w:r>
          </w:p>
        </w:tc>
      </w:tr>
      <w:tr>
        <w:tc>
          <w:tcPr>
            <w:tcW w:type="dxa" w:w="3402"/>
            <w:vAlign w:val="center"/>
            <w:shd w:fill="E9F5F6"/>
          </w:tcPr>
          <w:p>
            <w:r/>
            <w:r>
              <w:rPr>
                <w:rFonts w:ascii="Calibri" w:hAnsi="Calibri" w:eastAsia="Calibri"/>
                <w:b/>
                <w:sz w:val="21"/>
              </w:rPr>
              <w:t>Окно атрибуции</w:t>
            </w:r>
          </w:p>
        </w:tc>
        <w:tc>
          <w:tcPr>
            <w:tcW w:type="dxa" w:w="5216"/>
            <w:vAlign w:val="center"/>
          </w:tcPr>
          <w:p>
            <w:r/>
            <w:r>
              <w:rPr>
                <w:rFonts w:ascii="Calibri" w:hAnsi="Calibri" w:eastAsia="Calibri"/>
                <w:b w:val="0"/>
                <w:sz w:val="21"/>
              </w:rPr>
              <w:t>60 календарных дней / иной: ____________________</w:t>
            </w:r>
          </w:p>
        </w:tc>
      </w:tr>
      <w:tr>
        <w:tc>
          <w:tcPr>
            <w:tcW w:type="dxa" w:w="3402"/>
            <w:vAlign w:val="center"/>
            <w:shd w:fill="F5FBFB"/>
          </w:tcPr>
          <w:p>
            <w:r/>
            <w:r>
              <w:rPr>
                <w:rFonts w:ascii="Calibri" w:hAnsi="Calibri" w:eastAsia="Calibri"/>
                <w:b/>
                <w:sz w:val="21"/>
              </w:rPr>
              <w:t>Способ обмена документами</w:t>
            </w:r>
          </w:p>
        </w:tc>
        <w:tc>
          <w:tcPr>
            <w:tcW w:type="dxa" w:w="5216"/>
            <w:vAlign w:val="center"/>
          </w:tcPr>
          <w:p>
            <w:r/>
            <w:r>
              <w:rPr>
                <w:rFonts w:ascii="Calibri" w:hAnsi="Calibri" w:eastAsia="Calibri"/>
                <w:b w:val="0"/>
                <w:sz w:val="21"/>
              </w:rPr>
              <w:t>Личный кабинет / email / ЭДО / иное: ____________________</w:t>
            </w:r>
          </w:p>
        </w:tc>
      </w:tr>
      <w:tr>
        <w:tc>
          <w:tcPr>
            <w:tcW w:type="dxa" w:w="3402"/>
            <w:vAlign w:val="center"/>
            <w:shd w:fill="E9F5F6"/>
          </w:tcPr>
          <w:p>
            <w:r/>
            <w:r>
              <w:rPr>
                <w:rFonts w:ascii="Calibri" w:hAnsi="Calibri" w:eastAsia="Calibri"/>
                <w:b/>
                <w:sz w:val="21"/>
              </w:rPr>
              <w:t>Особые льготные условия старта</w:t>
            </w:r>
          </w:p>
        </w:tc>
        <w:tc>
          <w:tcPr>
            <w:tcW w:type="dxa" w:w="5216"/>
            <w:vAlign w:val="center"/>
          </w:tcPr>
          <w:p>
            <w:r/>
            <w:r>
              <w:rPr>
                <w:rFonts w:ascii="Calibri" w:hAnsi="Calibri" w:eastAsia="Calibri"/>
                <w:b w:val="0"/>
                <w:sz w:val="21"/>
              </w:rPr>
              <w:t>____________________________________________</w:t>
            </w:r>
          </w:p>
        </w:tc>
      </w:tr>
      <w:tr>
        <w:tc>
          <w:tcPr>
            <w:tcW w:type="dxa" w:w="3402"/>
            <w:vAlign w:val="center"/>
            <w:shd w:fill="F5FBFB"/>
          </w:tcPr>
          <w:p>
            <w:r/>
            <w:r>
              <w:rPr>
                <w:rFonts w:ascii="Calibri" w:hAnsi="Calibri" w:eastAsia="Calibri"/>
                <w:b/>
                <w:sz w:val="21"/>
              </w:rPr>
              <w:t>Прочие условия</w:t>
            </w:r>
          </w:p>
        </w:tc>
        <w:tc>
          <w:tcPr>
            <w:tcW w:type="dxa" w:w="5216"/>
            <w:vAlign w:val="center"/>
          </w:tcPr>
          <w:p>
            <w:r/>
            <w:r>
              <w:rPr>
                <w:rFonts w:ascii="Calibri" w:hAnsi="Calibri" w:eastAsia="Calibri"/>
                <w:b w:val="0"/>
                <w:sz w:val="21"/>
              </w:rPr>
              <w:t>____________________________________________</w:t>
            </w:r>
          </w:p>
        </w:tc>
      </w:tr>
    </w:tbl>
    <w:p/>
    <w:p>
      <w:pPr>
        <w:pStyle w:val="Heading1"/>
      </w:pPr>
      <w:r>
        <w:t>ПРИЛОЖЕНИЕ № 2</w:t>
      </w:r>
    </w:p>
    <w:p>
      <w:pPr>
        <w:spacing w:after="120" w:line="276" w:lineRule="auto"/>
      </w:pPr>
      <w:r>
        <w:t>Чек-лист документов и данных Организатора</w:t>
      </w:r>
    </w:p>
    <w:tbl>
      <w:tblPr>
        <w:tblW w:type="auto" w:w="0"/>
        <w:jc w:val="center"/>
        <w:tblLayout w:type="fixed"/>
        <w:tblLook w:firstColumn="1" w:firstRow="1" w:lastColumn="0" w:lastRow="0" w:noHBand="0" w:noVBand="1" w:val="04A0"/>
      </w:tblPr>
      <w:tblGrid>
        <w:gridCol w:w="3249"/>
        <w:gridCol w:w="3249"/>
        <w:gridCol w:w="3249"/>
      </w:tblGrid>
      <w:tr>
        <w:tc>
          <w:tcPr>
            <w:tcW w:type="dxa" w:w="5272"/>
            <w:vAlign w:val="center"/>
            <w:shd w:fill="D6EFF2"/>
          </w:tcPr>
          <w:p>
            <w:pPr>
              <w:jc w:val="center"/>
            </w:pPr>
            <w:r/>
            <w:r>
              <w:rPr>
                <w:rFonts w:ascii="Calibri" w:hAnsi="Calibri" w:eastAsia="Calibri"/>
                <w:b/>
                <w:sz w:val="21"/>
              </w:rPr>
              <w:t>Документ / данные</w:t>
            </w:r>
          </w:p>
        </w:tc>
        <w:tc>
          <w:tcPr>
            <w:tcW w:type="dxa" w:w="1701"/>
            <w:vAlign w:val="center"/>
            <w:shd w:fill="D6EFF2"/>
          </w:tcPr>
          <w:p>
            <w:pPr>
              <w:jc w:val="center"/>
            </w:pPr>
            <w:r/>
            <w:r>
              <w:rPr>
                <w:rFonts w:ascii="Calibri" w:hAnsi="Calibri" w:eastAsia="Calibri"/>
                <w:b/>
                <w:sz w:val="21"/>
              </w:rPr>
              <w:t>Предоставлено</w:t>
            </w:r>
          </w:p>
        </w:tc>
        <w:tc>
          <w:tcPr>
            <w:tcW w:type="dxa" w:w="1757"/>
            <w:vAlign w:val="center"/>
            <w:shd w:fill="D6EFF2"/>
          </w:tcPr>
          <w:p>
            <w:pPr>
              <w:jc w:val="center"/>
            </w:pPr>
            <w:r/>
            <w:r>
              <w:rPr>
                <w:rFonts w:ascii="Calibri" w:hAnsi="Calibri" w:eastAsia="Calibri"/>
                <w:b/>
                <w:sz w:val="21"/>
              </w:rPr>
              <w:t>Комментарий</w:t>
            </w:r>
          </w:p>
        </w:tc>
      </w:tr>
      <w:tr>
        <w:tc>
          <w:tcPr>
            <w:tcW w:type="dxa" w:w="3249"/>
            <w:vAlign w:val="center"/>
          </w:tcPr>
          <w:p>
            <w:r/>
            <w:r>
              <w:rPr>
                <w:rFonts w:ascii="Calibri" w:hAnsi="Calibri" w:eastAsia="Calibri"/>
                <w:b w:val="0"/>
                <w:sz w:val="21"/>
              </w:rPr>
              <w:t>Карточка Организатора и контактные данные</w:t>
            </w:r>
          </w:p>
        </w:tc>
        <w:tc>
          <w:tcPr>
            <w:tcW w:type="dxa" w:w="3249"/>
            <w:vAlign w:val="center"/>
          </w:tcPr>
          <w:p>
            <w:pPr>
              <w:jc w:val="center"/>
            </w:pPr>
            <w:r/>
            <w:r>
              <w:rPr>
                <w:rFonts w:ascii="Calibri" w:hAnsi="Calibri" w:eastAsia="Calibri"/>
                <w:b w:val="0"/>
                <w:sz w:val="21"/>
              </w:rPr>
              <w:t>□ Да   □ Нет</w:t>
            </w:r>
          </w:p>
        </w:tc>
        <w:tc>
          <w:tcPr>
            <w:tcW w:type="dxa" w:w="3249"/>
            <w:vAlign w:val="center"/>
          </w:tcPr>
          <w:p>
            <w:r/>
            <w:r>
              <w:rPr>
                <w:rFonts w:ascii="Calibri" w:hAnsi="Calibri" w:eastAsia="Calibri"/>
                <w:b w:val="0"/>
                <w:sz w:val="21"/>
              </w:rPr>
            </w:r>
          </w:p>
        </w:tc>
      </w:tr>
      <w:tr>
        <w:tc>
          <w:tcPr>
            <w:tcW w:type="dxa" w:w="3249"/>
            <w:vAlign w:val="center"/>
          </w:tcPr>
          <w:p>
            <w:r/>
            <w:r>
              <w:rPr>
                <w:rFonts w:ascii="Calibri" w:hAnsi="Calibri" w:eastAsia="Calibri"/>
                <w:b w:val="0"/>
                <w:sz w:val="21"/>
              </w:rPr>
              <w:t>ИНН / ОГРН(ИП) / реквизиты</w:t>
            </w:r>
          </w:p>
        </w:tc>
        <w:tc>
          <w:tcPr>
            <w:tcW w:type="dxa" w:w="3249"/>
            <w:vAlign w:val="center"/>
          </w:tcPr>
          <w:p>
            <w:pPr>
              <w:jc w:val="center"/>
            </w:pPr>
            <w:r/>
            <w:r>
              <w:rPr>
                <w:rFonts w:ascii="Calibri" w:hAnsi="Calibri" w:eastAsia="Calibri"/>
                <w:b w:val="0"/>
                <w:sz w:val="21"/>
              </w:rPr>
              <w:t>□ Да   □ Нет</w:t>
            </w:r>
          </w:p>
        </w:tc>
        <w:tc>
          <w:tcPr>
            <w:tcW w:type="dxa" w:w="3249"/>
            <w:vAlign w:val="center"/>
          </w:tcPr>
          <w:p>
            <w:r/>
            <w:r>
              <w:rPr>
                <w:rFonts w:ascii="Calibri" w:hAnsi="Calibri" w:eastAsia="Calibri"/>
                <w:b w:val="0"/>
                <w:sz w:val="21"/>
              </w:rPr>
            </w:r>
          </w:p>
        </w:tc>
      </w:tr>
      <w:tr>
        <w:tc>
          <w:tcPr>
            <w:tcW w:type="dxa" w:w="3249"/>
            <w:vAlign w:val="center"/>
          </w:tcPr>
          <w:p>
            <w:r/>
            <w:r>
              <w:rPr>
                <w:rFonts w:ascii="Calibri" w:hAnsi="Calibri" w:eastAsia="Calibri"/>
                <w:b w:val="0"/>
                <w:sz w:val="21"/>
              </w:rPr>
              <w:t>Подтверждение статуса (ИП / ООО / самозанятый)</w:t>
            </w:r>
          </w:p>
        </w:tc>
        <w:tc>
          <w:tcPr>
            <w:tcW w:type="dxa" w:w="3249"/>
            <w:vAlign w:val="center"/>
          </w:tcPr>
          <w:p>
            <w:pPr>
              <w:jc w:val="center"/>
            </w:pPr>
            <w:r/>
            <w:r>
              <w:rPr>
                <w:rFonts w:ascii="Calibri" w:hAnsi="Calibri" w:eastAsia="Calibri"/>
                <w:b w:val="0"/>
                <w:sz w:val="21"/>
              </w:rPr>
              <w:t>□ Да   □ Нет</w:t>
            </w:r>
          </w:p>
        </w:tc>
        <w:tc>
          <w:tcPr>
            <w:tcW w:type="dxa" w:w="3249"/>
            <w:vAlign w:val="center"/>
          </w:tcPr>
          <w:p>
            <w:r/>
            <w:r>
              <w:rPr>
                <w:rFonts w:ascii="Calibri" w:hAnsi="Calibri" w:eastAsia="Calibri"/>
                <w:b w:val="0"/>
                <w:sz w:val="21"/>
              </w:rPr>
            </w:r>
          </w:p>
        </w:tc>
      </w:tr>
      <w:tr>
        <w:tc>
          <w:tcPr>
            <w:tcW w:type="dxa" w:w="3249"/>
            <w:vAlign w:val="center"/>
          </w:tcPr>
          <w:p>
            <w:r/>
            <w:r>
              <w:rPr>
                <w:rFonts w:ascii="Calibri" w:hAnsi="Calibri" w:eastAsia="Calibri"/>
                <w:b w:val="0"/>
                <w:sz w:val="21"/>
              </w:rPr>
              <w:t>Описание Предложений и коммерческих условий</w:t>
            </w:r>
          </w:p>
        </w:tc>
        <w:tc>
          <w:tcPr>
            <w:tcW w:type="dxa" w:w="3249"/>
            <w:vAlign w:val="center"/>
          </w:tcPr>
          <w:p>
            <w:pPr>
              <w:jc w:val="center"/>
            </w:pPr>
            <w:r/>
            <w:r>
              <w:rPr>
                <w:rFonts w:ascii="Calibri" w:hAnsi="Calibri" w:eastAsia="Calibri"/>
                <w:b w:val="0"/>
                <w:sz w:val="21"/>
              </w:rPr>
              <w:t>□ Да   □ Нет</w:t>
            </w:r>
          </w:p>
        </w:tc>
        <w:tc>
          <w:tcPr>
            <w:tcW w:type="dxa" w:w="3249"/>
            <w:vAlign w:val="center"/>
          </w:tcPr>
          <w:p>
            <w:r/>
            <w:r>
              <w:rPr>
                <w:rFonts w:ascii="Calibri" w:hAnsi="Calibri" w:eastAsia="Calibri"/>
                <w:b w:val="0"/>
                <w:sz w:val="21"/>
              </w:rPr>
            </w:r>
          </w:p>
        </w:tc>
      </w:tr>
      <w:tr>
        <w:tc>
          <w:tcPr>
            <w:tcW w:type="dxa" w:w="3249"/>
            <w:vAlign w:val="center"/>
          </w:tcPr>
          <w:p>
            <w:r/>
            <w:r>
              <w:rPr>
                <w:rFonts w:ascii="Calibri" w:hAnsi="Calibri" w:eastAsia="Calibri"/>
                <w:b w:val="0"/>
                <w:sz w:val="21"/>
              </w:rPr>
              <w:t>Документы по безопасности / инструкторам / страховке (если применимо)</w:t>
            </w:r>
          </w:p>
        </w:tc>
        <w:tc>
          <w:tcPr>
            <w:tcW w:type="dxa" w:w="3249"/>
            <w:vAlign w:val="center"/>
          </w:tcPr>
          <w:p>
            <w:pPr>
              <w:jc w:val="center"/>
            </w:pPr>
            <w:r/>
            <w:r>
              <w:rPr>
                <w:rFonts w:ascii="Calibri" w:hAnsi="Calibri" w:eastAsia="Calibri"/>
                <w:b w:val="0"/>
                <w:sz w:val="21"/>
              </w:rPr>
              <w:t>□ Да   □ Нет</w:t>
            </w:r>
          </w:p>
        </w:tc>
        <w:tc>
          <w:tcPr>
            <w:tcW w:type="dxa" w:w="3249"/>
            <w:vAlign w:val="center"/>
          </w:tcPr>
          <w:p>
            <w:r/>
            <w:r>
              <w:rPr>
                <w:rFonts w:ascii="Calibri" w:hAnsi="Calibri" w:eastAsia="Calibri"/>
                <w:b w:val="0"/>
                <w:sz w:val="21"/>
              </w:rPr>
            </w:r>
          </w:p>
        </w:tc>
      </w:tr>
      <w:tr>
        <w:tc>
          <w:tcPr>
            <w:tcW w:type="dxa" w:w="3249"/>
            <w:vAlign w:val="center"/>
          </w:tcPr>
          <w:p>
            <w:r/>
            <w:r>
              <w:rPr>
                <w:rFonts w:ascii="Calibri" w:hAnsi="Calibri" w:eastAsia="Calibri"/>
                <w:b w:val="0"/>
                <w:sz w:val="21"/>
              </w:rPr>
              <w:t>Материалы для карточек: фото / видео / тексты</w:t>
            </w:r>
          </w:p>
        </w:tc>
        <w:tc>
          <w:tcPr>
            <w:tcW w:type="dxa" w:w="3249"/>
            <w:vAlign w:val="center"/>
          </w:tcPr>
          <w:p>
            <w:pPr>
              <w:jc w:val="center"/>
            </w:pPr>
            <w:r/>
            <w:r>
              <w:rPr>
                <w:rFonts w:ascii="Calibri" w:hAnsi="Calibri" w:eastAsia="Calibri"/>
                <w:b w:val="0"/>
                <w:sz w:val="21"/>
              </w:rPr>
              <w:t>□ Да   □ Нет</w:t>
            </w:r>
          </w:p>
        </w:tc>
        <w:tc>
          <w:tcPr>
            <w:tcW w:type="dxa" w:w="3249"/>
            <w:vAlign w:val="center"/>
          </w:tcPr>
          <w:p>
            <w:r/>
            <w:r>
              <w:rPr>
                <w:rFonts w:ascii="Calibri" w:hAnsi="Calibri" w:eastAsia="Calibri"/>
                <w:b w:val="0"/>
                <w:sz w:val="21"/>
              </w:rPr>
            </w:r>
          </w:p>
        </w:tc>
      </w:tr>
      <w:tr>
        <w:tc>
          <w:tcPr>
            <w:tcW w:type="dxa" w:w="3249"/>
            <w:vAlign w:val="center"/>
          </w:tcPr>
          <w:p>
            <w:r/>
            <w:r>
              <w:rPr>
                <w:rFonts w:ascii="Calibri" w:hAnsi="Calibri" w:eastAsia="Calibri"/>
                <w:b w:val="0"/>
                <w:sz w:val="21"/>
              </w:rPr>
              <w:t>Политика отмен / возвратов / правила участия</w:t>
            </w:r>
          </w:p>
        </w:tc>
        <w:tc>
          <w:tcPr>
            <w:tcW w:type="dxa" w:w="3249"/>
            <w:vAlign w:val="center"/>
          </w:tcPr>
          <w:p>
            <w:pPr>
              <w:jc w:val="center"/>
            </w:pPr>
            <w:r/>
            <w:r>
              <w:rPr>
                <w:rFonts w:ascii="Calibri" w:hAnsi="Calibri" w:eastAsia="Calibri"/>
                <w:b w:val="0"/>
                <w:sz w:val="21"/>
              </w:rPr>
              <w:t>□ Да   □ Нет</w:t>
            </w:r>
          </w:p>
        </w:tc>
        <w:tc>
          <w:tcPr>
            <w:tcW w:type="dxa" w:w="3249"/>
            <w:vAlign w:val="center"/>
          </w:tcPr>
          <w:p>
            <w:r/>
            <w:r>
              <w:rPr>
                <w:rFonts w:ascii="Calibri" w:hAnsi="Calibri" w:eastAsia="Calibri"/>
                <w:b w:val="0"/>
                <w:sz w:val="21"/>
              </w:rPr>
            </w:r>
          </w:p>
        </w:tc>
      </w:tr>
    </w:tbl>
    <w:p>
      <w:r>
        <w:br w:type="page"/>
      </w:r>
    </w:p>
    <w:p>
      <w:pPr>
        <w:pStyle w:val="Heading1"/>
      </w:pPr>
      <w:r>
        <w:t>РЕКВИЗИТЫ И ПОДПИСИ СТОРОН</w:t>
      </w:r>
    </w:p>
    <w:tbl>
      <w:tblPr>
        <w:tblW w:type="auto" w:w="0"/>
        <w:jc w:val="center"/>
        <w:tblLayout w:type="fixed"/>
        <w:tblLook w:firstColumn="1" w:firstRow="1" w:lastColumn="0" w:lastRow="0" w:noHBand="0" w:noVBand="1" w:val="04A0"/>
      </w:tblPr>
      <w:tblGrid>
        <w:gridCol w:w="4873"/>
        <w:gridCol w:w="4873"/>
      </w:tblGrid>
      <w:tr>
        <w:tc>
          <w:tcPr>
            <w:tcW w:type="dxa" w:w="4309"/>
            <w:vAlign w:val="center"/>
            <w:shd w:fill="D6EFF2"/>
          </w:tcPr>
          <w:p>
            <w:r/>
            <w:r>
              <w:rPr>
                <w:rFonts w:ascii="Calibri" w:hAnsi="Calibri" w:eastAsia="Calibri"/>
                <w:b/>
                <w:sz w:val="21"/>
              </w:rPr>
              <w:t>ПЛАТФОРМА / ИСПОЛНИТЕЛЬ</w:t>
            </w:r>
          </w:p>
        </w:tc>
        <w:tc>
          <w:tcPr>
            <w:tcW w:type="dxa" w:w="4309"/>
            <w:vAlign w:val="center"/>
            <w:shd w:fill="D6EFF2"/>
          </w:tcPr>
          <w:p>
            <w:r/>
            <w:r>
              <w:rPr>
                <w:rFonts w:ascii="Calibri" w:hAnsi="Calibri" w:eastAsia="Calibri"/>
                <w:b/>
                <w:sz w:val="21"/>
              </w:rPr>
              <w:t>ОРГАНИЗАТОР / ПАРТНЁР</w:t>
            </w:r>
          </w:p>
        </w:tc>
      </w:tr>
      <w:tr>
        <w:tc>
          <w:tcPr>
            <w:tcW w:type="dxa" w:w="4309"/>
            <w:vAlign w:val="center"/>
          </w:tcPr>
          <w:p>
            <w:r/>
            <w:r>
              <w:rPr>
                <w:rFonts w:ascii="Calibri" w:hAnsi="Calibri" w:eastAsia="Calibri"/>
                <w:b w:val="0"/>
                <w:sz w:val="21"/>
              </w:rPr>
              <w:t>MyWave / ИП Валеев Я.Р.</w:t>
            </w:r>
          </w:p>
        </w:tc>
        <w:tc>
          <w:tcPr>
            <w:tcW w:type="dxa" w:w="4309"/>
            <w:vAlign w:val="center"/>
          </w:tcPr>
          <w:p>
            <w:r/>
            <w:r>
              <w:rPr>
                <w:rFonts w:ascii="Calibri" w:hAnsi="Calibri" w:eastAsia="Calibri"/>
                <w:b w:val="0"/>
                <w:sz w:val="21"/>
              </w:rPr>
              <w:t>_______________________________________</w:t>
            </w:r>
          </w:p>
        </w:tc>
      </w:tr>
      <w:tr>
        <w:tc>
          <w:tcPr>
            <w:tcW w:type="dxa" w:w="4309"/>
            <w:vAlign w:val="center"/>
          </w:tcPr>
          <w:p>
            <w:r/>
            <w:r>
              <w:rPr>
                <w:rFonts w:ascii="Calibri" w:hAnsi="Calibri" w:eastAsia="Calibri"/>
                <w:b w:val="0"/>
                <w:sz w:val="21"/>
              </w:rPr>
              <w:t>Реквизиты: ____________________________</w:t>
            </w:r>
          </w:p>
        </w:tc>
        <w:tc>
          <w:tcPr>
            <w:tcW w:type="dxa" w:w="4309"/>
            <w:vAlign w:val="center"/>
          </w:tcPr>
          <w:p>
            <w:r/>
            <w:r>
              <w:rPr>
                <w:rFonts w:ascii="Calibri" w:hAnsi="Calibri" w:eastAsia="Calibri"/>
                <w:b w:val="0"/>
                <w:sz w:val="21"/>
              </w:rPr>
              <w:t>Реквизиты: ____________________________</w:t>
            </w:r>
          </w:p>
        </w:tc>
      </w:tr>
      <w:tr>
        <w:tc>
          <w:tcPr>
            <w:tcW w:type="dxa" w:w="4309"/>
            <w:vAlign w:val="center"/>
          </w:tcPr>
          <w:p>
            <w:r/>
            <w:r>
              <w:rPr>
                <w:rFonts w:ascii="Calibri" w:hAnsi="Calibri" w:eastAsia="Calibri"/>
                <w:b w:val="0"/>
                <w:sz w:val="21"/>
              </w:rPr>
              <w:t>Адрес: ________________________________</w:t>
            </w:r>
          </w:p>
        </w:tc>
        <w:tc>
          <w:tcPr>
            <w:tcW w:type="dxa" w:w="4309"/>
            <w:vAlign w:val="center"/>
          </w:tcPr>
          <w:p>
            <w:r/>
            <w:r>
              <w:rPr>
                <w:rFonts w:ascii="Calibri" w:hAnsi="Calibri" w:eastAsia="Calibri"/>
                <w:b w:val="0"/>
                <w:sz w:val="21"/>
              </w:rPr>
              <w:t>Адрес: ________________________________</w:t>
            </w:r>
          </w:p>
        </w:tc>
      </w:tr>
      <w:tr>
        <w:tc>
          <w:tcPr>
            <w:tcW w:type="dxa" w:w="4309"/>
            <w:vAlign w:val="center"/>
          </w:tcPr>
          <w:p>
            <w:r/>
            <w:r>
              <w:rPr>
                <w:rFonts w:ascii="Calibri" w:hAnsi="Calibri" w:eastAsia="Calibri"/>
                <w:b w:val="0"/>
                <w:sz w:val="21"/>
              </w:rPr>
              <w:t>Email: ________________________________</w:t>
            </w:r>
          </w:p>
        </w:tc>
        <w:tc>
          <w:tcPr>
            <w:tcW w:type="dxa" w:w="4309"/>
            <w:vAlign w:val="center"/>
          </w:tcPr>
          <w:p>
            <w:r/>
            <w:r>
              <w:rPr>
                <w:rFonts w:ascii="Calibri" w:hAnsi="Calibri" w:eastAsia="Calibri"/>
                <w:b w:val="0"/>
                <w:sz w:val="21"/>
              </w:rPr>
              <w:t>Email: ________________________________</w:t>
            </w:r>
          </w:p>
        </w:tc>
      </w:tr>
      <w:tr>
        <w:tc>
          <w:tcPr>
            <w:tcW w:type="dxa" w:w="4309"/>
            <w:vAlign w:val="center"/>
          </w:tcPr>
          <w:p>
            <w:r/>
            <w:r>
              <w:rPr>
                <w:rFonts w:ascii="Calibri" w:hAnsi="Calibri" w:eastAsia="Calibri"/>
                <w:b w:val="0"/>
                <w:sz w:val="21"/>
              </w:rPr>
              <w:t>Подпись: _____________ /______________/</w:t>
            </w:r>
          </w:p>
        </w:tc>
        <w:tc>
          <w:tcPr>
            <w:tcW w:type="dxa" w:w="4309"/>
            <w:vAlign w:val="center"/>
          </w:tcPr>
          <w:p>
            <w:r/>
            <w:r>
              <w:rPr>
                <w:rFonts w:ascii="Calibri" w:hAnsi="Calibri" w:eastAsia="Calibri"/>
                <w:b w:val="0"/>
                <w:sz w:val="21"/>
              </w:rPr>
              <w:t>Подпись: _____________ /______________/</w:t>
            </w:r>
          </w:p>
        </w:tc>
      </w:tr>
    </w:tbl>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46464"/>
        <w:sz w:val="18"/>
      </w:rPr>
      <w:t>Проект договора MyWave • версия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85C6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85C6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WTitle">
    <w:name w:val="MWTitle"/>
    <w:basedOn w:val="Title"/>
    <w:rPr>
      <w:rFonts w:ascii="Calibri" w:hAnsi="Calibri" w:eastAsia="Calibri"/>
      <w:b/>
      <w:color w:val="185C63"/>
      <w:sz w:val="36"/>
    </w:rPr>
  </w:style>
  <w:style w:type="paragraph" w:customStyle="1" w:styleId="MWSubtitle">
    <w:name w:val="MWSubtitle"/>
    <w:basedOn w:val="Subtitle"/>
    <w:rPr>
      <w:rFonts w:ascii="Calibri" w:hAnsi="Calibri" w:eastAsia="Calibri"/>
      <w:i/>
      <w:color w:val="5A5A5A"/>
      <w:sz w:val="22"/>
    </w:rPr>
  </w:style>
  <w:style w:type="paragraph" w:customStyle="1" w:styleId="MWNote">
    <w:name w:val="MWNote"/>
    <w:basedOn w:val="Normal"/>
    <w:rPr>
      <w:rFonts w:ascii="Calibri" w:hAnsi="Calibri" w:eastAsia="Calibri"/>
      <w:i/>
      <w:color w:val="5F5F5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