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026A7" w14:textId="4D075157" w:rsidR="0044606E" w:rsidRDefault="0044606E" w:rsidP="0044606E">
      <w:pPr>
        <w:jc w:val="center"/>
        <w:rPr>
          <w:rFonts w:ascii="Times New Roman" w:eastAsia="Times New Roman" w:hAnsi="Times New Roman" w:cs="Times New Roman"/>
          <w:color w:val="222222"/>
          <w:shd w:val="clear" w:color="auto" w:fill="FFFFFF"/>
          <w:lang w:val="en-GB" w:eastAsia="en-GB"/>
        </w:rPr>
      </w:pPr>
      <w:r w:rsidRPr="0044606E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FIGURE REPRESENTATIVE</w:t>
      </w:r>
      <w:r w:rsidRPr="0044606E">
        <w:rPr>
          <w:rFonts w:ascii="Times New Roman" w:eastAsia="Times New Roman" w:hAnsi="Times New Roman" w:cs="Times New Roman"/>
          <w:color w:val="222222"/>
          <w:shd w:val="clear" w:color="auto" w:fill="FFFFFF"/>
          <w:lang w:val="en-GB" w:eastAsia="en-GB"/>
        </w:rPr>
        <w:t xml:space="preserve"> CAPTION</w:t>
      </w:r>
    </w:p>
    <w:p w14:paraId="2CC8650D" w14:textId="77777777" w:rsidR="0044606E" w:rsidRPr="0044606E" w:rsidRDefault="0044606E" w:rsidP="0044606E">
      <w:pPr>
        <w:jc w:val="center"/>
        <w:rPr>
          <w:rFonts w:ascii="Times New Roman" w:eastAsia="Times New Roman" w:hAnsi="Times New Roman" w:cs="Times New Roman"/>
          <w:lang w:val="en-GB" w:eastAsia="en-GB"/>
        </w:rPr>
      </w:pPr>
    </w:p>
    <w:p w14:paraId="356A43D3" w14:textId="544743F8" w:rsidR="0044606E" w:rsidRPr="0044606E" w:rsidRDefault="0044606E" w:rsidP="0044606E">
      <w:pPr>
        <w:jc w:val="both"/>
        <w:rPr>
          <w:rFonts w:ascii="Times New Roman" w:hAnsi="Times New Roman" w:cs="Times New Roman"/>
        </w:rPr>
      </w:pPr>
      <w:r w:rsidRPr="0044606E">
        <w:rPr>
          <w:rFonts w:ascii="Times New Roman" w:hAnsi="Times New Roman" w:cs="Times New Roman"/>
        </w:rPr>
        <w:t>Left — the Cu</w:t>
      </w:r>
      <w:r w:rsidRPr="0044606E">
        <w:rPr>
          <w:rFonts w:ascii="Times New Roman" w:hAnsi="Times New Roman" w:cs="Times New Roman"/>
          <w:vertAlign w:val="subscript"/>
        </w:rPr>
        <w:t>12</w:t>
      </w:r>
      <w:r w:rsidRPr="0044606E">
        <w:rPr>
          <w:rFonts w:ascii="Times New Roman" w:hAnsi="Times New Roman" w:cs="Times New Roman"/>
        </w:rPr>
        <w:t>As</w:t>
      </w:r>
      <w:r w:rsidRPr="0044606E">
        <w:rPr>
          <w:rFonts w:ascii="Times New Roman" w:hAnsi="Times New Roman" w:cs="Times New Roman"/>
          <w:vertAlign w:val="subscript"/>
        </w:rPr>
        <w:t>4</w:t>
      </w:r>
      <w:r w:rsidRPr="0044606E">
        <w:rPr>
          <w:rFonts w:ascii="Times New Roman" w:hAnsi="Times New Roman" w:cs="Times New Roman"/>
        </w:rPr>
        <w:t>S</w:t>
      </w:r>
      <w:r w:rsidRPr="0044606E">
        <w:rPr>
          <w:rFonts w:ascii="Times New Roman" w:hAnsi="Times New Roman" w:cs="Times New Roman"/>
          <w:vertAlign w:val="subscript"/>
        </w:rPr>
        <w:t>13</w:t>
      </w:r>
      <w:r w:rsidRPr="0044606E">
        <w:rPr>
          <w:rFonts w:ascii="Times New Roman" w:hAnsi="Times New Roman" w:cs="Times New Roman"/>
        </w:rPr>
        <w:t xml:space="preserve"> tennantite structure with coordination polyhedra around the Cu1 (blue), and the Laves polyhedra (yellow); right — the Laves polyhedra containing Cu2 and Cu21 atoms with their partial occupancies shown as sections of spheres.</w:t>
      </w:r>
    </w:p>
    <w:sectPr w:rsidR="0044606E" w:rsidRPr="0044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6E"/>
    <w:rsid w:val="0044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07EC1"/>
  <w15:chartTrackingRefBased/>
  <w15:docId w15:val="{8B16473B-EC06-DF41-BE3A-E3BD00F6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7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Ярославцев</dc:creator>
  <cp:keywords/>
  <dc:description/>
  <cp:lastModifiedBy>Алексей Ярославцев</cp:lastModifiedBy>
  <cp:revision>1</cp:revision>
  <dcterms:created xsi:type="dcterms:W3CDTF">2021-02-02T19:59:00Z</dcterms:created>
  <dcterms:modified xsi:type="dcterms:W3CDTF">2021-02-02T20:04:00Z</dcterms:modified>
</cp:coreProperties>
</file>