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ESTUDIO TÉCNICO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C1F6E"/>
          <w:sz w:val="24"/>
          <w:szCs w:val="24"/>
        </w:rPr>
        <w:t xml:space="preserve">Predicción de Expansión Urbana en Mérida, Yucatán (2025–2030)</w:t>
      </w:r>
    </w:p>
    <w:p>
      <w:pPr>
        <w:spacing w:after="40"/>
        <w:jc w:val="center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Modelo de Autómatas Celulares + LightGBM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Análisis de Inversión de 1,500 MDP del Gobierno de Yucatán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5B2D8E" w:sz="3"/>
          <w:bottom w:val="single" w:color="5B2D8E" w:sz="3"/>
        </w:pBdr>
        <w:shd w:fill="EDE8FC" w:val="clear"/>
        <w:spacing w:after="160"/>
        <w:jc w:val="center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Escenarios de Política Pública en Movilidad Urbana y Protección Kárstica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Junio 2026</w:t>
      </w:r>
    </w:p>
    <w:p>
      <w:r>
        <w:br w:type="pag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1. Resumen Ejecutivo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Gobierno del Estado de Yucatán ha comprometido $1,500 millones de pesos para inversión en seguridad pública, agua e infraestructura urbana, componente de movilidad y vialidades. Este estudio proporciona análisis cuantitativo de cómo asignar estratégicamente estos recursos para maximizar beneficios en compactación urbana, protección del acuífero kárstico, y calidad de vida.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Utilizando modelación de Autómatas Celulares acoplados a clasificación LightGBM, generamos tres escenarios de inversión correspondientes a diferentes enfoques de política pública: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Escenario A: Inversión enfocada en ampliación de capacidad vehicular (pasos inferiores, retornos, ampliaciones)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Escenario B: Inversión mixta con algunas medidas de transporte público y protección ambiental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Escenario C: Inversión estratégica alineada con Jerarquía de Movilidad, Plan Estatal de Desarrollo 'Renacimiento Maya 2024–2030', Ley de Movilidad y Seguridad Vial de Yucatán, y propuestas del Colectivo Haciendo Ciudad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análisis proyecta que el Escenario C, implementado mediante inversión proactiva en transporte público, infraestructura peatonal y ciclista, y protección del acuífero kárstico, reduce expansión urbana en 196 km² vs. crecimiento sin planificación, evita demanda inducida problemática, y genera retorno de inversión de 4.5:1.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2. Contexto: Préstamo de 1,500 MDP y Marcos Legales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2.1 El Préstamo del Gobierno del Estado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Gobierno del Estado de Yucatán propone contratar financiamiento por $1,500 millones de pesos para invertir en tres componentes: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Seguridad pública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Agua e infraestructura hídrica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Infraestructura vial y movilidad urbana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Este estudio se concentra en el componente de movilidad y vialidades, que constituye la porción más significativa de la inversión. La distribución de estos recursos debe responder a marcos legales, derechos humanos, y evidencia técnica, no únicamente a preferencias.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2.2 Marco Legal Obligatorio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Plan Estatal de Desarrollo 'Renacimiento Maya 2024–2030'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PED establece como objetivos y líneas de acción en movilidad: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Priorizar el transporte público en los planes de movilidad urbana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Mejorar cobertura, eficiencia, accesibilidad e integración del transporte público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Desarrollar corredores, rutas troncales y alimentadoras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Ampliar infraestructura ciclista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Incorporar accesibilidad y seguridad en infraestructura peatonal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Impulsar movilidad activa y no motorizada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Promover planeación urbana que reduzca dependencia del automóvil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Por tanto, cualquier decisión de concentrar recursos en ampliaciones, pasos inferiores o infraestructura vehicular debe explicar compatibilidad con estos objetivos.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Ley de Movilidad y Seguridad Vial de Yucatán (Reforma Diciembre 2025)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La reforma reciente establece: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Artículo 32: Principios de planificación multimodal y accesibilidad universal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Artículo 39: Municipios deben desarrollar programas de movilidad con fundamentación en datos y análisis de demanda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Artículos 47–50: Diseño de vías con resiliencia, equidad y criterios de seguridad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Este estudio proporciona fundamentación cuantitativa para cumplimiento de Artículo 39.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Norma Oficial Mexicana NOM-004-SEDATU-2023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Obligatoria para vías urbanas. Exige que clasificación y diseño de vialidad urbana respondan a sus condiciones de operación, uso y función. El Periférico de Mérida ha cambiado de función: ya no es solo tránsito de paso, sino vialidad urbana rodeada de fraccionamientos, hospitales, universidades, escuelas. Por tanto, requiere: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Reducción de velocidades conforme a contexto urbano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Infraestructura peatonal, ciclista y de transporte público prioritaria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Diseño de cruces seguros a nivel de calle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Derechos Humanos Constitucionalmente Reconocidos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Artículo 4º de la Constitución: Derecho de toda persona a movilidad en condiciones de seguridad vial, accesibilidad, eficiencia, sostenibilidad, calidad, inclusión e igualdad.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Jurisprudencia de la SCJN establece que este derecho requiere: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Coexistencia de distintos medios de transporte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Acciones concretas que permitan uso del sistema en igualdad de condiciones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Identificación y eliminación de obstáculos en transporte (Convención Derechos Personas con Discapacidad)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Accesibilidad y movilidad personal para personas mayores (Convención Interamericana)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Agenda 2030 - Objetivo de Desarrollo Sostenible 11.2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Ampliar acceso a transporte público y garantizar sistemas de transporte seguros, asequibles, accesibles y sostenibles para todas las personas.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3. El Problema de la Demanda Inducida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Una preocupación central en política de movilidad es la demanda inducida: cuando se amplía capacidad vial, se reducen temporalmente tiempos de viaje, pero esto atrae tráfico previamente contenido, modifica rutas y horarios, genera nuevos desplazamientos, y eventualmente restaura congestión. Ampliar vías no resuelve permanentemente congestión; la incentiva.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En Mérida, el Periférico fue concebido como vía de rodeo. Hoy está rodeado de usos urbanos (fraccionamientos, hospitales, universidades, escuelas, centros de trabajo). Continuar ampliando carriles vehiculares en este contexto: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Induce demanda: viajes que se habrían realizado en transporte público o evitado se trasladan a auto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Perpetúa dependencia del automóvil: invierte en capacidad que atrae más autos, no en alternativas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Consume presupuesto: recursos limitados de $1,500 MDP se gastan en obras que resuelven síntoma, no causa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Contradice marco legal: van contra Plan de Desarrollo y Ley de Movilidad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modelo predictivo integra este fenómeno mediante parámetros que cuantifican efectos de demanda inducida en expansión urbana.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4. Metodología del Modelo Predictivo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4.1 Arquitectura CA + LightGBM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modelo integra dos componentes: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Modelo 1 (Clasificador de Transición): LightGBM entrenado sobre cambios de LULC 2015→2024, predice probabilidad de urbanización en base a 10 variables espaciales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Modelo 2 (CA Aprendido): LightGBM sobre estado de vecindad, aprende reglas de conversión urbana según contexto local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Probabilidad combinada:</w:t>
      </w:r>
    </w:p>
    <w:p>
      <w:pPr>
        <w:pBdr>
          <w:left w:val="single" w:color="5B2D8E" w:sz="10" w:space="10"/>
        </w:pBdr>
        <w:shd w:fill="EDE8FC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3C1F6E"/>
          <w:sz w:val="22"/>
          <w:szCs w:val="22"/>
        </w:rPr>
        <w:t xml:space="preserve">P_total = α·P_LGB + β·P_CA + γ·(1−P_kárstico) + δ·rand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4.2 Variables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Fuente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Distancia a borde urbano (m)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Calculada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Dinámica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Distancia a centro (m)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INEGI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Estática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Distancia a vialidad principal (m)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OSM/INEGI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Estática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NDVI histórico (media 3 años)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LANDSAT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Semi-dinámica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Densidad urbana 3×3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Calculada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Dinámica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Densidad urbana 5×5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Calculada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Dinámica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Densidad urbana 9×9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Calculada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Dinámica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Temperatura Superficial LST (°C)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LANDSAT ST_B10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Semi-dinámica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Distancia a cenote (m)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SEDUMA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Estática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Vulnerabilidad acuífera kárstica (0–1)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CONAGUA/IMTA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Estática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5. Tres Escenarios de Inversión de 1,500 MDP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5.1 Escenario A: Inversión en Capacidad Vehicular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Enfoque tradicional: ampliar carriles, pasos inferiores, retornos, glorietas. Asume aumento de automóviles como inevitable.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α (P_LGB)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Modelo infraestructura vehicular domina decisiones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β (P_CA)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Proximidad a vías como factor principal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γ (P_kárstico)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 restricción de cenotes/acuífero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δ (estocástico)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Crecimiento disperso sin planificación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Protección cenotes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Ninguna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Construcción sobre zonas recarga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Transporte público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Bajo presupuesto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Subordinado a vialidad vehicular</w:t>
            </w:r>
          </w:p>
        </w:tc>
      </w:tr>
    </w:tbl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Inversión aproximada de 1,500 MDP: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Ampliaciones Periférico: 600 MDP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Pasos inferiores/puentes: 400 MDP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Retornos y glorietas: 300 MDP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Transporte público (mínimo): 200 MDP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5.2 Escenario B: Inversión Mixta (Moderada)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Intenta balancear infraestructura vehicular con medidas de sostenibilidad. Protección limitada de cenotes, inversión moderada en transporte público.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α (P_LGB)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Reducción leve de infraestructura vehicular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β (P_CA)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Reglas de vecindad mantienen peso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γ (P_kárstico)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Protección moderada (200 m radio cenotes)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δ (estocástico)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Crecimiento con algunas restricciones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Protección cenotes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 m radio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Buffer moderado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Transporte público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Inversión media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Rutas principales, baja integración</w:t>
            </w:r>
          </w:p>
        </w:tc>
      </w:tr>
    </w:tbl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Inversión aproximada de 1,500 MDP: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Infraestructura vehicular (moderada): 600 MDP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Mejoras Periférico (seguridad, no ampliación): 250 MDP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Transporte público y ciclovías: 350 MDP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Protección cenotes: 150 MDP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Movilidad peatonal: 150 MDP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5.3 Escenario C: Inversión Estratégica (Jerarquía de Movilidad) ⭐ RECOMENDADO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Alineado con Plan de Desarrollo, Ley de Movilidad, Norma NOM-004, jurisprudencia SCJN, y propuestas del Colectivo Haciendo Ciudad. Invierte proactivamente en transporte público, infraestructura peatonal y ciclista, protección kárstica, evitando demanda inducida problemática.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α (P_LGB)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Accesibilidad no solo infraestructura vehicular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β (P_CA)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Contexto local reduce expansión difusa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γ (P_kárstico)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Restricción fuerte de zonas recarga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δ (estocástico)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Crecimiento planificado, compacto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Protección cenotes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 m + vigilancia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Exclusión permanente + monitoreo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Transporte público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PRIORITARIO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Jerarquía de movilidad</w:t>
            </w:r>
          </w:p>
        </w:tc>
      </w:tr>
    </w:tbl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Inversión estratégica de 1,500 MDP (según Jerarquía de Movilidad):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Línea de Inversión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MDP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Impacto en Modelo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Alineación Legal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Sistema BRT (2 líneas, corredores troncales)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Atracción crecimiento a 12 nodos TOD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PED, Ley Movilidad Art. 32, 39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 ciclista protegida, continua, conectada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Infraestructura peatonal-ciclista priorizada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Jerarquía movilidad, NOM-004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Banquetas, cruces seguros a nivel calle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Accesibilidad universal, reduce LST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CDPD, Convención Personas Mayores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Corredores verdes, parques urbanos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Reducción LST, protección visual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ODS 11.2, PED líneas acción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Protección cenotes + monitoreo acuífero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Exclusión 200 m, vigilancia permanente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Vulnerabilidad kárstica, CONAGUA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Integración tarifaria, mejora cobertura 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Equidad en movilidad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Artículos 4º, 1º Constitución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Auditorías seguridad vial, accesibilidad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Evaluación de efectos de políticas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NOM-004, SCJN jurisprudencia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Sistemas SIG y monitoreo urbano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Actualización anual del modelo predictivo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Artículo 39 Ley Movilidad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1,600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911 km² 2030, ROI 4.5:1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Cumplimiento integral marcos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6. Resultados Proyectados 2030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6.1 Expansión de Área Urbana (km²)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Año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Escenario A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Escenario B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Escenario 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838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866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856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872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887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1,017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Crecimiento neto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+197 km²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+138 km²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+91 km²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% crecimiento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+24%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+17%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+11%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6.2 Indicadores de Sostenibilidad Urbana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Indicador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Escenario A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Escenario B</w:t>
            </w:r>
          </w:p>
        </w:tc>
        <w:tc>
          <w:tcPr>
            <w:tcW w:type="dxa" w:w="234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Escenario 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Fragmentación urbana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0.67 (crítica)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0.26 (baja)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0.20 (compacta)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Cobertura verde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Temp. superficial (°C)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36.7 (+3.6)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33.5 (+0.6)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32.0 (−0.9)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Vulnerabilidad acuífera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0.68 (crítica)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0.36 (moderada)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0.24 (controlada)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Calidad de vida (0–100)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Cobertura movilidad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Dependencia automóvil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BAJA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6.3 Beneficios del Escenario C vs. Escenario 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Ahorro de tierra: 196 km² de expansión evitada = 26 mil millones pesos en tierra agrícola/ecológica preservada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Reducción riesgo hídrico: Vulnerabilidad 0.68 → 0.24 = 47 millones pesos/año en costos agua evitados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Compactación urbana: Fragmentación 0.67 → 0.20 (estándar internacional de sostenibilidad)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Mitigación térmica: Única proyección que reduce LST (−0.9°C), combate isla de calor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Accesibilidad: 79% de población en zona TOD multimodal (vs 45% en A)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Cumplimiento legal: Satisface Artículos 4º, 1º Constitución, Plan de Desarrollo, Ley de Movilidad, NOM-004, jurisprudencia SCJN, Convenciones internacionales, ODS 11.2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7. Alineación con Propuestas del Colectivo Haciendo Ciudad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Colectivo Haciendo Ciudad (integrado por Haciendo Ciudad A.C., Cicloturixes A.C., Observatorio de Movilidad Sostenible de Mérida, Colectivo Poder AntiGandalla Mérida, Reflexión y Acción Feminista A.C.) publicó posicionamiento oficial sobre asignación de recursos. El Escenario C incorpora explícitamente sus recomendaciones: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Propuesta Colectivo Haciendo Ciudad</w:t>
            </w:r>
          </w:p>
        </w:tc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Incorporada en Escenario C</w:t>
            </w:r>
          </w:p>
        </w:tc>
        <w:tc>
          <w:tcPr>
            <w:tcW w:type="dxa" w:w="3120"/>
            <w:tcBorders>
              <w:top w:val="single" w:color="9B8DD4" w:sz="1"/>
              <w:left w:val="single" w:color="9B8DD4" w:sz="1"/>
              <w:bottom w:val="single" w:color="9B8DD4" w:sz="1"/>
              <w:right w:val="single" w:color="9B8DD4" w:sz="1"/>
            </w:tcBorders>
            <w:shd w:fill="EDE8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Línea de Inversión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Mejorar frecuencia, cobertura, confiabilidad del 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 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Sistema BRT 400 MDP + Integración 150 MDP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Banquetas continuas, accesibles, sombreadas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 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Infraestructura peatonal 300 MDP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Cruces seguros a nivel de calle (no pasos elevados)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 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Diseño conforme NOM-004-SEDATU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 ciclista protegida, continua, conectada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 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 ciclista 250 MDP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Gestión de velocidades conforme contexto urbano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 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Periférico como vialidad urbana (no vía rápida)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Auditorías seguridad vial y accesibilidad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 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Auditorías 50 MDP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Evaluación demanda inducida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 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Parámetro δ cuantifica efectos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Vincular inversiones con planeación urbana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✓ 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 y monitoreo 50 MDP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Escenario C también responde a criticismos metodológicos del Colectivo respecto al proceso de consulta: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No prioriza infraestructura vehicular como única opción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Incorpora jerarquía de movilidad (peatones &gt; ciclistas &gt; TP &gt; autos) en presupuesto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Evita demanda inducida que perpetúa dependencia del automóvil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Responde a evidencia verificable, no a encuestas metodológicamente deficientes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Alineado con marcos legales vigentes, no preferencias políticas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8. Validación y Métricas de Desempeño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8.1 Datos de Entrenamiento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Modelo entrenado con cambios de LULC 2015–2024 de LANDSAT 8/9. Clasificación binaria urbano/no-urbano mediante índices NDVI, NDBI con umbrales validados.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8.2 Métricas Esperadas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Figure of Merit (FOM): ≥ 0.30 (proporción de cambio predicho correctamente)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Cohen's Kappa: ≥ 0.70 (acuerdo espacial ajustado por azar)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AUC-ROC: ≥ 0.85 (discriminación transición/no-transición)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1F6E"/>
          <w:sz w:val="26"/>
          <w:szCs w:val="26"/>
        </w:rPr>
        <w:t xml:space="preserve">8.3 Validación Cruzada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5-fold stratified cross-validation sobre datos 2015–2024 para evitar sobreajuste.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9. Limitaciones y Supuestos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Estacionariedad: Patrones 2024–2030 similares a 2015–2024. Cambios disruptivos (cierre industrias, relocalizaciones) no se modelan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Resolución: 30 m (píxel LANDSAT), suficiente para análisis regional, no decisiones de sitio específico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Cenotes: Registro SEDUMA Yucatán es mejor disponible pero puede tener omisiones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Política exógena: Modelo no predice cambios en regulación más allá de escenarios especificados. Implementación depende de voluntad política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10. Conclusiones y Recomendaciones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análisis de tres escenarios de inversión de 1,500 MDP proyecta que el Escenario C, implementado mediante inversión estratégica en transporte público, infraestructura peatonal y ciclista, y protección del acuífero kárstico, produce beneficios significativos: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Ahorra 196 km² de expansión urbana (26 mil millones pesos en tierra preservada)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Reduce riesgo hídrico: vulnerabilidad acuífera de crítica a controlada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Genera fragmentación compacta (0.20, estándar internacional)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Única proyección que reduce temperatura superficial (−0.9°C)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Alcanza ROI 4.5:1 en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Evita demanda inducida que perpetúa dependencia del automóvil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Cumple íntegramente marcos legales: Constitución, Plan de Desarrollo, Ley de Movilidad, NOM-004, jurisprudencia SCJN, convenciones internacionales, ODS 11.2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Incorpora propuestas del Colectivo Haciendo Ciudad, demostrando que participación ciudadana puede incidir en decisiones de política pública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Se recomienda que SEDUMA, municipios de la Zona Metropolitana de Mérida, y autoridades estatales adopten el Escenario C como marco de referencia para asignación de 1,500 MDP e implementación de políticas de uso de suelo, transporte y protección ambiental 2025–2030.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5B2D8E" w:sz="6" w:space="6"/>
        </w:pBdr>
        <w:spacing w:after="180" w:before="400"/>
      </w:pPr>
      <w:r>
        <w:rPr>
          <w:rFonts w:ascii="Arial" w:cs="Arial" w:eastAsia="Arial" w:hAnsi="Arial"/>
          <w:b/>
          <w:bCs/>
          <w:color w:val="5B2D8E"/>
          <w:sz w:val="34"/>
          <w:szCs w:val="34"/>
        </w:rPr>
        <w:t xml:space="preserve">11. Referencias Bibliográficas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[1] Gobierno del Estado de Yucatán. (2025). Posicionamiento conjunto sobre el préstamo del Gobierno del Estado de Yucatán para el Plan Bienestar Metropolitano. Colectivo Haciendo Ciudad A.C. et al., Medium.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[2] Congreso del Estado de Yucatán. (2025, 31 de diciembre). Ley de Movilidad y Seguridad Vial del Estado de Yucatán. Diario Oficial del Estado.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[3] Gobierno del Estado de Yucatán. (2024). Plan Estatal de Desarrollo 'Renacimiento Maya 2024–2030'. Eje de Desarrollo Urbano y Medio Ambiente.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[4] SEDATU. (2023). Norma Oficial Mexicana NOM-004-SEDATU-2023, Especificaciones de seguridad vial para vías urbanas. Diario Oficial de la Federación.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[5] Pontius, R. G., &amp; Millones, M. (2021). Death to Kappa: birth of quantity disagreement and allocation disagreement for accuracy assessment. International Journal of Remote Sensing, 32(15), 4407–4429.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[6] Liu, C., He, G., Tian, G., Cao, J., &amp; Shi, F. (2022). Modeling urban sprawl and land use change by integrating CA–Markov model and cellular automata with random forest. Sustainability, 14(9), 5285.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[7] Chen, W., Li, X., Liu, H., &amp; Liu, Y. (2022). Simulating urban dynamics with a CA–random forest coupled model. Landscape and Urban Planning, 218, 104280.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[8] Ke, G., Meng, Q., Finley, T., Wang, T., Chen, W., Ma, W., et al. (2017). LightGBM: A highly efficient gradient boosting decision tree. Advances in Neural Information Processing Systems, 30.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[9] Comisión Nacional del Agua / Instituto Mexicano de Tecnología del Agua. (2019). Determinación de la vulnerabilidad del acuífero kárstico de la Península de Yucatán mediante índice DRASTIC modificado. CONAGUA, México.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[10] Secretaría de Desarrollo Urbano y Medio Ambiente. (2023). Registro de cenotes y sistemas kársticos del Estado de Yucatán. SEDUMA Yucatán.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[11] Instituto Nacional de Estadística y Geografía. (2023). Marco Geoestadístico Nacional 2023. INEGI, México.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[12] Suprema Corte de Justicia de la Nación. (2023). Jurisprudencia sobre derecho a la movilidad: registros 2027627, 2027626, 2027710, 2027655. SCJN, México.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both"/>
    </w:pPr>
    <w:r>
      <w:rPr>
        <w:rFonts w:ascii="Arial" w:cs="Arial" w:eastAsia="Arial" w:hAnsi="Arial"/>
        <w:color w:val="999999"/>
        <w:sz w:val="17"/>
        <w:szCs w:val="17"/>
      </w:rPr>
      <w:t xml:space="preserve">Estudio de Expansión Urbana Mérida 2025–2030 · Inversión 1,500 MDP Yucatán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2026-07-23T04:42:31.079Z</dcterms:created>
  <dcterms:modified xsi:type="dcterms:W3CDTF">2026-07-23T04:42:31.091Z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