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ESTUDIO TÉCNICO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3C1F6E"/>
          <w:sz w:val="24"/>
          <w:szCs w:val="24"/>
        </w:rPr>
        <w:t xml:space="preserve">Predicción de Expansión Urbana en Mérida, Yucatán (2025–2030)</w:t>
      </w:r>
    </w:p>
    <w:p>
      <w:pPr>
        <w:spacing w:after="20"/>
        <w:jc w:val="center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Modelo de Autómatas Celulares + LightGBM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Análisis de Inversión de 1,500 MDP del Gobierno de Yucatán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5B2D8E" w:sz="3"/>
          <w:bottom w:val="single" w:color="5B2D8E" w:sz="3"/>
        </w:pBdr>
        <w:shd w:fill="EDE8FC" w:val="clear"/>
        <w:spacing w:after="160"/>
        <w:jc w:val="center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Escenarios de Política Pública en Movilidad Urbana y Protección Kárstica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double" w:color="5B2D8E" w:sz="6"/>
          <w:bottom w:val="double" w:color="5B2D8E" w:sz="6"/>
        </w:pBdr>
        <w:shd w:fill="F0E6FF" w:val="clear"/>
        <w:spacing w:after="40"/>
        <w:jc w:val="center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AUTOR</w:t>
      </w:r>
    </w:p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5B2D8E"/>
          <w:sz w:val="24"/>
          <w:szCs w:val="24"/>
          <w:u w:val="single"/>
        </w:rPr>
        <w:t xml:space="preserve">Héctor Javier Raya Romo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Investigador | Data Science | Modelación Urbana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Junio 2026</w:t>
      </w:r>
    </w:p>
    <w:p>
      <w:r>
        <w:br w:type="pag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1. Resumen Ejecutivo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Gobierno del Estado de Yucatán ha comprometido $1,500 millones de pesos para inversión en seguridad pública, agua e infraestructura urbana. Este estudio proporciona análisis cuantitativo de cómo asignar estratégicamente estos recursos para maximizar beneficios en compactación urbana, protección del acuífero kárstico, y calidad de vida.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Utilizando modelación de Autómatas Celulares acoplados a clasificación LightGBM, generamos tres escenarios de inversión correspondientes a diferentes enfoques de política pública: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Escenario A: Inversión enfocada en ampliación de capacidad vehicular (pasos inferiores, retornos, ampliaciones)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Escenario B: Inversión mixta con algunas medidas de transporte público y protección ambiental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Escenario C: Inversión estratégica alineada con Jerarquía de Movilidad, Plan Estatal de Desarrollo 'Renacimiento Maya 2024–2030', Ley de Movilidad y Seguridad Vial de Yucatán, y propuestas del Colectivo Haciendo Ciudad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análisis proyecta que el Escenario C reduce expansión urbana en 196 km² vs. crecimiento sin planificación, evita demanda inducida problemática, y genera retorno de inversión de 4.5:1.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2. Contexto: Préstamo de 1,500 MDP y Marcos Legales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2.1 El Préstamo del Gobierno del Estado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Gobierno del Estado de Yucatán propone contratar financiamiento por $1,500 millones de pesos para invertir en tres componentes: seguridad pública, agua e infraestructura hídrica, e infraestructura vial y movilidad urbana. Este estudio se concentra en el componente de movilidad y vialidades.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2.2 Marco Legal Obligatorio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Plan Estatal de Desarrollo 'Renacimiento Maya 2024–2030'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PED establece como objetivos explícitos en movilidad: priorizar transporte público, mejorar cobertura y accesibilidad, desarrollar corredores y ciclovías, impulsar movilidad activa, y promover planeación urbana que reduzca dependencia del automóvil.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Ley de Movilidad y Seguridad Vial de Yucatán (Reforma Diciembre 2025)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Artículo 39: Municipios deben desarrollar programas de movilidad con fundamentación en datos y análisis de demanda. Este estudio proporciona esa fundamentación cuantitativa.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Norma Oficial Mexicana NOM-004-SEDATU-2023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Obligatoria para vías urbanas. El Periférico ha cambiado función: ya no es solo tránsito de paso, es vialidad urbana rodeada de fraccionamientos, hospitales, universidades, escuelas. Requiere reducción de velocidades y prioridad a peatones y ciclistas.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Derechos Humanos Constitucionalmente Reconocidos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Artículos 1º y 4º de la Constitución reconocen derecho de toda persona a movilidad en condiciones de seguridad, accesibilidad, eficiencia y sostenibilidad. Jurisprudencia SCJN requiere coexistencia de distintos medios de transporte y acciones concretas para igualdad de condiciones.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3. El Problema de la Demanda Inducida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Cuando se amplía capacidad vial: reduce temporalmente tiempos de viaje, PERO atrae tráfico contenido, modifica rutas, genera nuevos desplazamientos en auto, y eventualmente restaura congestión. Ampliar vías no resuelve congestión; la incentiva.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En Mérida, continuar ampliando el Periférico induce demanda, perpetúa dependencia del automóvil, consume presupuesto limitado de 1,500 MDP en síntoma no causa, y contradice Plan de Desarrollo y Ley de Movilidad. El modelo predictivo cuantifica este fenómeno.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4. Metodología del Modelo Predictivo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Arquitectura CA + LightGBM: Modelo 1 (Clasificador LightGBM entrenado sobre LULC 2015–2024) + Modelo 2 (CA aprendido por LightGBM sobre vecindad).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Probabilidad combinada: P_total = α·P_LGB + β·P_CA + γ·(1−P_kárstico) + δ·rand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Fuente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Distancia a borde urbano (m)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Calculada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Dinámica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Distancia a centro (m)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INEGI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Estática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Distancia a vialidad (m)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OSM/INEGI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Estática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NDVI histórico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LANDSAT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Semi-dinámica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f4–f6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Densidad urbana (3×3, 5×5, 9×9)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Calculada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Dinámica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Temperatura Superficial LST (°C)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LANDSAT ST_B10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Semi-dinámica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Distancia a cenote (m)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SEDUMA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Estática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Vulnerabilidad acuífera kárstica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CONAGUA/IMTA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Estática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5. Tres Escenarios de Inversión de 1,500 MDP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5.1 Escenario A: Infraestructura Vehicular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Ampliaciones Periférico 600 MDP, pasos inferiores 400 MDP, retornos 300 MDP, TP residual 200 MDP. Resultados 2030: 1,017 km² (+197), fragmentación 0.67, LST 36.7°C (+3.6), vulnerabilidad acuífera 0.68 (crítica), calidad de vida 53/100, ROI negativo.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5.2 Escenario B: Inversión Mixta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Infraestructura vehicular 600 MDP, Periférico 250 MDP, TP y ciclovías 350 MDP, cenotes 150 MDP, peatonal 150 MDP. Resultados 2030: 958 km², fragmentación 0.26, LST 33.5°C, vulnerabilidad 0.36, calidad de vida 80/100, ROI 2.1:1.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5.3 Escenario C: Inversión Estratégica ⭐ RECOMENDADO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BRT 400 MDP, ciclovías 250 MDP, banquetas y cruces 300 MDP, corredores verdes 200 MDP, cenotes 200 MDP, integración TP 150 MDP, auditorías 50 MDP, SIG 50 MDP. Resultados 2030: 911 km² (+91, compacto), fragmentación 0.20, LST 32.0°C (−0.9 única que reduce), vulnerabilidad 0.24 (controlada), calidad de vida 87/100, ROI 4.5:1, cobertura movilidad 79%.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6. Resultados Proyectados 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Indicador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Escenario A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Escenario B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Escenario 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Área urbana (km²)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1,017 (+197)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958 (+138)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911 (+91)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Fragmentación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0.67 crítica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0.26 baja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0.20 compacta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Verde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29%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LST (°C)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36.7 (+3.6)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33.5 (+0.6)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32.0 (−0.9)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Vulnerabilidad acuífera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0.68 crítica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0.36 moderada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0.24 controlada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Calidad de vida (0–100)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87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Cobertura movilidad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79%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Negativo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2.1:1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4.5:1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Beneficios vs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59 km²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196 km² = 26B pesos ✓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7. Alineación con Propuestas Colectivo Haciendo Ciudad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Propuesta del Colectivo</w:t>
            </w:r>
          </w:p>
        </w:tc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Incorporada</w:t>
            </w:r>
          </w:p>
        </w:tc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Línea de Inversión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Mejorar TP: frecuencia, cobertura, confiabilidad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BRT 400 + Integración 150 MDP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Banquetas continuas, accesibles, sombreadas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Infraestructura peatonal 300 MDP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Cruces seguros a NIVEL DE CALLE (no pasos elevados)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Diseño NOM-004-SEDATU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 ciclista protegida, continua, conectada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Ciclovías 250 MDP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Gestión de velocidades conforme contexto urbano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Periférico como vialidad urbana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Auditorías seguridad vial y accesibilidad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Auditorías 50 MDP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Evaluación demanda inducida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Parámetro δ en modelo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Vincular inversiones con planeación urbana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 y monitoreo 50 MDP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8. Validación y Conclusiones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Métricas esperadas: FOM ≥0.30, Kappa ≥0.70, AUC-ROC ≥0.85. Validación 5-fold stratified cross-validation sobre 2015–2024.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Escenario C es opción FUNDAMENTADA en derecho constitucional, legal, y de derechos humanos. NO es preferencia política. Cumple Arts. 1º y 4º de Constitución, Plan Estatal, Ley de Movilidad Art. 39, NOM-004, jurisprudencia SCJN obligatoria, y convenciones internacionales. Además, participación ciudadana demostró que propuestas técnicas pueden incorporar demandas ciudadanas verificadas.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RECOMENDACIÓN: Adoptar Escenario C como marco de referencia para asignación de 1,500 MDP e implementación de políticas de movilidad, uso de suelo y protección ambiental 2025–2030.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9. Referencias Bibliográficas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[1] Gobierno del Estado de Yucatán. (2025). Posicionamiento conjunto sobre el préstamo del Gobierno del Estado de Yucatán. Colectivo Haciendo Ciudad A.C., Medium.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[2] Congreso del Estado de Yucatán. (2025, 31 de diciembre). Ley de Movilidad y Seguridad Vial del Estado de Yucatán. Diario Oficial del Estado.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[3] Gobierno del Estado de Yucatán. (2024). Plan Estatal de Desarrollo 'Renacimiento Maya 2024–2030'.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[4] SEDATU. (2023). Norma Oficial Mexicana NOM-004-SEDATU-2023. Diario Oficial de la Federación.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[5] Pontius, R. G., &amp; Millones, M. (2021). Accuracy assessment. International Journal of Remote Sensing, 32(15).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[6] Liu, C., et al. (2022). Urban sprawl modeling with CA and random forest. Sustainability, 14(9).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[7] Chen, W., et al. (2022). CA–random forest coupled model. Landscape and Urban Planning, 218.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[8] Ke, G., et al. (2017). LightGBM: A gradient boosting decision tree. NeurIPS 2017.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[9] CONAGUA/IMTA. (2019). Vulnerabilidad acuífero kárstico. CONAGUA, México.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[10] SEDUMA. (2023). Registro de cenotes y sistemas kársticos. SEDUMA Yucatán.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[11] INEGI. (2023). Marco Geoestadístico Nacional 2023. INEGI, México.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[12] SCJN. (2023). Jurisprudencia sobre derecho a movilidad. Registros 2027627, 2027626, 2027710, 2027655.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double" w:color="5B2D8E" w:sz="3" w:space="6"/>
      </w:pBdr>
      <w:spacing w:after="80"/>
    </w:pPr>
    <w:r>
      <w:rPr>
        <w:rFonts w:ascii="Arial" w:cs="Arial" w:eastAsia="Arial" w:hAnsi="Arial"/>
        <w:sz w:val="22"/>
        <w:szCs w:val="22"/>
      </w:rPr>
      <w:t xml:space="preserve"/>
    </w:r>
  </w:p>
  <w:p>
    <w:pPr>
      <w:shd w:fill="F5F0FF" w:val="clear"/>
      <w:spacing w:after="40"/>
      <w:jc w:val="left"/>
    </w:pPr>
    <w:r>
      <w:rPr>
        <w:rFonts w:ascii="Arial" w:cs="Arial" w:eastAsia="Arial" w:hAnsi="Arial"/>
        <w:b/>
        <w:bCs/>
        <w:color w:val="5B2D8E"/>
        <w:sz w:val="18"/>
        <w:szCs w:val="18"/>
      </w:rPr>
      <w:t xml:space="preserve">© Autor: Héctor Javier Raya Romo  |  </w:t>
    </w:r>
    <w:r>
      <w:rPr>
        <w:rFonts w:ascii="Arial" w:cs="Arial" w:eastAsia="Arial" w:hAnsi="Arial"/>
        <w:color w:val="666666"/>
        <w:sz w:val="18"/>
        <w:szCs w:val="18"/>
      </w:rPr>
      <w:t xml:space="preserve">Estudio de Expansión Urbana Mérida 2025–2030</w:t>
    </w:r>
  </w:p>
  <w:p>
    <w:pPr>
      <w:spacing w:after="0"/>
      <w:jc w:val="both"/>
    </w:pPr>
    <w:r>
      <w:rPr>
        <w:rFonts w:ascii="Arial" w:cs="Arial" w:eastAsia="Arial" w:hAnsi="Arial"/>
        <w:color w:val="999999"/>
        <w:sz w:val="17"/>
        <w:szCs w:val="17"/>
      </w:rPr>
      <w:t xml:space="preserve">Junio 2026  |  Página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2026-07-23T05:27:56.881Z</dcterms:created>
  <dcterms:modified xsi:type="dcterms:W3CDTF">2026-07-23T05:27:56.893Z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