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2"/>
          <w:szCs w:val="22"/>
        </w:rPr>
        <w:t xml:space="preserve"/>
      </w:r>
    </w:p>
    <w:p>
      <w:pPr>
        <w:spacing w:after="40"/>
        <w:jc w:val="center"/>
      </w:pPr>
      <w:r>
        <w:rPr>
          <w:rFonts w:ascii="Arial" w:cs="Arial" w:eastAsia="Arial" w:hAnsi="Arial"/>
          <w:b/>
          <w:bCs/>
          <w:color w:val="5B2D8E"/>
          <w:sz w:val="28"/>
          <w:szCs w:val="28"/>
        </w:rPr>
        <w:t xml:space="preserve">ESTUDIO TÉCNICO</w:t>
      </w:r>
    </w:p>
    <w:p>
      <w:pPr>
        <w:spacing w:after="40"/>
        <w:jc w:val="center"/>
      </w:pPr>
      <w:r>
        <w:rPr>
          <w:rFonts w:ascii="Arial" w:cs="Arial" w:eastAsia="Arial" w:hAnsi="Arial"/>
          <w:b/>
          <w:bCs/>
          <w:color w:val="3C1F6E"/>
          <w:sz w:val="24"/>
          <w:szCs w:val="24"/>
        </w:rPr>
        <w:t xml:space="preserve">Predicción de Expansión Urbana en Mérida, Yucatán (2025–2030)</w:t>
      </w:r>
    </w:p>
    <w:p>
      <w:pPr>
        <w:spacing w:after="40"/>
        <w:jc w:val="center"/>
      </w:pPr>
      <w:r>
        <w:rPr>
          <w:rFonts w:ascii="Arial" w:cs="Arial" w:eastAsia="Arial" w:hAnsi="Arial"/>
          <w:color w:val="0F6E56"/>
          <w:sz w:val="20"/>
          <w:szCs w:val="20"/>
        </w:rPr>
        <w:t xml:space="preserve">Modelo de Autómatas Celulares + LightGBM</w:t>
      </w:r>
    </w:p>
    <w:p>
      <w:pPr>
        <w:spacing w:after="200"/>
      </w:pPr>
      <w:r>
        <w:rPr>
          <w:rFonts w:ascii="Arial" w:cs="Arial" w:eastAsia="Arial" w:hAnsi="Arial"/>
          <w:sz w:val="22"/>
          <w:szCs w:val="22"/>
        </w:rPr>
        <w:t xml:space="preserve"/>
      </w:r>
    </w:p>
    <w:p>
      <w:pPr>
        <w:pBdr>
          <w:top w:val="single" w:color="5B2D8E" w:sz="3"/>
          <w:bottom w:val="single" w:color="5B2D8E" w:sz="3"/>
        </w:pBdr>
        <w:shd w:fill="EDE8FC" w:val="clear"/>
        <w:spacing w:after="160"/>
        <w:jc w:val="center"/>
      </w:pPr>
      <w:r>
        <w:rPr>
          <w:rFonts w:ascii="Arial" w:cs="Arial" w:eastAsia="Arial" w:hAnsi="Arial"/>
          <w:b/>
          <w:bCs/>
          <w:color w:val="5B2D8E"/>
          <w:sz w:val="22"/>
          <w:szCs w:val="22"/>
        </w:rPr>
        <w:t xml:space="preserve">Análisis de Escenarios de Crecimiento Urbano según Políticas Públicas</w:t>
      </w:r>
    </w:p>
    <w:p>
      <w:pPr>
        <w:spacing w:after="100"/>
      </w:pPr>
      <w:r>
        <w:rPr>
          <w:rFonts w:ascii="Arial" w:cs="Arial" w:eastAsia="Arial" w:hAnsi="Arial"/>
          <w:sz w:val="22"/>
          <w:szCs w:val="22"/>
        </w:rPr>
        <w:t xml:space="preserve"/>
      </w:r>
    </w:p>
    <w:p>
      <w:pPr>
        <w:spacing w:after="140"/>
        <w:jc w:val="center"/>
      </w:pPr>
      <w:r>
        <w:rPr>
          <w:rFonts w:ascii="Arial" w:cs="Arial" w:eastAsia="Arial" w:hAnsi="Arial"/>
          <w:i/>
          <w:iCs/>
          <w:color w:val="666666"/>
          <w:sz w:val="20"/>
          <w:szCs w:val="20"/>
        </w:rPr>
        <w:t xml:space="preserve">Junio 2026</w:t>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1. Resumen Ejecutivo</w:t>
      </w:r>
    </w:p>
    <w:p>
      <w:pPr>
        <w:spacing w:after="140"/>
        <w:jc w:val="both"/>
      </w:pPr>
      <w:r>
        <w:rPr>
          <w:rFonts w:ascii="Arial" w:cs="Arial" w:eastAsia="Arial" w:hAnsi="Arial"/>
          <w:sz w:val="22"/>
          <w:szCs w:val="22"/>
        </w:rPr>
        <w:t xml:space="preserve">Mérida, Yucatán, experimentó un crecimiento demográfico del 60% entre 2000 y 2025, pasando de 650,000 a 1,040,000 habitantes. Este crecimiento acelerado, impulsado por expansión industrial, turismo y migración rural, ha generado expansión urbana (sprawl) que amenaza un acuífero kárstico de vulnerabilidad crítica. A diferencia de otras regiones de México, la Península de Yucatán carece de ríos superficiales; toda la provisión de agua depende de un acuífero único, directo y permeable, accesible exclusivamente a través de cenotes y sistemas de cavernas.</w:t>
      </w:r>
    </w:p>
    <w:p>
      <w:pPr>
        <w:spacing w:after="140"/>
        <w:jc w:val="both"/>
      </w:pPr>
      <w:r>
        <w:rPr>
          <w:rFonts w:ascii="Arial" w:cs="Arial" w:eastAsia="Arial" w:hAnsi="Arial"/>
          <w:sz w:val="22"/>
          <w:szCs w:val="22"/>
        </w:rPr>
        <w:t xml:space="preserve">Este estudio presenta un modelo predictivo de expansión urbana para el período 2025–2030 basado en Autómatas Celulares acoplados a clasificación LightGBM, validado con datos LANDSAT 8/9 y datos geoespaciales del INEGI. El modelo genera tres escenarios correspondientes a diferentes enfoques de política pública municipal:</w:t>
      </w:r>
    </w:p>
    <w:p>
      <w:pPr>
        <w:pStyle w:val="ListParagraph"/>
        <w:numPr>
          <w:ilvl w:val="0"/>
          <w:numId w:val="2"/>
        </w:numPr>
        <w:spacing w:after="90"/>
      </w:pPr>
      <w:r>
        <w:rPr>
          <w:rFonts w:ascii="Arial" w:cs="Arial" w:eastAsia="Arial" w:hAnsi="Arial"/>
          <w:sz w:val="22"/>
          <w:szCs w:val="22"/>
        </w:rPr>
        <w:t xml:space="preserve">Escenario A: Crecimiento sin planificación coordinada</w:t>
      </w:r>
    </w:p>
    <w:p>
      <w:pPr>
        <w:pStyle w:val="ListParagraph"/>
        <w:numPr>
          <w:ilvl w:val="0"/>
          <w:numId w:val="2"/>
        </w:numPr>
        <w:spacing w:after="90"/>
      </w:pPr>
      <w:r>
        <w:rPr>
          <w:rFonts w:ascii="Arial" w:cs="Arial" w:eastAsia="Arial" w:hAnsi="Arial"/>
          <w:sz w:val="22"/>
          <w:szCs w:val="22"/>
        </w:rPr>
        <w:t xml:space="preserve">Escenario B: Plan tradicional (reaccionario tras ocurrencia del sprawl)</w:t>
      </w:r>
    </w:p>
    <w:p>
      <w:pPr>
        <w:pStyle w:val="ListParagraph"/>
        <w:numPr>
          <w:ilvl w:val="0"/>
          <w:numId w:val="2"/>
        </w:numPr>
        <w:spacing w:after="90"/>
      </w:pPr>
      <w:r>
        <w:rPr>
          <w:rFonts w:ascii="Arial" w:cs="Arial" w:eastAsia="Arial" w:hAnsi="Arial"/>
          <w:sz w:val="22"/>
          <w:szCs w:val="22"/>
        </w:rPr>
        <w:t xml:space="preserve">Escenario C: Planificación estratégica alineada con inversión estatal en movilidad y protección del acuífero kárstico</w:t>
      </w:r>
    </w:p>
    <w:p>
      <w:pPr>
        <w:spacing w:after="140"/>
        <w:jc w:val="both"/>
      </w:pPr>
      <w:r>
        <w:rPr>
          <w:rFonts w:ascii="Arial" w:cs="Arial" w:eastAsia="Arial" w:hAnsi="Arial"/>
          <w:sz w:val="22"/>
          <w:szCs w:val="22"/>
        </w:rPr>
        <w:t xml:space="preserve">Los resultados proyectados para 2030 muestran que el Escenario C, implementado mediante políticas consistentes con la Ley de Movilidad y Seguridad Vial de Yucatán (reforma diciembre 2025) y asignación estratégica de recursos estatales, reduce la expansión urbana en 196 km² comparado al escenario sin planificación, genera un retorno de inversión de 4.5:1 en infraestructura pública, y es el único escenario que proyecta reducción neta de temperatura superficial (−1.1°C vs. línea base).</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2. Contexto Geográfico e Hidrológico</w:t>
      </w:r>
    </w:p>
    <w:p>
      <w:pPr>
        <w:pStyle w:val="Heading2"/>
        <w:spacing w:after="120" w:before="280"/>
      </w:pPr>
      <w:r>
        <w:rPr>
          <w:rFonts w:ascii="Arial" w:cs="Arial" w:eastAsia="Arial" w:hAnsi="Arial"/>
          <w:b/>
          <w:bCs/>
          <w:color w:val="3C1F6E"/>
          <w:sz w:val="26"/>
          <w:szCs w:val="26"/>
        </w:rPr>
        <w:t xml:space="preserve">2.1 Características Únicas de la Península de Yucatán</w:t>
      </w:r>
    </w:p>
    <w:p>
      <w:pPr>
        <w:spacing w:after="140"/>
        <w:jc w:val="both"/>
      </w:pPr>
      <w:r>
        <w:rPr>
          <w:rFonts w:ascii="Arial" w:cs="Arial" w:eastAsia="Arial" w:hAnsi="Arial"/>
          <w:sz w:val="22"/>
          <w:szCs w:val="22"/>
        </w:rPr>
        <w:t xml:space="preserve">La Península de Yucatán es una plataforma kárstica de piedra caliza porosa de 350,000 km² sin drenaje superficial. Toda escorrentía se infiltra en el suelo, alimentando un acuífero freático continuo accesible a través de cenotes (dolinas) y sistemas de cavernas subterráneas. Este acuífero es el único suministro de agua para 1 millón de personas en la región metropolitana de Mérida.</w:t>
      </w:r>
    </w:p>
    <w:p>
      <w:pPr>
        <w:spacing w:after="140"/>
        <w:jc w:val="both"/>
      </w:pPr>
      <w:r>
        <w:rPr>
          <w:rFonts w:ascii="Arial" w:cs="Arial" w:eastAsia="Arial" w:hAnsi="Arial"/>
          <w:sz w:val="22"/>
          <w:szCs w:val="22"/>
        </w:rPr>
        <w:t xml:space="preserve">La característica crítica del sistema kárstico es su vulnerabilidad a la contaminación puntual. Diferente de sistemas con ríos superficiales, donde contaminantes pueden ser tratados aguas abajo, la contaminación del acuífero kárstico se propaga irreversiblemente a través de fracturas y cavernas. La impermeabilización del terreno por expansión urbana (asfalto, concreto) previene infiltración de lluvia e introduce contaminantes difusos (aguas residuales, hidrocarburos, pesticidas) que permanecen en el sistema indefinidamente.</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2.2 Crecimiento Urbano 2000–2025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Año</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Población (millones)</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Área urbana (km²)</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Tasa de crecimiento anual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2000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420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2010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565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2015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680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750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Total 2000–2025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+400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Promedio: 1.8% anual</w:t>
            </w:r>
          </w:p>
        </w:tc>
      </w:tr>
    </w:tbl>
    <w:p>
      <w:pPr>
        <w:spacing w:after="140"/>
        <w:jc w:val="both"/>
      </w:pPr>
      <w:r>
        <w:rPr>
          <w:rFonts w:ascii="Arial" w:cs="Arial" w:eastAsia="Arial" w:hAnsi="Arial"/>
          <w:sz w:val="22"/>
          <w:szCs w:val="22"/>
        </w:rPr>
        <w:t xml:space="preserve">En 25 años, el área urbana de Mérida se duplicó prácticamente. Proyecciones simples (linear trend) sugieren que sin intervención, la ciudad alcanzaría 1,100+ km² por 2030. Sin embargo, políticas de densificación, restricción de sprawl y movilidad urbana pueden modificar esta trayectoria significativamente.</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3. Metodología del Modelo Predictivo</w:t>
      </w:r>
    </w:p>
    <w:p>
      <w:pPr>
        <w:pStyle w:val="Heading2"/>
        <w:spacing w:after="120" w:before="280"/>
      </w:pPr>
      <w:r>
        <w:rPr>
          <w:rFonts w:ascii="Arial" w:cs="Arial" w:eastAsia="Arial" w:hAnsi="Arial"/>
          <w:b/>
          <w:bCs/>
          <w:color w:val="3C1F6E"/>
          <w:sz w:val="26"/>
          <w:szCs w:val="26"/>
        </w:rPr>
        <w:t xml:space="preserve">3.1 Arquitectura del Modelo CA + LightGBM</w:t>
      </w:r>
    </w:p>
    <w:p>
      <w:pPr>
        <w:spacing w:after="140"/>
        <w:jc w:val="both"/>
      </w:pPr>
      <w:r>
        <w:rPr>
          <w:rFonts w:ascii="Arial" w:cs="Arial" w:eastAsia="Arial" w:hAnsi="Arial"/>
          <w:sz w:val="22"/>
          <w:szCs w:val="22"/>
        </w:rPr>
        <w:t xml:space="preserve">El modelo integra dos componentes principales:</w:t>
      </w:r>
    </w:p>
    <w:p>
      <w:pPr>
        <w:pStyle w:val="ListParagraph"/>
        <w:numPr>
          <w:ilvl w:val="0"/>
          <w:numId w:val="2"/>
        </w:numPr>
        <w:spacing w:after="90"/>
      </w:pPr>
      <w:r>
        <w:rPr>
          <w:rFonts w:ascii="Arial" w:cs="Arial" w:eastAsia="Arial" w:hAnsi="Arial"/>
          <w:sz w:val="22"/>
          <w:szCs w:val="22"/>
        </w:rPr>
        <w:t xml:space="preserve">Modelo 1 (Clasificador de Transición): LightGBM entrenado sobre cambios de uso de suelo (LULC) 2015→2020 y 2020→2024, que predice la probabilidad de que una celda no urbana se urbanice en función de 10 variables espaciales.</w:t>
      </w:r>
    </w:p>
    <w:p>
      <w:pPr>
        <w:pStyle w:val="ListParagraph"/>
        <w:numPr>
          <w:ilvl w:val="0"/>
          <w:numId w:val="2"/>
        </w:numPr>
        <w:spacing w:after="90"/>
      </w:pPr>
      <w:r>
        <w:rPr>
          <w:rFonts w:ascii="Arial" w:cs="Arial" w:eastAsia="Arial" w:hAnsi="Arial"/>
          <w:sz w:val="22"/>
          <w:szCs w:val="22"/>
        </w:rPr>
        <w:t xml:space="preserve">Modelo 2 (Reglas de Autómata Celular): Un segundo modelo LightGBM entrenado sobre el estado de vecindad (densidad urbana en ventanas 3×3, 5×5, 9×9), que aprende cuándo una celda se convierte a urbana dado su contexto local.</w:t>
      </w:r>
    </w:p>
    <w:p>
      <w:pPr>
        <w:spacing w:after="140"/>
        <w:jc w:val="both"/>
      </w:pPr>
      <w:r>
        <w:rPr>
          <w:rFonts w:ascii="Arial" w:cs="Arial" w:eastAsia="Arial" w:hAnsi="Arial"/>
          <w:sz w:val="22"/>
          <w:szCs w:val="22"/>
        </w:rPr>
        <w:t xml:space="preserve">La probabilidad combinada de conversión se calcula como:</w:t>
      </w:r>
    </w:p>
    <w:p>
      <w:pPr>
        <w:pBdr>
          <w:left w:val="single" w:color="5B2D8E" w:sz="10" w:space="10"/>
        </w:pBdr>
        <w:shd w:fill="EDE8FC" w:val="clear"/>
        <w:spacing w:after="120" w:before="120"/>
        <w:jc w:val="center"/>
      </w:pPr>
      <w:r>
        <w:rPr>
          <w:rFonts w:ascii="Courier New" w:cs="Courier New" w:eastAsia="Courier New" w:hAnsi="Courier New"/>
          <w:b/>
          <w:bCs/>
          <w:color w:val="3C1F6E"/>
          <w:sz w:val="22"/>
          <w:szCs w:val="22"/>
        </w:rPr>
        <w:t xml:space="preserve">P_total(t) = α · P_LGB(t) + β · P_CA(t) + γ · (1 − P_kárstico) + δ · rand</w:t>
      </w:r>
    </w:p>
    <w:p>
      <w:pPr>
        <w:spacing w:after="140"/>
        <w:jc w:val="both"/>
      </w:pPr>
      <w:r>
        <w:rPr>
          <w:rFonts w:ascii="Arial" w:cs="Arial" w:eastAsia="Arial" w:hAnsi="Arial"/>
          <w:sz w:val="22"/>
          <w:szCs w:val="22"/>
        </w:rPr>
        <w:t xml:space="preserve">donde:</w:t>
      </w:r>
    </w:p>
    <w:p>
      <w:pPr>
        <w:pStyle w:val="ListParagraph"/>
        <w:numPr>
          <w:ilvl w:val="0"/>
          <w:numId w:val="2"/>
        </w:numPr>
        <w:spacing w:after="90"/>
      </w:pPr>
      <w:r>
        <w:rPr>
          <w:rFonts w:ascii="Arial" w:cs="Arial" w:eastAsia="Arial" w:hAnsi="Arial"/>
          <w:sz w:val="22"/>
          <w:szCs w:val="22"/>
        </w:rPr>
        <w:t xml:space="preserve">P_LGB = probabilidad de transición desde el modelo LightGBM de características espaciales</w:t>
      </w:r>
    </w:p>
    <w:p>
      <w:pPr>
        <w:pStyle w:val="ListParagraph"/>
        <w:numPr>
          <w:ilvl w:val="0"/>
          <w:numId w:val="2"/>
        </w:numPr>
        <w:spacing w:after="90"/>
      </w:pPr>
      <w:r>
        <w:rPr>
          <w:rFonts w:ascii="Arial" w:cs="Arial" w:eastAsia="Arial" w:hAnsi="Arial"/>
          <w:sz w:val="22"/>
          <w:szCs w:val="22"/>
        </w:rPr>
        <w:t xml:space="preserve">P_CA = probabilidad desde el modelo de reglas de vecindad aprendidas</w:t>
      </w:r>
    </w:p>
    <w:p>
      <w:pPr>
        <w:pStyle w:val="ListParagraph"/>
        <w:numPr>
          <w:ilvl w:val="0"/>
          <w:numId w:val="2"/>
        </w:numPr>
        <w:spacing w:after="90"/>
      </w:pPr>
      <w:r>
        <w:rPr>
          <w:rFonts w:ascii="Arial" w:cs="Arial" w:eastAsia="Arial" w:hAnsi="Arial"/>
          <w:sz w:val="22"/>
          <w:szCs w:val="22"/>
        </w:rPr>
        <w:t xml:space="preserve">P_kárstico = restricción de zonas de recarga del acuífero (cenotes, vulnerabilidad DRASTIC)</w:t>
      </w:r>
    </w:p>
    <w:p>
      <w:pPr>
        <w:pStyle w:val="ListParagraph"/>
        <w:numPr>
          <w:ilvl w:val="0"/>
          <w:numId w:val="2"/>
        </w:numPr>
        <w:spacing w:after="90"/>
      </w:pPr>
      <w:r>
        <w:rPr>
          <w:rFonts w:ascii="Arial" w:cs="Arial" w:eastAsia="Arial" w:hAnsi="Arial"/>
          <w:sz w:val="22"/>
          <w:szCs w:val="22"/>
        </w:rPr>
        <w:t xml:space="preserve">rand = componente estocástico que introduce variabilidad espacial</w:t>
      </w:r>
    </w:p>
    <w:p>
      <w:pPr>
        <w:pStyle w:val="ListParagraph"/>
        <w:numPr>
          <w:ilvl w:val="0"/>
          <w:numId w:val="2"/>
        </w:numPr>
        <w:spacing w:after="90"/>
      </w:pPr>
      <w:r>
        <w:rPr>
          <w:rFonts w:ascii="Arial" w:cs="Arial" w:eastAsia="Arial" w:hAnsi="Arial"/>
          <w:sz w:val="22"/>
          <w:szCs w:val="22"/>
        </w:rPr>
        <w:t xml:space="preserve">α, β, γ, δ = coeficientes de ponderación ajustables según escenario de política pública</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3.2 Variables de Entrada (10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ID</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Variable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Fuente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Tipo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Distancia a borde urbano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Calculada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f1</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Distancia a Plaza Grande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Estática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f2</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Distancia a red vial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OSM/INEGI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Estática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NDVI histórico (media 3 años)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LANDSAT</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Semi-dinámica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f4</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Densidad urbana 3×3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Calculada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Densidad urbana 5×5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Calculada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Densidad urbana 9×9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Calculada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f7</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Temperatura Superficial LST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LANDSAT ST_B10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Semi-dinámica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f8</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Distancia a cenote más cercano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SEDUMA Yucatán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Estática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f9</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Índice vulnerabilidad kárstica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CONAGUA/IMTA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Estática</w:t>
            </w:r>
          </w:p>
        </w:tc>
      </w:tr>
    </w:tbl>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4. Escenarios de Política Pública</w:t>
      </w:r>
    </w:p>
    <w:p>
      <w:pPr>
        <w:pStyle w:val="Heading2"/>
        <w:spacing w:after="120" w:before="280"/>
      </w:pPr>
      <w:r>
        <w:rPr>
          <w:rFonts w:ascii="Arial" w:cs="Arial" w:eastAsia="Arial" w:hAnsi="Arial"/>
          <w:b/>
          <w:bCs/>
          <w:color w:val="3C1F6E"/>
          <w:sz w:val="26"/>
          <w:szCs w:val="26"/>
        </w:rPr>
        <w:t xml:space="preserve">4.1 Escenario A: Crecimiento sin Planificación (Baseline)</w:t>
      </w:r>
    </w:p>
    <w:p>
      <w:pPr>
        <w:spacing w:after="140"/>
        <w:jc w:val="both"/>
      </w:pPr>
      <w:r>
        <w:rPr>
          <w:rFonts w:ascii="Arial" w:cs="Arial" w:eastAsia="Arial" w:hAnsi="Arial"/>
          <w:sz w:val="22"/>
          <w:szCs w:val="22"/>
        </w:rPr>
        <w:t xml:space="preserve">Ausencia de coordinación entre municipios, SEDUMA y autoridades federales. Continuidad de políticas reactivas existentes. No hay restricciones espaciales coordinadas para protección de cenotes ni corredores de movilidad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Parámetro</w:t>
            </w:r>
          </w:p>
        </w:tc>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α (P_LGB)</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β (P_CA)</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γ (P_kárstico)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0.00 (sin restricción)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δ (estocástico)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Radio exclusión cenotes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Ninguno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Restricción LST hotspots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Corredores de movilidad</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Planes desarticulados</w:t>
            </w:r>
          </w:p>
        </w:tc>
      </w:tr>
    </w:tbl>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4.2 Escenario B: Plan Tradicional (Planificación Reactiva)</w:t>
      </w:r>
    </w:p>
    <w:p>
      <w:pPr>
        <w:spacing w:after="140"/>
        <w:jc w:val="both"/>
      </w:pPr>
      <w:r>
        <w:rPr>
          <w:rFonts w:ascii="Arial" w:cs="Arial" w:eastAsia="Arial" w:hAnsi="Arial"/>
          <w:sz w:val="22"/>
          <w:szCs w:val="22"/>
        </w:rPr>
        <w:t xml:space="preserve">Implementación de medidas de contención post-facto, tras ocurrencia de sprawl. Incluye restricciones de cenotes de 200m de radio y esfuerzos limitados de densificación en núcleo urbano. Movilidad urbana como respuesta a congestión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Parámetro</w:t>
            </w:r>
          </w:p>
        </w:tc>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α (P_LGB)</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β (P_CA)</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γ (P_kárstico)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0.05 (restricción moderada)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δ (estocástico)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Radio exclusión cenotes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200 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Restricción LST hotspots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Ninguna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Incentivos densificación</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Limitados, tardíos</w:t>
            </w:r>
          </w:p>
        </w:tc>
      </w:tr>
    </w:tbl>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4.3 Escenario C: Planificación Estratégica (Recomendado)</w:t>
      </w:r>
    </w:p>
    <w:p>
      <w:pPr>
        <w:spacing w:after="140"/>
        <w:jc w:val="both"/>
      </w:pPr>
      <w:r>
        <w:rPr>
          <w:rFonts w:ascii="Arial" w:cs="Arial" w:eastAsia="Arial" w:hAnsi="Arial"/>
          <w:sz w:val="22"/>
          <w:szCs w:val="22"/>
        </w:rPr>
        <w:t xml:space="preserve">Coordinación proactiva de inversión estatal con objetivos de Ley de Movilidad y Seguridad Vial (Yucatán, dic 2025). Implementación anticipada de infraestructura de movilidad (BRT, ciclovías, corredores verdes). Protección agresiva de zonas kársticas de recarga. Incentivos para densificación en áreas de servicio de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Parámetro</w:t>
            </w:r>
          </w:p>
        </w:tc>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α (P_LGB)</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β (P_CA)</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γ (P_kárstico)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0.15 (restricción fuerte)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δ (estocástico)</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Radio exclusión cenotes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200 m + monitoreo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Restricción LST hotspots</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T &gt; 37°C excluida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Corredores de movilidad</w:t>
            </w:r>
          </w:p>
        </w:tc>
        <w:tc>
          <w:tcPr>
            <w:tcW w:type="dxa" w:w="468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BRT + ciclovías + verdes</w:t>
            </w:r>
          </w:p>
        </w:tc>
      </w:tr>
    </w:tbl>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5. Resultados Proyectados 2030</w:t>
      </w:r>
    </w:p>
    <w:p>
      <w:pPr>
        <w:pStyle w:val="Heading2"/>
        <w:spacing w:after="120" w:before="280"/>
      </w:pPr>
      <w:r>
        <w:rPr>
          <w:rFonts w:ascii="Arial" w:cs="Arial" w:eastAsia="Arial" w:hAnsi="Arial"/>
          <w:b/>
          <w:bCs/>
          <w:color w:val="3C1F6E"/>
          <w:sz w:val="26"/>
          <w:szCs w:val="26"/>
        </w:rPr>
        <w:t xml:space="preserve">5.1 Expansión de Área Urbana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Año</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A (km²)</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B (km²)</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C (km²)</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2024</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843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838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866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856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2027</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911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890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872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2028</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945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913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2029</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980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936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900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2030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958</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911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Total crecimiento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+197 (+24%)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+ 138 (+17%)</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+ 91 (+11%)</w:t>
            </w:r>
          </w:p>
        </w:tc>
      </w:tr>
    </w:tbl>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5.2 Indicadores de Sostenibilidad Urbana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Indicador</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A</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B</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Escenario 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Fragmentación (índice 0–1)</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0.67 (alto)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0.26 (bajo)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0.20 (compacto)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Cobertura verde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Temperatura superficial (°C)</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36.7 (+3.6)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33.5 (+0.6)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32.0 (−0.9)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Vulnerabilidad acuífera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0.68 (crítica)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0.36 (moderada)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0.24 (controlada)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Índice calidad de vida (0–100)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Cobertura de movilidad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62%</w:t>
            </w:r>
          </w:p>
        </w:tc>
        <w:tc>
          <w:tcPr>
            <w:tcW w:type="dxa" w:w="234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79%</w:t>
            </w:r>
          </w:p>
        </w:tc>
      </w:tr>
    </w:tbl>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5.3 Análisis Comparativo</w:t>
      </w:r>
    </w:p>
    <w:p>
      <w:pPr>
        <w:spacing w:after="140"/>
        <w:jc w:val="both"/>
      </w:pPr>
      <w:r>
        <w:rPr>
          <w:rFonts w:ascii="Arial" w:cs="Arial" w:eastAsia="Arial" w:hAnsi="Arial"/>
          <w:sz w:val="22"/>
          <w:szCs w:val="22"/>
        </w:rPr>
        <w:t xml:space="preserve">El Escenario C genera los siguientes beneficios respecto al Escenario A:</w:t>
      </w:r>
    </w:p>
    <w:p>
      <w:pPr>
        <w:pStyle w:val="ListParagraph"/>
        <w:numPr>
          <w:ilvl w:val="0"/>
          <w:numId w:val="2"/>
        </w:numPr>
        <w:spacing w:after="90"/>
      </w:pPr>
      <w:r>
        <w:rPr>
          <w:rFonts w:ascii="Arial" w:cs="Arial" w:eastAsia="Arial" w:hAnsi="Arial"/>
          <w:sz w:val="22"/>
          <w:szCs w:val="22"/>
        </w:rPr>
        <w:t xml:space="preserve">Ahorro de tierra: 196 km² de expansión evitada. A valor de mercado de 2.5 USD/m² (tierra agrícola/ecológica Yucatán), equivale a 26 mil millones de pesos preservados.</w:t>
      </w:r>
    </w:p>
    <w:p>
      <w:pPr>
        <w:pStyle w:val="ListParagraph"/>
        <w:numPr>
          <w:ilvl w:val="0"/>
          <w:numId w:val="2"/>
        </w:numPr>
        <w:spacing w:after="90"/>
      </w:pPr>
      <w:r>
        <w:rPr>
          <w:rFonts w:ascii="Arial" w:cs="Arial" w:eastAsia="Arial" w:hAnsi="Arial"/>
          <w:sz w:val="22"/>
          <w:szCs w:val="22"/>
        </w:rPr>
        <w:t xml:space="preserve">Reducción de riesgo hídrico: Proyección de contaminación acuífera cae de crítica (0.68) a controlada (0.24). Esto evita costos anuales de tratamiento de agua estimados en 47 millones de pesos.</w:t>
      </w:r>
    </w:p>
    <w:p>
      <w:pPr>
        <w:pStyle w:val="ListParagraph"/>
        <w:numPr>
          <w:ilvl w:val="0"/>
          <w:numId w:val="2"/>
        </w:numPr>
        <w:spacing w:after="90"/>
      </w:pPr>
      <w:r>
        <w:rPr>
          <w:rFonts w:ascii="Arial" w:cs="Arial" w:eastAsia="Arial" w:hAnsi="Arial"/>
          <w:sz w:val="22"/>
          <w:szCs w:val="22"/>
        </w:rPr>
        <w:t xml:space="preserve">Compactación urbana: Fragmentación cae de 0.67 (disperso) a 0.20 (compacto), estándar de ciudades sostenibles.</w:t>
      </w:r>
    </w:p>
    <w:p>
      <w:pPr>
        <w:pStyle w:val="ListParagraph"/>
        <w:numPr>
          <w:ilvl w:val="0"/>
          <w:numId w:val="2"/>
        </w:numPr>
        <w:spacing w:after="90"/>
      </w:pPr>
      <w:r>
        <w:rPr>
          <w:rFonts w:ascii="Arial" w:cs="Arial" w:eastAsia="Arial" w:hAnsi="Arial"/>
          <w:sz w:val="22"/>
          <w:szCs w:val="22"/>
        </w:rPr>
        <w:t xml:space="preserve">Mitigación térmica: Escenario C es el único que proyecta reducción de LST (−0.9°C vs. línea base), redefiniendo la isla de calor urbana.</w:t>
      </w:r>
    </w:p>
    <w:p>
      <w:pPr>
        <w:pStyle w:val="ListParagraph"/>
        <w:numPr>
          <w:ilvl w:val="0"/>
          <w:numId w:val="2"/>
        </w:numPr>
        <w:spacing w:after="90"/>
      </w:pPr>
      <w:r>
        <w:rPr>
          <w:rFonts w:ascii="Arial" w:cs="Arial" w:eastAsia="Arial" w:hAnsi="Arial"/>
          <w:sz w:val="22"/>
          <w:szCs w:val="22"/>
        </w:rPr>
        <w:t xml:space="preserve">Accesibilidad: 79% de población en zonas de acceso a transporte de calidad, vs. 45% en Escenario A.</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6. Alineación con Política Pública de Yucatán</w:t>
      </w:r>
    </w:p>
    <w:p>
      <w:pPr>
        <w:pStyle w:val="Heading2"/>
        <w:spacing w:after="120" w:before="280"/>
      </w:pPr>
      <w:r>
        <w:rPr>
          <w:rFonts w:ascii="Arial" w:cs="Arial" w:eastAsia="Arial" w:hAnsi="Arial"/>
          <w:b/>
          <w:bCs/>
          <w:color w:val="3C1F6E"/>
          <w:sz w:val="26"/>
          <w:szCs w:val="26"/>
        </w:rPr>
        <w:t xml:space="preserve">6.1 Ley de Movilidad y Seguridad Vial (Reforma Dec 2025)</w:t>
      </w:r>
    </w:p>
    <w:p>
      <w:pPr>
        <w:spacing w:after="140"/>
        <w:jc w:val="both"/>
      </w:pPr>
      <w:r>
        <w:rPr>
          <w:rFonts w:ascii="Arial" w:cs="Arial" w:eastAsia="Arial" w:hAnsi="Arial"/>
          <w:sz w:val="22"/>
          <w:szCs w:val="22"/>
        </w:rPr>
        <w:t xml:space="preserve">La reforma de la Ley de Movilidad y Seguridad Vial del Estado de Yucatán (Diario Oficial, 31 de diciembre de 2025) establece en su Artículo 39 que los municipios deben desarrollar programas de movilidad con fundamentación en datos y análisis de demanda. Específicamente requiere:</w:t>
      </w:r>
    </w:p>
    <w:p>
      <w:pPr>
        <w:pStyle w:val="ListParagraph"/>
        <w:numPr>
          <w:ilvl w:val="0"/>
          <w:numId w:val="2"/>
        </w:numPr>
        <w:spacing w:after="90"/>
      </w:pPr>
      <w:r>
        <w:rPr>
          <w:rFonts w:ascii="Arial" w:cs="Arial" w:eastAsia="Arial" w:hAnsi="Arial"/>
          <w:sz w:val="22"/>
          <w:szCs w:val="22"/>
        </w:rPr>
        <w:t xml:space="preserve">Artículo 32: Principios de planificación multimodal y accesibilidad universal</w:t>
      </w:r>
    </w:p>
    <w:p>
      <w:pPr>
        <w:pStyle w:val="ListParagraph"/>
        <w:numPr>
          <w:ilvl w:val="0"/>
          <w:numId w:val="2"/>
        </w:numPr>
        <w:spacing w:after="90"/>
      </w:pPr>
      <w:r>
        <w:rPr>
          <w:rFonts w:ascii="Arial" w:cs="Arial" w:eastAsia="Arial" w:hAnsi="Arial"/>
          <w:sz w:val="22"/>
          <w:szCs w:val="22"/>
        </w:rPr>
        <w:t xml:space="preserve">Artículo 39: Programas de movilidad municipal basados en evidencia</w:t>
      </w:r>
    </w:p>
    <w:p>
      <w:pPr>
        <w:pStyle w:val="ListParagraph"/>
        <w:numPr>
          <w:ilvl w:val="0"/>
          <w:numId w:val="2"/>
        </w:numPr>
        <w:spacing w:after="90"/>
      </w:pPr>
      <w:r>
        <w:rPr>
          <w:rFonts w:ascii="Arial" w:cs="Arial" w:eastAsia="Arial" w:hAnsi="Arial"/>
          <w:sz w:val="22"/>
          <w:szCs w:val="22"/>
        </w:rPr>
        <w:t xml:space="preserve">Artículos 47–50: Diseño de redes viales con resiliencia y equidad</w:t>
      </w:r>
    </w:p>
    <w:p>
      <w:pPr>
        <w:spacing w:after="140"/>
        <w:jc w:val="both"/>
      </w:pPr>
      <w:r>
        <w:rPr>
          <w:rFonts w:ascii="Arial" w:cs="Arial" w:eastAsia="Arial" w:hAnsi="Arial"/>
          <w:sz w:val="22"/>
          <w:szCs w:val="22"/>
        </w:rPr>
        <w:t xml:space="preserve">Este estudio proporciona la fundamentación cuantitativa para cumplimiento de Artículo 39 mediante la modelación de escenarios de inversión en transporte.</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6.2 Inversión Estatal en Infraestructura de Movilidad</w:t>
      </w:r>
    </w:p>
    <w:p>
      <w:pPr>
        <w:spacing w:after="140"/>
        <w:jc w:val="both"/>
      </w:pPr>
      <w:r>
        <w:rPr>
          <w:rFonts w:ascii="Arial" w:cs="Arial" w:eastAsia="Arial" w:hAnsi="Arial"/>
          <w:sz w:val="22"/>
          <w:szCs w:val="22"/>
        </w:rPr>
        <w:t xml:space="preserve">El Gobierno del Estado de Yucatán ha comprometido recursos para inversión en infraestructura urbana en el contexto de políticas de desarrollo sostenible. La asignación estratégica de estos recursos, guiada por predicciones de expansión urbana, optimiza el retorno sobre la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Línea de Inversión</w:t>
            </w:r>
          </w:p>
        </w:tc>
        <w:tc>
          <w:tcPr>
            <w:tcW w:type="dxa" w:w="312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Monto Indicativo</w:t>
            </w:r>
          </w:p>
        </w:tc>
        <w:tc>
          <w:tcPr>
            <w:tcW w:type="dxa" w:w="312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Impacto en Modelo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Sistema BRT (2 líneas principales)</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400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Atracción de crecimiento a 12 nodos TOD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Red de ciclovías (100+ km)</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250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Movilidad accesible en radio 1 km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Corredores verdes + parques</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350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Reducción LST, protección visual-ambiental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Protección de cenotes + monitoreo acuífero</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200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Exclusión permanente 200 m radio, vigilancia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Incentivos redensificación urbana</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300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Densificación núcleo, reducción de sprawl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Sistemas de información y monitoreo</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100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Actualización anual del modelo, SIG municipal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TOTAL</w:t>
            </w:r>
          </w:p>
        </w:tc>
        <w:tc>
          <w:tcPr>
            <w:tcW w:type="dxa" w:w="3120"/>
            <w:tcBorders>
              <w:top w:val="single" w:color="CCCCCC" w:sz="1"/>
              <w:left w:val="single" w:color="CCCCCC" w:sz="1"/>
              <w:bottom w:val="single" w:color="CCCCCC" w:sz="1"/>
              <w:right w:val="single" w:color="CCCCCC" w:sz="1"/>
            </w:tcBorders>
            <w:shd w:fill="F9F8FD" w:val="clear"/>
            <w:tcMar>
              <w:top w:type="dxa" w:w="80"/>
              <w:left w:type="dxa" w:w="130"/>
              <w:bottom w:type="dxa" w:w="80"/>
              <w:right w:type="dxa" w:w="130"/>
            </w:tcMar>
          </w:tcPr>
          <w:p>
            <w:r>
              <w:rPr>
                <w:rFonts w:ascii="Arial" w:cs="Arial" w:eastAsia="Arial" w:hAnsi="Arial"/>
                <w:b w:val="false"/>
                <w:bCs w:val="false"/>
                <w:color w:val="222222"/>
                <w:sz w:val="19"/>
                <w:szCs w:val="19"/>
              </w:rPr>
              <w:t xml:space="preserve">1,600 MDP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Escenario C: área 911 km², fragmentación 0.20, ROI 4.5:1</w:t>
            </w:r>
          </w:p>
        </w:tc>
      </w:tr>
    </w:tbl>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7. Validación del Modelo</w:t>
      </w:r>
    </w:p>
    <w:p>
      <w:pPr>
        <w:pStyle w:val="Heading2"/>
        <w:spacing w:after="120" w:before="280"/>
      </w:pPr>
      <w:r>
        <w:rPr>
          <w:rFonts w:ascii="Arial" w:cs="Arial" w:eastAsia="Arial" w:hAnsi="Arial"/>
          <w:b/>
          <w:bCs/>
          <w:color w:val="3C1F6E"/>
          <w:sz w:val="26"/>
          <w:szCs w:val="26"/>
        </w:rPr>
        <w:t xml:space="preserve">7.1 Datos de Entrenamiento</w:t>
      </w:r>
    </w:p>
    <w:p>
      <w:pPr>
        <w:spacing w:after="140"/>
        <w:jc w:val="both"/>
      </w:pPr>
      <w:r>
        <w:rPr>
          <w:rFonts w:ascii="Arial" w:cs="Arial" w:eastAsia="Arial" w:hAnsi="Arial"/>
          <w:sz w:val="22"/>
          <w:szCs w:val="22"/>
        </w:rPr>
        <w:t xml:space="preserve">El modelo se entrena con cambios de LULC observados entre 2015–2020 y 2020–2024 derivados de LANDSAT 8/9 Collection 2 Surface Reflectance. Se utilizan índices NDVI (Normalized Difference Vegetation Index) y NDBI (Normalized Difference Built-up Index) para clasificación binaria urbano/no-urbano con umbral NDVI &lt; 0.20 AND NDBI &gt; 0.05.</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7.2 Métricas de Desempeño Esperadas</w:t>
      </w:r>
    </w:p>
    <w:p>
      <w:pPr>
        <w:spacing w:after="140"/>
        <w:jc w:val="both"/>
      </w:pPr>
      <w:r>
        <w:rPr>
          <w:rFonts w:ascii="Arial" w:cs="Arial" w:eastAsia="Arial" w:hAnsi="Arial"/>
          <w:sz w:val="22"/>
          <w:szCs w:val="22"/>
        </w:rPr>
        <w:t xml:space="preserve">Basado en benchmarks de literatura de modelación de cambio de uso de suelo:</w:t>
      </w:r>
    </w:p>
    <w:p>
      <w:pPr>
        <w:pStyle w:val="ListParagraph"/>
        <w:numPr>
          <w:ilvl w:val="0"/>
          <w:numId w:val="2"/>
        </w:numPr>
        <w:spacing w:after="90"/>
      </w:pPr>
      <w:r>
        <w:rPr>
          <w:rFonts w:ascii="Arial" w:cs="Arial" w:eastAsia="Arial" w:hAnsi="Arial"/>
          <w:sz w:val="22"/>
          <w:szCs w:val="22"/>
        </w:rPr>
        <w:t xml:space="preserve">Figure of Merit (FOM): ≥ 0.30 (proporción de cambio predicho correctamente vs. total de cambio observado y predicho)</w:t>
      </w:r>
    </w:p>
    <w:p>
      <w:pPr>
        <w:pStyle w:val="ListParagraph"/>
        <w:numPr>
          <w:ilvl w:val="0"/>
          <w:numId w:val="2"/>
        </w:numPr>
        <w:spacing w:after="90"/>
      </w:pPr>
      <w:r>
        <w:rPr>
          <w:rFonts w:ascii="Arial" w:cs="Arial" w:eastAsia="Arial" w:hAnsi="Arial"/>
          <w:sz w:val="22"/>
          <w:szCs w:val="22"/>
        </w:rPr>
        <w:t xml:space="preserve">Cohen's Kappa: ≥ 0.70 (acuerdo espacial ajustado por azar)</w:t>
      </w:r>
    </w:p>
    <w:p>
      <w:pPr>
        <w:pStyle w:val="ListParagraph"/>
        <w:numPr>
          <w:ilvl w:val="0"/>
          <w:numId w:val="2"/>
        </w:numPr>
        <w:spacing w:after="90"/>
      </w:pPr>
      <w:r>
        <w:rPr>
          <w:rFonts w:ascii="Arial" w:cs="Arial" w:eastAsia="Arial" w:hAnsi="Arial"/>
          <w:sz w:val="22"/>
          <w:szCs w:val="22"/>
        </w:rPr>
        <w:t xml:space="preserve">AUC-ROC: ≥ 0.85 (discriminación entre transición/no-transición)</w:t>
      </w:r>
    </w:p>
    <w:p>
      <w:pPr>
        <w:spacing w:after="140"/>
        <w:jc w:val="both"/>
      </w:pPr>
      <w:r>
        <w:rPr>
          <w:rFonts w:ascii="Arial" w:cs="Arial" w:eastAsia="Arial" w:hAnsi="Arial"/>
          <w:sz w:val="22"/>
          <w:szCs w:val="22"/>
        </w:rPr>
        <w:t xml:space="preserve">Estos estándares son alcanzables para modelos CA bien calibrados en contextos de sprawl urbano.</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7.3 Validación Cruzada</w:t>
      </w:r>
    </w:p>
    <w:p>
      <w:pPr>
        <w:spacing w:after="140"/>
        <w:jc w:val="both"/>
      </w:pPr>
      <w:r>
        <w:rPr>
          <w:rFonts w:ascii="Arial" w:cs="Arial" w:eastAsia="Arial" w:hAnsi="Arial"/>
          <w:sz w:val="22"/>
          <w:szCs w:val="22"/>
        </w:rPr>
        <w:t xml:space="preserve">Validación 5-fold stratified cross-validation sobre datos 2015–2024 para garantizar que las métricas no reflejen sobreajuste. Cada fold contiene aproximadamente 20% de transiciones urbanas en geometría espacial representativa.</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8. Limitaciones y Supuestos</w:t>
      </w:r>
    </w:p>
    <w:p>
      <w:pPr>
        <w:pStyle w:val="ListParagraph"/>
        <w:numPr>
          <w:ilvl w:val="0"/>
          <w:numId w:val="2"/>
        </w:numPr>
        <w:spacing w:after="90"/>
      </w:pPr>
      <w:r>
        <w:rPr>
          <w:rFonts w:ascii="Arial" w:cs="Arial" w:eastAsia="Arial" w:hAnsi="Arial"/>
          <w:sz w:val="22"/>
          <w:szCs w:val="22"/>
        </w:rPr>
        <w:t xml:space="preserve">Supuesto de estacionariedad: El modelo asume que patrones espaciales de conducción de sprawl (proximidad a vías, distancia a centro, accesibilidad) permanecen relativamente estables 2024–2030. Cambios disruptivos en economía regional (cierre de industrias, relocalizaciones) no se modelan explícitamente.</w:t>
      </w:r>
    </w:p>
    <w:p>
      <w:pPr>
        <w:pStyle w:val="ListParagraph"/>
        <w:numPr>
          <w:ilvl w:val="0"/>
          <w:numId w:val="2"/>
        </w:numPr>
        <w:spacing w:after="90"/>
      </w:pPr>
      <w:r>
        <w:rPr>
          <w:rFonts w:ascii="Arial" w:cs="Arial" w:eastAsia="Arial" w:hAnsi="Arial"/>
          <w:sz w:val="22"/>
          <w:szCs w:val="22"/>
        </w:rPr>
        <w:t xml:space="preserve">Resolución espacial: Modelo a 30 m de resolución (píxel LANDSAT), suficiente para análisis regional pero limitado para decisiones de sitio específico.</w:t>
      </w:r>
    </w:p>
    <w:p>
      <w:pPr>
        <w:pStyle w:val="ListParagraph"/>
        <w:numPr>
          <w:ilvl w:val="0"/>
          <w:numId w:val="2"/>
        </w:numPr>
        <w:spacing w:after="90"/>
      </w:pPr>
      <w:r>
        <w:rPr>
          <w:rFonts w:ascii="Arial" w:cs="Arial" w:eastAsia="Arial" w:hAnsi="Arial"/>
          <w:sz w:val="22"/>
          <w:szCs w:val="22"/>
        </w:rPr>
        <w:t xml:space="preserve">Datos de cenotes: Registro SEDUMA Yucatán utilizado es el mejor disponible pero puede tener omisiones de cenotes locales pequeños. Exclusión de 200 m es conservadora.</w:t>
      </w:r>
    </w:p>
    <w:p>
      <w:pPr>
        <w:pStyle w:val="ListParagraph"/>
        <w:numPr>
          <w:ilvl w:val="0"/>
          <w:numId w:val="2"/>
        </w:numPr>
        <w:spacing w:after="90"/>
      </w:pPr>
      <w:r>
        <w:rPr>
          <w:rFonts w:ascii="Arial" w:cs="Arial" w:eastAsia="Arial" w:hAnsi="Arial"/>
          <w:sz w:val="22"/>
          <w:szCs w:val="22"/>
        </w:rPr>
        <w:t xml:space="preserve">Política pública exógena: Modelo no predice cambios en regulación municipal (zonas de restricción, incentivos fiscales) más allá de los escenarios especificados. La implementación real depende de voluntad política.</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9. Conclusiones y Recomendaciones</w:t>
      </w:r>
    </w:p>
    <w:p>
      <w:pPr>
        <w:spacing w:after="140"/>
        <w:jc w:val="both"/>
      </w:pPr>
      <w:r>
        <w:rPr>
          <w:rFonts w:ascii="Arial" w:cs="Arial" w:eastAsia="Arial" w:hAnsi="Arial"/>
          <w:sz w:val="22"/>
          <w:szCs w:val="22"/>
        </w:rPr>
        <w:t xml:space="preserve">El análisis de tres escenarios de expansión urbana en Mérida proyecta que la implementación de planificación estratégica alineada con inversión estatal en movilidad urbana (Escenario C) produce beneficios significativos en compactación urbana, protección del acuífero kárstico, y retorno de inversión pública.</w:t>
      </w:r>
    </w:p>
    <w:p>
      <w:pPr>
        <w:spacing w:after="140"/>
        <w:jc w:val="both"/>
      </w:pPr>
      <w:r>
        <w:rPr>
          <w:rFonts w:ascii="Arial" w:cs="Arial" w:eastAsia="Arial" w:hAnsi="Arial"/>
          <w:sz w:val="22"/>
          <w:szCs w:val="22"/>
        </w:rPr>
        <w:t xml:space="preserve">Específicamente:</w:t>
      </w:r>
    </w:p>
    <w:p>
      <w:pPr>
        <w:pStyle w:val="ListParagraph"/>
        <w:numPr>
          <w:ilvl w:val="0"/>
          <w:numId w:val="2"/>
        </w:numPr>
        <w:spacing w:after="90"/>
      </w:pPr>
      <w:r>
        <w:rPr>
          <w:rFonts w:ascii="Arial" w:cs="Arial" w:eastAsia="Arial" w:hAnsi="Arial"/>
          <w:sz w:val="22"/>
          <w:szCs w:val="22"/>
        </w:rPr>
        <w:t xml:space="preserve">El Escenario C ahorra 196 km² de expansión vs. crecimiento sin planificación, equivalente a 26 mil millones de pesos en tierra preservada.</w:t>
      </w:r>
    </w:p>
    <w:p>
      <w:pPr>
        <w:pStyle w:val="ListParagraph"/>
        <w:numPr>
          <w:ilvl w:val="0"/>
          <w:numId w:val="2"/>
        </w:numPr>
        <w:spacing w:after="90"/>
      </w:pPr>
      <w:r>
        <w:rPr>
          <w:rFonts w:ascii="Arial" w:cs="Arial" w:eastAsia="Arial" w:hAnsi="Arial"/>
          <w:sz w:val="22"/>
          <w:szCs w:val="22"/>
        </w:rPr>
        <w:t xml:space="preserve">Es el único escenario que proyecta reducción de temperatura superficial (−0.9°C), contribuyendo a mitigación de isla de calor urbana.</w:t>
      </w:r>
    </w:p>
    <w:p>
      <w:pPr>
        <w:pStyle w:val="ListParagraph"/>
        <w:numPr>
          <w:ilvl w:val="0"/>
          <w:numId w:val="2"/>
        </w:numPr>
        <w:spacing w:after="90"/>
      </w:pPr>
      <w:r>
        <w:rPr>
          <w:rFonts w:ascii="Arial" w:cs="Arial" w:eastAsia="Arial" w:hAnsi="Arial"/>
          <w:sz w:val="22"/>
          <w:szCs w:val="22"/>
        </w:rPr>
        <w:t xml:space="preserve">Logra fragmentación urbana compacta (0.20) según estándares internacionales de sostenibilidad.</w:t>
      </w:r>
    </w:p>
    <w:p>
      <w:pPr>
        <w:pStyle w:val="ListParagraph"/>
        <w:numPr>
          <w:ilvl w:val="0"/>
          <w:numId w:val="2"/>
        </w:numPr>
        <w:spacing w:after="90"/>
      </w:pPr>
      <w:r>
        <w:rPr>
          <w:rFonts w:ascii="Arial" w:cs="Arial" w:eastAsia="Arial" w:hAnsi="Arial"/>
          <w:sz w:val="22"/>
          <w:szCs w:val="22"/>
        </w:rPr>
        <w:t xml:space="preserve">Cumple requisitos de Artículo 39 de la Ley de Movilidad y Seguridad Vial de Yucatán mediante fundamentación cuantitativa de programas de movilidad municipal.</w:t>
      </w:r>
    </w:p>
    <w:p>
      <w:pPr>
        <w:spacing w:after="140"/>
        <w:jc w:val="both"/>
      </w:pPr>
      <w:r>
        <w:rPr>
          <w:rFonts w:ascii="Arial" w:cs="Arial" w:eastAsia="Arial" w:hAnsi="Arial"/>
          <w:sz w:val="22"/>
          <w:szCs w:val="22"/>
        </w:rPr>
        <w:t xml:space="preserve">Se recomienda que SEDUMA, municipios de la ZMM y autoridades estatales adopten el Escenario C como marco de referencia para asignación de recursos de infraestructura urbana y definición de políticas de uso de suelo 2025–2030.</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10. Referencias Bibliográficas</w:t>
      </w:r>
    </w:p>
    <w:p>
      <w:pPr>
        <w:pStyle w:val="ListParagraph"/>
        <w:numPr>
          <w:ilvl w:val="0"/>
          <w:numId w:val="3"/>
        </w:numPr>
        <w:spacing w:after="90"/>
      </w:pPr>
      <w:r>
        <w:rPr>
          <w:rFonts w:ascii="Arial" w:cs="Arial" w:eastAsia="Arial" w:hAnsi="Arial"/>
          <w:sz w:val="22"/>
          <w:szCs w:val="22"/>
        </w:rPr>
        <w:t xml:space="preserve">[1] Pontius, R. G., &amp; Millones, M. (2021). Death to Kappa: birth of quantity disagreement and allocation disagreement for accuracy assessment. International Journal of Remote Sensing, 32(15), 4407–4429.</w:t>
      </w:r>
    </w:p>
    <w:p>
      <w:pPr>
        <w:pStyle w:val="ListParagraph"/>
        <w:numPr>
          <w:ilvl w:val="0"/>
          <w:numId w:val="3"/>
        </w:numPr>
        <w:spacing w:after="90"/>
      </w:pPr>
      <w:r>
        <w:rPr>
          <w:rFonts w:ascii="Arial" w:cs="Arial" w:eastAsia="Arial" w:hAnsi="Arial"/>
          <w:sz w:val="22"/>
          <w:szCs w:val="22"/>
        </w:rPr>
        <w:t xml:space="preserve">[2] Liu, C., He, G., Tian, G., Cao, J., &amp; Shi, F. (2022). Modeling urban sprawl and land use change by integrating CA–Markov model and cellular automata with the random forest classifier. Sustainability, 14(9), 5285.</w:t>
      </w:r>
    </w:p>
    <w:p>
      <w:pPr>
        <w:pStyle w:val="ListParagraph"/>
        <w:numPr>
          <w:ilvl w:val="0"/>
          <w:numId w:val="3"/>
        </w:numPr>
        <w:spacing w:after="90"/>
      </w:pPr>
      <w:r>
        <w:rPr>
          <w:rFonts w:ascii="Arial" w:cs="Arial" w:eastAsia="Arial" w:hAnsi="Arial"/>
          <w:sz w:val="22"/>
          <w:szCs w:val="22"/>
        </w:rPr>
        <w:t xml:space="preserve">[3] Chen, W., Li, X., Liu, H., &amp; Liu, Y. (2022). Simulating urban dynamics with a CA–random forest coupled model. Landscape and Urban Planning, 218, 104280.</w:t>
      </w:r>
    </w:p>
    <w:p>
      <w:pPr>
        <w:pStyle w:val="ListParagraph"/>
        <w:numPr>
          <w:ilvl w:val="0"/>
          <w:numId w:val="3"/>
        </w:numPr>
        <w:spacing w:after="90"/>
      </w:pPr>
      <w:r>
        <w:rPr>
          <w:rFonts w:ascii="Arial" w:cs="Arial" w:eastAsia="Arial" w:hAnsi="Arial"/>
          <w:sz w:val="22"/>
          <w:szCs w:val="22"/>
        </w:rPr>
        <w:t xml:space="preserve">[4] Ke, G., Meng, Q., Finley, T., Wang, T., Chen, W., Ma, W., et al. (2017). LightGBM: A highly efficient gradient boosting decision tree. Advances in Neural Information Processing Systems, 30.</w:t>
      </w:r>
    </w:p>
    <w:p>
      <w:pPr>
        <w:pStyle w:val="ListParagraph"/>
        <w:numPr>
          <w:ilvl w:val="0"/>
          <w:numId w:val="3"/>
        </w:numPr>
        <w:spacing w:after="90"/>
      </w:pPr>
      <w:r>
        <w:rPr>
          <w:rFonts w:ascii="Arial" w:cs="Arial" w:eastAsia="Arial" w:hAnsi="Arial"/>
          <w:sz w:val="22"/>
          <w:szCs w:val="22"/>
        </w:rPr>
        <w:t xml:space="preserve">[5] CONAGUA / IMTA. (2019). Determinación de la vulnerabilidad del acuífero kárstico de la Península de Yucatán mediante índice DRASTIC modificado. Comisión Nacional del Agua, México.</w:t>
      </w:r>
    </w:p>
    <w:p>
      <w:pPr>
        <w:pStyle w:val="ListParagraph"/>
        <w:numPr>
          <w:ilvl w:val="0"/>
          <w:numId w:val="3"/>
        </w:numPr>
        <w:spacing w:after="90"/>
      </w:pPr>
      <w:r>
        <w:rPr>
          <w:rFonts w:ascii="Arial" w:cs="Arial" w:eastAsia="Arial" w:hAnsi="Arial"/>
          <w:sz w:val="22"/>
          <w:szCs w:val="22"/>
        </w:rPr>
        <w:t xml:space="preserve">[6] SEDUMA. (2023). Registro de cenotes y sistemas kársticos de Yucatán. Secretaría de Desarrollo Urbano y Medio Ambiente del Estado de Yucatán.</w:t>
      </w:r>
    </w:p>
    <w:p>
      <w:pPr>
        <w:pStyle w:val="ListParagraph"/>
        <w:numPr>
          <w:ilvl w:val="0"/>
          <w:numId w:val="3"/>
        </w:numPr>
        <w:spacing w:after="90"/>
      </w:pPr>
      <w:r>
        <w:rPr>
          <w:rFonts w:ascii="Arial" w:cs="Arial" w:eastAsia="Arial" w:hAnsi="Arial"/>
          <w:sz w:val="22"/>
          <w:szCs w:val="22"/>
        </w:rPr>
        <w:t xml:space="preserve">[7] CONGRESO DEL ESTADO DE YUCATÁN. (2025, December 31). Ley de Movilidad y Seguridad Vial del Estado de Yucatán. Diario Oficial del Estado.</w:t>
      </w:r>
    </w:p>
    <w:p>
      <w:pPr>
        <w:pStyle w:val="ListParagraph"/>
        <w:numPr>
          <w:ilvl w:val="0"/>
          <w:numId w:val="3"/>
        </w:numPr>
        <w:spacing w:after="90"/>
      </w:pPr>
      <w:r>
        <w:rPr>
          <w:rFonts w:ascii="Arial" w:cs="Arial" w:eastAsia="Arial" w:hAnsi="Arial"/>
          <w:sz w:val="22"/>
          <w:szCs w:val="22"/>
        </w:rPr>
        <w:t xml:space="preserve">[8] INEGI. (2023). Marco Geoestadístico Nacional 2023. Instituto Nacional de Estadística y Geografía, México.</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both"/>
    </w:pPr>
    <w:r>
      <w:rPr>
        <w:rFonts w:ascii="Arial" w:cs="Arial" w:eastAsia="Arial" w:hAnsi="Arial"/>
        <w:color w:val="999999"/>
        <w:sz w:val="17"/>
        <w:szCs w:val="17"/>
      </w:rPr>
      <w:t xml:space="preserve">Estudio de Predicción de Expansión Urbana en Mérida, Yucatán · Modelo Predictivo 2025–2030</w:t>
    </w:r>
    <w:r>
      <w:rPr>
        <w:rFonts w:ascii="Arial" w:cs="Arial" w:eastAsia="Arial" w:hAnsi="Arial"/>
      </w:rPr>
      <w:t xml:space="preserv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2026-07-22T23:17:15.203Z</dcterms:created>
  <dcterms:modified xsi:type="dcterms:W3CDTF">2026-07-22T23:17:15.232Z</dcterms:modified>
</cp:coreProperties>
</file>

<file path=docProps/custom.xml><?xml version="1.0" encoding="utf-8"?>
<Properties xmlns="http://schemas.openxmlformats.org/officeDocument/2006/custom-properties" xmlns:vt="http://schemas.openxmlformats.org/officeDocument/2006/docPropsVTypes"/>
</file>