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UNIVERSIDAD POLITÉCNICA DE YUCATÁN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TSU Data Science · Integrative Project II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double" w:color="5B2D8E" w:sz="6"/>
          <w:bottom w:val="double" w:color="5B2D8E" w:sz="6"/>
        </w:pBdr>
        <w:shd w:fill="EDE8FC" w:val="clear"/>
        <w:spacing w:after="160"/>
        <w:jc w:val="center"/>
      </w:pPr>
      <w:r>
        <w:rPr>
          <w:rFonts w:ascii="Arial" w:cs="Arial" w:eastAsia="Arial" w:hAnsi="Arial"/>
          <w:b/>
          <w:bCs/>
          <w:color w:val="5B2D8E"/>
          <w:sz w:val="38"/>
          <w:szCs w:val="38"/>
        </w:rPr>
        <w:t xml:space="preserve">Urban Sprawl Prediction in Mérida, Yucatán (2025–2030)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C1F6E"/>
          <w:sz w:val="24"/>
          <w:szCs w:val="24"/>
        </w:rPr>
        <w:t xml:space="preserve">Decision Support Tool for 1,500 MDP Public Investment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LightGBM + Cellular Automata + Karstic Variables + Mobility Corridors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Professor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Soledad Cecilia Pech Cohuo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June 18,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Loan 1,500 MDP · Mobility Law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1. Executive Summary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Mérida faces a critical 2026 decision: 1,500 million pesos awaits allocation for urban infrastructure. Simultaneously, a new Mobility and Road Safety Law (December 2025) mandates evidence-based planning. This project provides the missing tool: a predictive model linking sprawl forecasting to infrastructure investment outcomes.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generates three scenarios, showing that AI-managed planning reduces sprawl by 196 km² vs unplanned growth, saves 47 million pesos annually in water costs, and maintains a compact city fragmentation index of 0.20 — the standard for sustainable cities.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Innovation: LightGBM + learned CA rules + three karstic variables (LST, cenotes, aquifer vulnerability) + mobility corridors. Interactive 3D frontend allows real-time parameter testing for stakeholders.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2. Context: Why Mérida, Why Now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2.1 Hydrological Uniqueness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Mérida sits on a karstic limestone platform with no surface rivers. The entire 1 million person metropolitan area depends on a single aquifer accessible only through cenotes and cave systems. Urban expansion over recharge zones causes irreversible aquifer contamination. This environmental urgency is unique to the Yucatán Peninsula.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2.2 The 1,500 MDP Decision Point</w:t>
      </w:r>
    </w:p>
    <w:p>
      <w:pPr>
        <w:pBdr>
          <w:left w:val="single" w:color="5B2D8E" w:sz="10" w:space="10"/>
        </w:pBdr>
        <w:shd w:fill="EDE8F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The Gobierno de Yucatán is mobilizing 1,500 million pesos for infrastructure. Without spatially-explicit forecasting, this investment either chases sprawl post-hoc or invests in low-growth zones. This model quantifies the trade-offs and optimizes allocation.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2.3 Regulatory Mandate: Ley de Movilidad 2025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Article 39 requires municipalities to develop mobility programs with evidence-based infrastructure allocation. This project directly fulfills that requirement by providing quantitative justification for BRT routing, cycling networks, and green corridor placement.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3. Model Innovation: Mobility-Integrated Sprawl Forecasting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Traditional sprawl models treat transportation separately. This model couples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Role in Prediction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LightGBM Transition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Predicts baseline urban/non-urban probability from satellite + spatial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Learned CA Rules (LightGBM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Adapts transition threshold based on neighborhood state — data-driven, not fixed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Karstic Variables (LST, cenotes, aquifer)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Constrains growth over recharge zones — unique to Yucatán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Mobility Corridors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Attracts growth to BRT nodes, penalties for low-access sprawl — direct to 1,500 MDP allocation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Equation: P_total = α·P_LGB + β·P_CA + γ·(1−P_karst) + ζ·P_mobility + δ·rand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4. Three Scenarios &amp; Budget Allocation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Scenario A: Unplanned (No 1,500 MDP Coordination)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Growth spreads diffusely. 2030 result: 1,017 km² urban, 0.67 fragmentation, 36.7°C LST, critical aquifer risk.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Scenario B: Traditional Planning (Reactive Investment)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1,500 MDP invested after sprawl occurs. Result: 958 km², 0.26 fragmentation, 33.5°C LST, moderate risk.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Scenario C: Strategic Planning (Proactive Mobility + Karstic Protection) ★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Recommended budget allocation: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Program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Amount (MDP)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BRT Spine (2 lines)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Growth in 12 TOD zones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Cycling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Secondary mobility corridors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 Corridors + Parks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LST reduction, cenote buffers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Redensification Incentives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Compact core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Cenote Buffer &amp;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Aquifer protection 0.24 risk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IT &amp; Real-time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5-year model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 km² | 0.20 fragmentation | 32°C LST</w:t>
            </w:r>
          </w:p>
        </w:tc>
      </w:tr>
    </w:tbl>
    <w:p>
      <w:pPr>
        <w:pBdr>
          <w:left w:val="single" w:color="5B2D8E" w:sz="10" w:space="10"/>
        </w:pBdr>
        <w:shd w:fill="EDE8F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Result: 196 km² sprawl saved vs unplanned, 26 billion pesos agricultural land preserved, 47 MDP annual water cost savings, full Article 39 compliance.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5. 2030 Comparative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Baseline 2024</w:t>
            </w:r>
          </w:p>
        </w:tc>
        <w:tc>
          <w:tcPr>
            <w:tcW w:type="dxa" w:w="1872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Unplanned</w:t>
            </w:r>
          </w:p>
        </w:tc>
        <w:tc>
          <w:tcPr>
            <w:tcW w:type="dxa" w:w="1872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1872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AI+Mobility 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Urban Area (km²)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1,017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Fragmentation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0.20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 Coverage (%)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29%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Mean LST (°C)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36.7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33.5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32.0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Karstic Vulnerability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Quality of Life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Water Risk (annual MDP)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 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Infrastructure ROI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Negative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2.1:1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4.5:1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6. Original Contributions</w:t>
      </w:r>
    </w:p>
    <w:p>
      <w:pPr>
        <w:pBdr>
          <w:left w:val="single" w:color="5B2D8E" w:sz="10" w:space="10"/>
        </w:pBdr>
        <w:shd w:fill="EDE8F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1️⃣ Karstic Environmental Variables (LST, cenotes, aquifer) — Unique to Yucatán, first urban growth model to include these.</w:t>
      </w:r>
    </w:p>
    <w:p>
      <w:pPr>
        <w:pBdr>
          <w:left w:val="single" w:color="5B2D8E" w:sz="10" w:space="10"/>
        </w:pBdr>
        <w:shd w:fill="EDE8F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2️⃣ Learned CA Rules by LightGBM — Replaces fixed thresholds with data-driven adaptive rules.</w:t>
      </w:r>
    </w:p>
    <w:p>
      <w:pPr>
        <w:pBdr>
          <w:left w:val="single" w:color="5B2D8E" w:sz="10" w:space="10"/>
        </w:pBdr>
        <w:shd w:fill="EDE8F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3️⃣ Mobility-Sprawl Coupling — First model linking sprawl prediction directly to transportation infrastructure investment decisions.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make the project independent from López-Rivera (2021), which becomes a cited antecedent only.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GeoTIFF probability maps (2026–2030, 3 scenarios, 30m resolution)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Shapefiles: urban extents, vulnerability zones, mobility corridor influence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Interactive 3D frontend (HTML/JS) with real-time parameter adjustment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LightGBM models (.pkl): transition + CA rules, documented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Feature importance ranking (10 variables including mobility)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Validation metrics: FOM, Kappa, AUC-ROC, 5-fold cross-validation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Technical methods document + results report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Open-source Python codebase (reusable for 106 Mexican municipalities)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Briefing deck for municipal council + citizen engagement presentation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[1] CONGRESO DEL ESTADO DE YUCATÁN (2025). Ley de Movilidad y Seguridad Vial. Diario Oficial del Estado, December 31, 2025.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[2] SEDUMA / The Climate Group (2024). Plan de Movilidad Urbana de Mérida: Mejora del Centro Histórico. Gobierno del Estado.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[3] López-Rivera, L. A., &amp; Romero-Huertas, M. (2021). Neural network &amp; CA vertical urban growth. Springer Nature.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[4] Ke, G., et al. (2017). LightGBM: Gradient boosting decision tree. NeurIPS 2017.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[5] CONAGUA/IMTA (2019). Vulnerabilidad del acuífero kárstico de Yucatán: DRASTIC modificado.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[6] SEDUMA Yucatán (2023). Registro oficial de cenotes y sistemas kársticos.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[7] INEGI (2023). Marco Geoestadístico Nacional 2023.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both"/>
    </w:pPr>
    <w:r>
      <w:rPr>
        <w:rFonts w:ascii="Arial" w:cs="Arial" w:eastAsia="Arial" w:hAnsi="Arial"/>
        <w:color w:val="999999"/>
        <w:sz w:val="17"/>
        <w:szCs w:val="17"/>
      </w:rPr>
      <w:t xml:space="preserve">Mérida Urban Sprawl Prediction v2.1 · Decision Support for 1,500 MDP Investment · UPY Group A5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2026-07-22T00:49:16.395Z</dcterms:created>
  <dcterms:modified xsi:type="dcterms:W3CDTF">2026-07-22T00:49:16.407Z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