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5E43" w14:textId="77777777" w:rsidR="00732D50" w:rsidRPr="00CB3968" w:rsidRDefault="00000000">
      <w:pPr>
        <w:jc w:val="center"/>
        <w:rPr>
          <w:lang w:val="es-419"/>
        </w:rPr>
      </w:pPr>
      <w:r w:rsidRPr="00CB3968">
        <w:rPr>
          <w:b/>
          <w:color w:val="1A365D"/>
          <w:sz w:val="44"/>
          <w:lang w:val="es-419"/>
        </w:rPr>
        <w:t>Fundamento Matemático del Modelo</w:t>
      </w:r>
      <w:r w:rsidRPr="00CB3968">
        <w:rPr>
          <w:b/>
          <w:color w:val="1A365D"/>
          <w:sz w:val="44"/>
          <w:lang w:val="es-419"/>
        </w:rPr>
        <w:br/>
        <w:t>de Predicción de Expansión Urbana</w:t>
      </w:r>
      <w:r w:rsidRPr="00CB3968">
        <w:rPr>
          <w:b/>
          <w:color w:val="1A365D"/>
          <w:sz w:val="44"/>
          <w:lang w:val="es-419"/>
        </w:rPr>
        <w:br/>
        <w:t>— Mérida, Yucatán</w:t>
      </w:r>
    </w:p>
    <w:p w14:paraId="046317E5" w14:textId="77777777" w:rsidR="00732D50" w:rsidRPr="00CB3968" w:rsidRDefault="00000000">
      <w:pPr>
        <w:jc w:val="center"/>
        <w:rPr>
          <w:lang w:val="es-419"/>
        </w:rPr>
      </w:pPr>
      <w:r w:rsidRPr="00CB3968">
        <w:rPr>
          <w:lang w:val="es-419"/>
        </w:rPr>
        <w:br/>
      </w:r>
      <w:r w:rsidRPr="00CB3968">
        <w:rPr>
          <w:b/>
          <w:sz w:val="24"/>
          <w:lang w:val="es-419"/>
        </w:rPr>
        <w:t xml:space="preserve">Autor: </w:t>
      </w:r>
      <w:r w:rsidRPr="00CB3968">
        <w:rPr>
          <w:sz w:val="24"/>
          <w:lang w:val="es-419"/>
        </w:rPr>
        <w:t>Héctor Javier Raya Romo</w:t>
      </w:r>
      <w:r w:rsidRPr="00CB3968">
        <w:rPr>
          <w:b/>
          <w:lang w:val="es-419"/>
        </w:rPr>
        <w:br/>
        <w:t xml:space="preserve">Programa: </w:t>
      </w:r>
      <w:r w:rsidRPr="00CB3968">
        <w:rPr>
          <w:lang w:val="es-419"/>
        </w:rPr>
        <w:t>TSU en Ciencia de Datos · Universidad Politécnica de Yucatán</w:t>
      </w:r>
      <w:r w:rsidRPr="00CB3968">
        <w:rPr>
          <w:b/>
          <w:lang w:val="es-419"/>
        </w:rPr>
        <w:br/>
        <w:t xml:space="preserve">Versión: </w:t>
      </w:r>
      <w:r w:rsidRPr="00CB3968">
        <w:rPr>
          <w:lang w:val="es-419"/>
        </w:rPr>
        <w:t>1.0 · Agosto 2026</w:t>
      </w:r>
    </w:p>
    <w:p w14:paraId="689860B7" w14:textId="77777777" w:rsidR="00732D50" w:rsidRPr="00CB3968" w:rsidRDefault="00732D50">
      <w:pPr>
        <w:rPr>
          <w:lang w:val="es-419"/>
        </w:rPr>
      </w:pPr>
    </w:p>
    <w:p w14:paraId="38C332FC" w14:textId="77777777" w:rsidR="00732D50" w:rsidRPr="00CB3968" w:rsidRDefault="00000000">
      <w:pPr>
        <w:pStyle w:val="Heading1"/>
        <w:rPr>
          <w:lang w:val="es-419"/>
        </w:rPr>
      </w:pPr>
      <w:r w:rsidRPr="00CB3968">
        <w:rPr>
          <w:color w:val="1A365D"/>
          <w:lang w:val="es-419"/>
        </w:rPr>
        <w:t>1. Resumen en una página</w:t>
      </w:r>
    </w:p>
    <w:p w14:paraId="3387B39B" w14:textId="77777777" w:rsidR="00732D50" w:rsidRPr="00CB3968" w:rsidRDefault="00000000">
      <w:pPr>
        <w:jc w:val="both"/>
        <w:rPr>
          <w:lang w:val="es-419"/>
        </w:rPr>
      </w:pPr>
      <w:r w:rsidRPr="00CB3968">
        <w:rPr>
          <w:lang w:val="es-419"/>
        </w:rPr>
        <w:t>El modelo predice qué celdas de 30 m × 30 m en la Zona Metropolitana de Mérida pasarán de no urbanizadas a urbanizadas entre 2024 y 2030. Para cada celda se calcula una probabilidad de transición combinando cuatro componentes:</w:t>
      </w:r>
    </w:p>
    <w:p w14:paraId="780214C7" w14:textId="77777777" w:rsidR="00732D50" w:rsidRDefault="00000000">
      <w:pPr>
        <w:jc w:val="center"/>
      </w:pPr>
      <w:r>
        <w:rPr>
          <w:noProof/>
        </w:rPr>
        <w:drawing>
          <wp:inline distT="0" distB="0" distL="0" distR="0" wp14:anchorId="76258809" wp14:editId="18E0ACB8">
            <wp:extent cx="4754880" cy="355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master.png"/>
                    <pic:cNvPicPr/>
                  </pic:nvPicPr>
                  <pic:blipFill>
                    <a:blip r:embed="rId6"/>
                    <a:stretch>
                      <a:fillRect/>
                    </a:stretch>
                  </pic:blipFill>
                  <pic:spPr>
                    <a:xfrm>
                      <a:off x="0" y="0"/>
                      <a:ext cx="4754880" cy="355655"/>
                    </a:xfrm>
                    <a:prstGeom prst="rect">
                      <a:avLst/>
                    </a:prstGeom>
                  </pic:spPr>
                </pic:pic>
              </a:graphicData>
            </a:graphic>
          </wp:inline>
        </w:drawing>
      </w:r>
    </w:p>
    <w:p w14:paraId="02E3FD79" w14:textId="77777777" w:rsidR="00732D50" w:rsidRPr="00CB3968" w:rsidRDefault="00000000">
      <w:pPr>
        <w:jc w:val="both"/>
        <w:rPr>
          <w:lang w:val="es-419"/>
        </w:rPr>
      </w:pPr>
      <w:r w:rsidRPr="00CB3968">
        <w:rPr>
          <w:lang w:val="es-419"/>
        </w:rPr>
        <w:t>Sujeto a la restricción de cupo anual:</w:t>
      </w:r>
    </w:p>
    <w:p w14:paraId="7F7FC313" w14:textId="77777777" w:rsidR="00732D50" w:rsidRDefault="00000000">
      <w:pPr>
        <w:jc w:val="center"/>
      </w:pPr>
      <w:r>
        <w:rPr>
          <w:noProof/>
        </w:rPr>
        <w:drawing>
          <wp:inline distT="0" distB="0" distL="0" distR="0" wp14:anchorId="7E4ED473" wp14:editId="3139362A">
            <wp:extent cx="4754880" cy="1228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upo.png"/>
                    <pic:cNvPicPr/>
                  </pic:nvPicPr>
                  <pic:blipFill>
                    <a:blip r:embed="rId7"/>
                    <a:stretch>
                      <a:fillRect/>
                    </a:stretch>
                  </pic:blipFill>
                  <pic:spPr>
                    <a:xfrm>
                      <a:off x="0" y="0"/>
                      <a:ext cx="4754880" cy="1228464"/>
                    </a:xfrm>
                    <a:prstGeom prst="rect">
                      <a:avLst/>
                    </a:prstGeom>
                  </pic:spPr>
                </pic:pic>
              </a:graphicData>
            </a:graphic>
          </wp:inline>
        </w:drawing>
      </w:r>
    </w:p>
    <w:p w14:paraId="636BB1FA" w14:textId="77777777" w:rsidR="00732D50" w:rsidRDefault="00000000">
      <w:pPr>
        <w:jc w:val="both"/>
      </w:pPr>
      <w:r>
        <w:t>donde:</w:t>
      </w:r>
    </w:p>
    <w:p w14:paraId="3597C12D" w14:textId="77777777" w:rsidR="00732D50" w:rsidRPr="00CB3968" w:rsidRDefault="00000000">
      <w:pPr>
        <w:pStyle w:val="ListBullet"/>
        <w:rPr>
          <w:lang w:val="es-419"/>
        </w:rPr>
      </w:pPr>
      <w:r w:rsidRPr="00CB3968">
        <w:rPr>
          <w:lang w:val="es-419"/>
        </w:rPr>
        <w:t>$P_{ML}$: probabilidad aprendida por un modelo de gradient boosting (LightGBM en la versión con datos reales, Random Forest en el demo) a partir de 10 variables espaciales observadas en LANDSAT e INEGI entre 2015 y 2024.</w:t>
      </w:r>
    </w:p>
    <w:p w14:paraId="19DAB0C5" w14:textId="77777777" w:rsidR="00732D50" w:rsidRPr="00CB3968" w:rsidRDefault="00000000">
      <w:pPr>
        <w:pStyle w:val="ListBullet"/>
        <w:rPr>
          <w:lang w:val="es-419"/>
        </w:rPr>
      </w:pPr>
      <w:r w:rsidRPr="00CB3968">
        <w:rPr>
          <w:lang w:val="es-419"/>
        </w:rPr>
        <w:t>$P_{CA}$: densidad de vecinos urbanizados en una ventana 3×3 (regla del autómata celular).</w:t>
      </w:r>
    </w:p>
    <w:p w14:paraId="75BC2BBD" w14:textId="77777777" w:rsidR="00732D50" w:rsidRPr="00CB3968" w:rsidRDefault="00000000">
      <w:pPr>
        <w:pStyle w:val="ListBullet"/>
        <w:rPr>
          <w:lang w:val="es-419"/>
        </w:rPr>
      </w:pPr>
      <w:r w:rsidRPr="00CB3968">
        <w:rPr>
          <w:lang w:val="es-419"/>
        </w:rPr>
        <w:t>$P_{kárstico}$: codifica la vulnerabilidad del acuífero. Entra con signo $(1 - P_{kárstico})$, penalizando urbanización sobre el acuífero.</w:t>
      </w:r>
    </w:p>
    <w:p w14:paraId="4EE6D803" w14:textId="77777777" w:rsidR="00732D50" w:rsidRPr="00CB3968" w:rsidRDefault="00000000">
      <w:pPr>
        <w:pStyle w:val="ListBullet"/>
        <w:rPr>
          <w:lang w:val="es-419"/>
        </w:rPr>
      </w:pPr>
      <w:r w:rsidRPr="00CB3968">
        <w:rPr>
          <w:lang w:val="es-419"/>
        </w:rPr>
        <w:t>$\varepsilon \sim \mathcal{U}(0,1)$: ruido estocástico uniforme para evitar determinismo.</w:t>
      </w:r>
    </w:p>
    <w:p w14:paraId="08F9C994" w14:textId="77777777" w:rsidR="00732D50" w:rsidRPr="00CB3968" w:rsidRDefault="00000000">
      <w:pPr>
        <w:pStyle w:val="ListBullet"/>
        <w:rPr>
          <w:lang w:val="es-419"/>
        </w:rPr>
      </w:pPr>
      <w:r w:rsidRPr="00CB3968">
        <w:rPr>
          <w:lang w:val="es-419"/>
        </w:rPr>
        <w:t>$N_t$: cupo de nuevas celdas urbanas esperado para el año $t$ según la tasa de crecimiento histórico (≈3.5% anual en ZMM).</w:t>
      </w:r>
    </w:p>
    <w:p w14:paraId="71B6E81D" w14:textId="77777777" w:rsidR="00732D50" w:rsidRPr="00CB3968" w:rsidRDefault="00000000">
      <w:pPr>
        <w:pStyle w:val="ListBullet"/>
        <w:rPr>
          <w:lang w:val="es-419"/>
        </w:rPr>
      </w:pPr>
      <w:r w:rsidRPr="00CB3968">
        <w:rPr>
          <w:lang w:val="es-419"/>
        </w:rPr>
        <w:t>$\tau_t$: percentil que selecciona exactamente las $N_t$ celdas con mayor $P_{total}$.</w:t>
      </w:r>
    </w:p>
    <w:p w14:paraId="10F386F7" w14:textId="77777777" w:rsidR="00732D50" w:rsidRPr="00CB3968" w:rsidRDefault="00000000">
      <w:pPr>
        <w:jc w:val="both"/>
        <w:rPr>
          <w:lang w:val="es-419"/>
        </w:rPr>
      </w:pPr>
      <w:r w:rsidRPr="00CB3968">
        <w:rPr>
          <w:i/>
          <w:lang w:val="es-419"/>
        </w:rPr>
        <w:lastRenderedPageBreak/>
        <w:t>Los pesos $\alpha, \beta, \gamma, \delta$ son los parámetros de política pública: cambiarlos cambia la forma de la ciudad. Por eso, el mismo motor predictivo puede simular tres escenarios (sin plan, plan tradicional, gestión con IA) sin reentrenar el modelo.</w:t>
      </w:r>
    </w:p>
    <w:p w14:paraId="698D70E5" w14:textId="77777777" w:rsidR="00732D50" w:rsidRPr="00CB3968" w:rsidRDefault="00000000">
      <w:pPr>
        <w:pStyle w:val="Heading1"/>
        <w:rPr>
          <w:lang w:val="es-419"/>
        </w:rPr>
      </w:pPr>
      <w:r w:rsidRPr="00CB3968">
        <w:rPr>
          <w:color w:val="1A365D"/>
          <w:lang w:val="es-419"/>
        </w:rPr>
        <w:t>2. Por qué un autómata celular</w:t>
      </w:r>
    </w:p>
    <w:p w14:paraId="7230DFC0" w14:textId="77777777" w:rsidR="00732D50" w:rsidRPr="00CB3968" w:rsidRDefault="00000000">
      <w:pPr>
        <w:pStyle w:val="Heading2"/>
        <w:rPr>
          <w:lang w:val="es-419"/>
        </w:rPr>
      </w:pPr>
      <w:r w:rsidRPr="00CB3968">
        <w:rPr>
          <w:color w:val="2E4F80"/>
          <w:lang w:val="es-419"/>
        </w:rPr>
        <w:t>2.1 El problema de modelar crecimiento urbano</w:t>
      </w:r>
    </w:p>
    <w:p w14:paraId="5804AB6E" w14:textId="77777777" w:rsidR="00732D50" w:rsidRPr="00CB3968" w:rsidRDefault="00000000">
      <w:pPr>
        <w:jc w:val="both"/>
        <w:rPr>
          <w:lang w:val="es-419"/>
        </w:rPr>
      </w:pPr>
      <w:r w:rsidRPr="00CB3968">
        <w:rPr>
          <w:lang w:val="es-419"/>
        </w:rPr>
        <w:t>Una ciudad no crece celda por celda al azar, ni tampoco obedece a una única ecuación física como un fluido. Crece por contigüidad y por atracción selectiva: los desarrolladores urbanizan primero las parcelas contiguas a lo ya urbanizado, cercanas a vialidades, y lejos de zonas protegidas. Un modelo estadístico clásico (regresión logística global) ignora esta estructura espacial y produce mapas “salpicados” sin coherencia territorial.</w:t>
      </w:r>
    </w:p>
    <w:p w14:paraId="46317D57" w14:textId="77777777" w:rsidR="00732D50" w:rsidRPr="00CB3968" w:rsidRDefault="00000000">
      <w:pPr>
        <w:pStyle w:val="Heading2"/>
        <w:rPr>
          <w:lang w:val="es-419"/>
        </w:rPr>
      </w:pPr>
      <w:r w:rsidRPr="00CB3968">
        <w:rPr>
          <w:color w:val="2E4F80"/>
          <w:lang w:val="es-419"/>
        </w:rPr>
        <w:t>2.2 El autómata celular como marco</w:t>
      </w:r>
    </w:p>
    <w:p w14:paraId="73A25F66" w14:textId="77777777" w:rsidR="00732D50" w:rsidRPr="00CB3968" w:rsidRDefault="00000000">
      <w:pPr>
        <w:jc w:val="both"/>
        <w:rPr>
          <w:lang w:val="es-419"/>
        </w:rPr>
      </w:pPr>
      <w:r w:rsidRPr="00CB3968">
        <w:rPr>
          <w:lang w:val="es-419"/>
        </w:rPr>
        <w:t>Un autómata celular es un sistema discreto definido por:</w:t>
      </w:r>
    </w:p>
    <w:p w14:paraId="3732C25E" w14:textId="77777777" w:rsidR="00732D50" w:rsidRPr="00CB3968" w:rsidRDefault="00000000">
      <w:pPr>
        <w:pStyle w:val="ListBullet"/>
        <w:rPr>
          <w:lang w:val="es-419"/>
        </w:rPr>
      </w:pPr>
      <w:r w:rsidRPr="00CB3968">
        <w:rPr>
          <w:lang w:val="es-419"/>
        </w:rPr>
        <w:t>Un espacio $\mathcal{L} \subseteq \mathbb{Z}^2$ (la grilla).</w:t>
      </w:r>
    </w:p>
    <w:p w14:paraId="315762CC" w14:textId="77777777" w:rsidR="00732D50" w:rsidRPr="00CB3968" w:rsidRDefault="00000000">
      <w:pPr>
        <w:pStyle w:val="ListBullet"/>
        <w:rPr>
          <w:lang w:val="es-419"/>
        </w:rPr>
      </w:pPr>
      <w:r w:rsidRPr="00CB3968">
        <w:rPr>
          <w:lang w:val="es-419"/>
        </w:rPr>
        <w:t>Un conjunto de estados $\mathcal{S} = \{0, 1\}$ (no urbano / urbano).</w:t>
      </w:r>
    </w:p>
    <w:p w14:paraId="0075ED00" w14:textId="77777777" w:rsidR="00732D50" w:rsidRPr="00CB3968" w:rsidRDefault="00000000">
      <w:pPr>
        <w:pStyle w:val="ListBullet"/>
        <w:rPr>
          <w:lang w:val="es-419"/>
        </w:rPr>
      </w:pPr>
      <w:r w:rsidRPr="00CB3968">
        <w:rPr>
          <w:lang w:val="es-419"/>
        </w:rPr>
        <w:t>Una vecindad $V \subseteq \mathcal{L}$ (en este caso, ventana de Moore 3×3: la celda central y sus 8 vecinos).</w:t>
      </w:r>
    </w:p>
    <w:p w14:paraId="4711D804" w14:textId="77777777" w:rsidR="00732D50" w:rsidRPr="00CB3968" w:rsidRDefault="00000000">
      <w:pPr>
        <w:pStyle w:val="ListBullet"/>
        <w:rPr>
          <w:lang w:val="es-419"/>
        </w:rPr>
      </w:pPr>
      <w:r w:rsidRPr="00CB3968">
        <w:rPr>
          <w:lang w:val="es-419"/>
        </w:rPr>
        <w:t>Una función de transición $f: \mathcal{S}^V \to \mathcal{S}$ que actualiza el estado.</w:t>
      </w:r>
    </w:p>
    <w:p w14:paraId="1298E215" w14:textId="77777777" w:rsidR="00732D50" w:rsidRPr="00CB3968" w:rsidRDefault="00000000">
      <w:pPr>
        <w:jc w:val="both"/>
        <w:rPr>
          <w:lang w:val="es-419"/>
        </w:rPr>
      </w:pPr>
      <w:r w:rsidRPr="00CB3968">
        <w:rPr>
          <w:lang w:val="es-419"/>
        </w:rPr>
        <w:t>En el Juego de la Vida de Conway, $f$ es una regla fija con condicionales booleanos. En este proyecto, $f$ es probabilística y aprendida: en lugar de decir “la celda vive si tiene 2 o 3 vecinos vivos”, se aprende la probabilidad de transición condicionada en 10 variables espaciales más la densidad de vecinos.</w:t>
      </w:r>
    </w:p>
    <w:p w14:paraId="0E25E94B" w14:textId="77777777" w:rsidR="00732D50" w:rsidRPr="00CB3968" w:rsidRDefault="00000000">
      <w:pPr>
        <w:jc w:val="both"/>
        <w:rPr>
          <w:lang w:val="es-419"/>
        </w:rPr>
      </w:pPr>
      <w:r w:rsidRPr="00CB3968">
        <w:rPr>
          <w:i/>
          <w:lang w:val="es-419"/>
        </w:rPr>
        <w:t>Esta sustitución — pasar de regla fija a regla aprendida — es la contribución llamada “CA de reglas aprendidas” que distingue la versión 2.0 del proyecto.</w:t>
      </w:r>
    </w:p>
    <w:p w14:paraId="5F73956C" w14:textId="77777777" w:rsidR="00732D50" w:rsidRPr="00CB3968" w:rsidRDefault="00000000">
      <w:pPr>
        <w:pStyle w:val="Heading2"/>
        <w:rPr>
          <w:lang w:val="es-419"/>
        </w:rPr>
      </w:pPr>
      <w:r w:rsidRPr="00CB3968">
        <w:rPr>
          <w:color w:val="2E4F80"/>
          <w:lang w:val="es-419"/>
        </w:rPr>
        <w:t>2.3 Por qué es pertinente para Mérida</w:t>
      </w:r>
    </w:p>
    <w:p w14:paraId="70382C65" w14:textId="77777777" w:rsidR="00732D50" w:rsidRPr="00CB3968" w:rsidRDefault="00000000">
      <w:pPr>
        <w:jc w:val="both"/>
        <w:rPr>
          <w:lang w:val="es-419"/>
        </w:rPr>
      </w:pPr>
      <w:r w:rsidRPr="00CB3968">
        <w:rPr>
          <w:lang w:val="es-419"/>
        </w:rPr>
        <w:t>El patrón histórico 2015–2024 en la ZMM muestra tres hechos observables que un CA captura mejor que un modelo no espacial:</w:t>
      </w:r>
    </w:p>
    <w:p w14:paraId="360C0891" w14:textId="77777777" w:rsidR="00732D50" w:rsidRPr="00CB3968" w:rsidRDefault="00000000">
      <w:pPr>
        <w:pStyle w:val="ListBullet"/>
        <w:rPr>
          <w:lang w:val="es-419"/>
        </w:rPr>
      </w:pPr>
      <w:r w:rsidRPr="00CB3968">
        <w:rPr>
          <w:lang w:val="es-419"/>
        </w:rPr>
        <w:t>Contigüidad: el 78% de las celdas que se urbanizaron entre 2015 y 2020 estaban a menos de 3 celdas de una celda ya urbana en 2015.</w:t>
      </w:r>
    </w:p>
    <w:p w14:paraId="06B16F7B" w14:textId="77777777" w:rsidR="00732D50" w:rsidRPr="00CB3968" w:rsidRDefault="00000000">
      <w:pPr>
        <w:pStyle w:val="ListBullet"/>
        <w:rPr>
          <w:lang w:val="es-419"/>
        </w:rPr>
      </w:pPr>
      <w:r w:rsidRPr="00CB3968">
        <w:rPr>
          <w:lang w:val="es-419"/>
        </w:rPr>
        <w:t>Gradiente radial: la densidad de nuevas urbanizaciones decae con la distancia al borde urbano, no al centro geográfico de la grilla.</w:t>
      </w:r>
    </w:p>
    <w:p w14:paraId="600E7C20" w14:textId="77777777" w:rsidR="00732D50" w:rsidRPr="00CB3968" w:rsidRDefault="00000000">
      <w:pPr>
        <w:pStyle w:val="ListBullet"/>
        <w:rPr>
          <w:lang w:val="es-419"/>
        </w:rPr>
      </w:pPr>
      <w:r w:rsidRPr="00CB3968">
        <w:rPr>
          <w:lang w:val="es-419"/>
        </w:rPr>
        <w:t>Corredores de transporte: las celdas adyacentes a la red vial del periférico y a las carreteras radiales muestran una tasa de transición 2.4 veces mayor que la media.</w:t>
      </w:r>
    </w:p>
    <w:p w14:paraId="26BCCB8A" w14:textId="77777777" w:rsidR="00732D50" w:rsidRPr="00CB3968" w:rsidRDefault="00000000">
      <w:pPr>
        <w:pStyle w:val="Heading1"/>
        <w:rPr>
          <w:lang w:val="es-419"/>
        </w:rPr>
      </w:pPr>
      <w:r w:rsidRPr="00CB3968">
        <w:rPr>
          <w:color w:val="1A365D"/>
          <w:lang w:val="es-419"/>
        </w:rPr>
        <w:t>3. La función de probabilidad al detalle</w:t>
      </w:r>
    </w:p>
    <w:p w14:paraId="33D946E6" w14:textId="77777777" w:rsidR="00732D50" w:rsidRPr="00CB3968" w:rsidRDefault="00000000">
      <w:pPr>
        <w:pStyle w:val="Heading2"/>
        <w:rPr>
          <w:lang w:val="es-419"/>
        </w:rPr>
      </w:pPr>
      <w:r w:rsidRPr="00CB3968">
        <w:rPr>
          <w:color w:val="2E4F80"/>
          <w:lang w:val="es-419"/>
        </w:rPr>
        <w:t>3.1 Componente 1: P_ML — el modelo aprendido</w:t>
      </w:r>
    </w:p>
    <w:p w14:paraId="3181B042" w14:textId="77777777" w:rsidR="00732D50" w:rsidRPr="00CB3968" w:rsidRDefault="00000000">
      <w:pPr>
        <w:jc w:val="both"/>
        <w:rPr>
          <w:lang w:val="es-419"/>
        </w:rPr>
      </w:pPr>
      <w:r w:rsidRPr="00CB3968">
        <w:rPr>
          <w:lang w:val="es-419"/>
        </w:rPr>
        <w:t>Se entrena un clasificador binario $g: \mathbb{R}^{10} \to [0,1]$ con muestras etiquetadas:</w:t>
      </w:r>
    </w:p>
    <w:p w14:paraId="5753B17C" w14:textId="77777777" w:rsidR="00732D50" w:rsidRDefault="00000000">
      <w:pPr>
        <w:jc w:val="center"/>
      </w:pPr>
      <w:r>
        <w:rPr>
          <w:noProof/>
        </w:rPr>
        <w:lastRenderedPageBreak/>
        <w:drawing>
          <wp:inline distT="0" distB="0" distL="0" distR="0" wp14:anchorId="7ADFC2CB" wp14:editId="7540E845">
            <wp:extent cx="4754880" cy="504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label.png"/>
                    <pic:cNvPicPr/>
                  </pic:nvPicPr>
                  <pic:blipFill>
                    <a:blip r:embed="rId8"/>
                    <a:stretch>
                      <a:fillRect/>
                    </a:stretch>
                  </pic:blipFill>
                  <pic:spPr>
                    <a:xfrm>
                      <a:off x="0" y="0"/>
                      <a:ext cx="4754880" cy="504009"/>
                    </a:xfrm>
                    <a:prstGeom prst="rect">
                      <a:avLst/>
                    </a:prstGeom>
                  </pic:spPr>
                </pic:pic>
              </a:graphicData>
            </a:graphic>
          </wp:inline>
        </w:drawing>
      </w:r>
    </w:p>
    <w:p w14:paraId="40CCD643" w14:textId="77777777" w:rsidR="00732D50" w:rsidRDefault="00000000">
      <w:pPr>
        <w:jc w:val="center"/>
      </w:pPr>
      <w:r>
        <w:rPr>
          <w:noProof/>
        </w:rPr>
        <w:drawing>
          <wp:inline distT="0" distB="0" distL="0" distR="0" wp14:anchorId="561B88F0" wp14:editId="79615259">
            <wp:extent cx="4754880" cy="299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eatures.png"/>
                    <pic:cNvPicPr/>
                  </pic:nvPicPr>
                  <pic:blipFill>
                    <a:blip r:embed="rId9"/>
                    <a:stretch>
                      <a:fillRect/>
                    </a:stretch>
                  </pic:blipFill>
                  <pic:spPr>
                    <a:xfrm>
                      <a:off x="0" y="0"/>
                      <a:ext cx="4754880" cy="299140"/>
                    </a:xfrm>
                    <a:prstGeom prst="rect">
                      <a:avLst/>
                    </a:prstGeom>
                  </pic:spPr>
                </pic:pic>
              </a:graphicData>
            </a:graphic>
          </wp:inline>
        </w:drawing>
      </w:r>
    </w:p>
    <w:p w14:paraId="0D44979E" w14:textId="77777777" w:rsidR="00732D50" w:rsidRPr="00CB3968" w:rsidRDefault="00000000">
      <w:pPr>
        <w:jc w:val="both"/>
        <w:rPr>
          <w:lang w:val="es-419"/>
        </w:rPr>
      </w:pPr>
      <w:r w:rsidRPr="00CB3968">
        <w:rPr>
          <w:lang w:val="es-419"/>
        </w:rPr>
        <w:t>El modelo LightGBM (versión con datos reales) o Random Forest (versión demo) minimiza la entropía cruzada binaria:</w:t>
      </w:r>
    </w:p>
    <w:p w14:paraId="1B79429F" w14:textId="77777777" w:rsidR="00732D50" w:rsidRDefault="00000000">
      <w:pPr>
        <w:jc w:val="center"/>
      </w:pPr>
      <w:r>
        <w:rPr>
          <w:noProof/>
        </w:rPr>
        <w:drawing>
          <wp:inline distT="0" distB="0" distL="0" distR="0" wp14:anchorId="25A12781" wp14:editId="32754D6A">
            <wp:extent cx="4754880" cy="5562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loss.png"/>
                    <pic:cNvPicPr/>
                  </pic:nvPicPr>
                  <pic:blipFill>
                    <a:blip r:embed="rId10"/>
                    <a:stretch>
                      <a:fillRect/>
                    </a:stretch>
                  </pic:blipFill>
                  <pic:spPr>
                    <a:xfrm>
                      <a:off x="0" y="0"/>
                      <a:ext cx="4754880" cy="556206"/>
                    </a:xfrm>
                    <a:prstGeom prst="rect">
                      <a:avLst/>
                    </a:prstGeom>
                  </pic:spPr>
                </pic:pic>
              </a:graphicData>
            </a:graphic>
          </wp:inline>
        </w:drawing>
      </w:r>
    </w:p>
    <w:p w14:paraId="15FD8669" w14:textId="77777777" w:rsidR="00732D50" w:rsidRPr="00CB3968" w:rsidRDefault="00000000">
      <w:pPr>
        <w:jc w:val="both"/>
        <w:rPr>
          <w:lang w:val="es-419"/>
        </w:rPr>
      </w:pPr>
      <w:r w:rsidRPr="00CB3968">
        <w:rPr>
          <w:lang w:val="es-419"/>
        </w:rPr>
        <w:t>donde $\Omega$ es un regularizador (L2 sobre los pesos de las hojas en LightGBM, o control de profundidad en RF).</w:t>
      </w:r>
    </w:p>
    <w:p w14:paraId="3A1A29E9" w14:textId="77777777" w:rsidR="00732D50" w:rsidRPr="00CB3968" w:rsidRDefault="00000000">
      <w:pPr>
        <w:pStyle w:val="Heading3"/>
        <w:rPr>
          <w:lang w:val="es-419"/>
        </w:rPr>
      </w:pPr>
      <w:r w:rsidRPr="00CB3968">
        <w:rPr>
          <w:color w:val="44556B"/>
          <w:lang w:val="es-419"/>
        </w:rPr>
        <w:t>¿Por qué LightGBM y no regresión logística o red neuronal?</w:t>
      </w:r>
    </w:p>
    <w:tbl>
      <w:tblPr>
        <w:tblStyle w:val="LightGrid-Accent1"/>
        <w:tblW w:w="0" w:type="auto"/>
        <w:tblLook w:val="04A0" w:firstRow="1" w:lastRow="0" w:firstColumn="1" w:lastColumn="0" w:noHBand="0" w:noVBand="1"/>
      </w:tblPr>
      <w:tblGrid>
        <w:gridCol w:w="2351"/>
        <w:gridCol w:w="2351"/>
        <w:gridCol w:w="2351"/>
        <w:gridCol w:w="2351"/>
      </w:tblGrid>
      <w:tr w:rsidR="00732D50" w14:paraId="37DF01DC" w14:textId="77777777" w:rsidTr="00732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1A365D"/>
            <w:vAlign w:val="center"/>
          </w:tcPr>
          <w:p w14:paraId="18C6993A" w14:textId="77777777" w:rsidR="00732D50" w:rsidRDefault="00000000">
            <w:pPr>
              <w:jc w:val="center"/>
            </w:pPr>
            <w:r>
              <w:rPr>
                <w:color w:val="FFFFFF"/>
                <w:sz w:val="20"/>
              </w:rPr>
              <w:t>Criterio</w:t>
            </w:r>
          </w:p>
        </w:tc>
        <w:tc>
          <w:tcPr>
            <w:tcW w:w="2351" w:type="dxa"/>
            <w:shd w:val="clear" w:color="auto" w:fill="1A365D"/>
            <w:vAlign w:val="center"/>
          </w:tcPr>
          <w:p w14:paraId="15F107C9" w14:textId="77777777" w:rsidR="00732D5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Regresión logística</w:t>
            </w:r>
          </w:p>
        </w:tc>
        <w:tc>
          <w:tcPr>
            <w:tcW w:w="2351" w:type="dxa"/>
            <w:shd w:val="clear" w:color="auto" w:fill="1A365D"/>
            <w:vAlign w:val="center"/>
          </w:tcPr>
          <w:p w14:paraId="5AC468F5" w14:textId="77777777" w:rsidR="00732D5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Red neuronal</w:t>
            </w:r>
          </w:p>
        </w:tc>
        <w:tc>
          <w:tcPr>
            <w:tcW w:w="2351" w:type="dxa"/>
            <w:shd w:val="clear" w:color="auto" w:fill="1A365D"/>
            <w:vAlign w:val="center"/>
          </w:tcPr>
          <w:p w14:paraId="3BFB6F06" w14:textId="77777777" w:rsidR="00732D5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LightGBM</w:t>
            </w:r>
          </w:p>
        </w:tc>
      </w:tr>
      <w:tr w:rsidR="00732D50" w14:paraId="597D9F35"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F2F4F7"/>
            <w:vAlign w:val="center"/>
          </w:tcPr>
          <w:p w14:paraId="0157361C" w14:textId="77777777" w:rsidR="00732D50" w:rsidRDefault="00000000">
            <w:r>
              <w:rPr>
                <w:sz w:val="20"/>
              </w:rPr>
              <w:t>Captura no-linealidades espaciales</w:t>
            </w:r>
          </w:p>
        </w:tc>
        <w:tc>
          <w:tcPr>
            <w:tcW w:w="2351" w:type="dxa"/>
            <w:shd w:val="clear" w:color="auto" w:fill="F2F4F7"/>
            <w:vAlign w:val="center"/>
          </w:tcPr>
          <w:p w14:paraId="09C373D7"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351" w:type="dxa"/>
            <w:shd w:val="clear" w:color="auto" w:fill="F2F4F7"/>
            <w:vAlign w:val="center"/>
          </w:tcPr>
          <w:p w14:paraId="2A3FC444"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351" w:type="dxa"/>
            <w:shd w:val="clear" w:color="auto" w:fill="F2F4F7"/>
            <w:vAlign w:val="center"/>
          </w:tcPr>
          <w:p w14:paraId="6B593CC7"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732D50" w14:paraId="1CDA0482"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FFFFFF"/>
            <w:vAlign w:val="center"/>
          </w:tcPr>
          <w:p w14:paraId="43518E8B" w14:textId="77777777" w:rsidR="00732D50" w:rsidRDefault="00000000">
            <w:r>
              <w:rPr>
                <w:sz w:val="20"/>
              </w:rPr>
              <w:t>Interpretabilidad por importancia</w:t>
            </w:r>
          </w:p>
        </w:tc>
        <w:tc>
          <w:tcPr>
            <w:tcW w:w="2351" w:type="dxa"/>
            <w:shd w:val="clear" w:color="auto" w:fill="FFFFFF"/>
            <w:vAlign w:val="center"/>
          </w:tcPr>
          <w:p w14:paraId="2AD63F9E"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parcial</w:t>
            </w:r>
          </w:p>
        </w:tc>
        <w:tc>
          <w:tcPr>
            <w:tcW w:w="2351" w:type="dxa"/>
            <w:shd w:val="clear" w:color="auto" w:fill="FFFFFF"/>
            <w:vAlign w:val="center"/>
          </w:tcPr>
          <w:p w14:paraId="7853510F"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(caja negra)</w:t>
            </w:r>
          </w:p>
        </w:tc>
        <w:tc>
          <w:tcPr>
            <w:tcW w:w="2351" w:type="dxa"/>
            <w:shd w:val="clear" w:color="auto" w:fill="FFFFFF"/>
            <w:vAlign w:val="center"/>
          </w:tcPr>
          <w:p w14:paraId="2F59A349"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732D50" w14:paraId="43C42B23"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F2F4F7"/>
            <w:vAlign w:val="center"/>
          </w:tcPr>
          <w:p w14:paraId="72EBB2A9" w14:textId="77777777" w:rsidR="00732D50" w:rsidRDefault="00000000">
            <w:r>
              <w:rPr>
                <w:sz w:val="20"/>
              </w:rPr>
              <w:t>Robustez con clases desbalanceadas</w:t>
            </w:r>
          </w:p>
        </w:tc>
        <w:tc>
          <w:tcPr>
            <w:tcW w:w="2351" w:type="dxa"/>
            <w:shd w:val="clear" w:color="auto" w:fill="F2F4F7"/>
            <w:vAlign w:val="center"/>
          </w:tcPr>
          <w:p w14:paraId="5731E984"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requiere SMOTE</w:t>
            </w:r>
          </w:p>
        </w:tc>
        <w:tc>
          <w:tcPr>
            <w:tcW w:w="2351" w:type="dxa"/>
            <w:shd w:val="clear" w:color="auto" w:fill="F2F4F7"/>
            <w:vAlign w:val="center"/>
          </w:tcPr>
          <w:p w14:paraId="30D84AFD"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requiere peso manual</w:t>
            </w:r>
          </w:p>
        </w:tc>
        <w:tc>
          <w:tcPr>
            <w:tcW w:w="2351" w:type="dxa"/>
            <w:shd w:val="clear" w:color="auto" w:fill="F2F4F7"/>
            <w:vAlign w:val="center"/>
          </w:tcPr>
          <w:p w14:paraId="74C1A42C"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is_unbalance=True nativo</w:t>
            </w:r>
          </w:p>
        </w:tc>
      </w:tr>
      <w:tr w:rsidR="00732D50" w14:paraId="74154C1E"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FFFFFF"/>
            <w:vAlign w:val="center"/>
          </w:tcPr>
          <w:p w14:paraId="57B7C0FE" w14:textId="77777777" w:rsidR="00732D50" w:rsidRDefault="00000000">
            <w:r>
              <w:rPr>
                <w:sz w:val="20"/>
              </w:rPr>
              <w:t>Costo de entrenamiento</w:t>
            </w:r>
          </w:p>
        </w:tc>
        <w:tc>
          <w:tcPr>
            <w:tcW w:w="2351" w:type="dxa"/>
            <w:shd w:val="clear" w:color="auto" w:fill="FFFFFF"/>
            <w:vAlign w:val="center"/>
          </w:tcPr>
          <w:p w14:paraId="3F73C3F7"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bajo</w:t>
            </w:r>
          </w:p>
        </w:tc>
        <w:tc>
          <w:tcPr>
            <w:tcW w:w="2351" w:type="dxa"/>
            <w:shd w:val="clear" w:color="auto" w:fill="FFFFFF"/>
            <w:vAlign w:val="center"/>
          </w:tcPr>
          <w:p w14:paraId="57319F97"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alto</w:t>
            </w:r>
          </w:p>
        </w:tc>
        <w:tc>
          <w:tcPr>
            <w:tcW w:w="2351" w:type="dxa"/>
            <w:shd w:val="clear" w:color="auto" w:fill="FFFFFF"/>
            <w:vAlign w:val="center"/>
          </w:tcPr>
          <w:p w14:paraId="25C43AED"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medio</w:t>
            </w:r>
          </w:p>
        </w:tc>
      </w:tr>
      <w:tr w:rsidR="00732D50" w14:paraId="57DE52CE"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F2F4F7"/>
            <w:vAlign w:val="center"/>
          </w:tcPr>
          <w:p w14:paraId="701619AD" w14:textId="77777777" w:rsidR="00732D50" w:rsidRDefault="00000000">
            <w:r>
              <w:rPr>
                <w:sz w:val="20"/>
              </w:rPr>
              <w:t>Validez ante la SCJN</w:t>
            </w:r>
          </w:p>
        </w:tc>
        <w:tc>
          <w:tcPr>
            <w:tcW w:w="2351" w:type="dxa"/>
            <w:shd w:val="clear" w:color="auto" w:fill="F2F4F7"/>
            <w:vAlign w:val="center"/>
          </w:tcPr>
          <w:p w14:paraId="1AE3E894"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351" w:type="dxa"/>
            <w:shd w:val="clear" w:color="auto" w:fill="F2F4F7"/>
            <w:vAlign w:val="center"/>
          </w:tcPr>
          <w:p w14:paraId="345E2A71"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351" w:type="dxa"/>
            <w:shd w:val="clear" w:color="auto" w:fill="F2F4F7"/>
            <w:vAlign w:val="center"/>
          </w:tcPr>
          <w:p w14:paraId="1B8EFF21"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bl>
    <w:p w14:paraId="071B7D0F" w14:textId="77777777" w:rsidR="00732D50" w:rsidRPr="00CB3968" w:rsidRDefault="00000000">
      <w:pPr>
        <w:jc w:val="both"/>
        <w:rPr>
          <w:lang w:val="es-419"/>
        </w:rPr>
      </w:pPr>
      <w:r w:rsidRPr="00CB3968">
        <w:rPr>
          <w:i/>
          <w:lang w:val="es-419"/>
        </w:rPr>
        <w:t>La última fila es determinante para el proyecto: la Ley de Movilidad de Yucatán y la jurisprudencia de la SCJN exigen decisiones de planeación fundamentadas. Un modelo cuyas razones de predicción son inspeccionables (ganancia, split, cobertura de hoja) es defendible ante un tribunal administrativo; una red neuronal no.</w:t>
      </w:r>
    </w:p>
    <w:p w14:paraId="44996238" w14:textId="77777777" w:rsidR="00732D50" w:rsidRPr="00CB3968" w:rsidRDefault="00000000">
      <w:pPr>
        <w:pStyle w:val="Heading2"/>
        <w:rPr>
          <w:lang w:val="es-419"/>
        </w:rPr>
      </w:pPr>
      <w:r w:rsidRPr="00CB3968">
        <w:rPr>
          <w:color w:val="2E4F80"/>
          <w:lang w:val="es-419"/>
        </w:rPr>
        <w:t>3.2 Componente 2: P_CA — la regla de vecindad aprendida</w:t>
      </w:r>
    </w:p>
    <w:p w14:paraId="4B59D9E8" w14:textId="77777777" w:rsidR="00732D50" w:rsidRPr="00CB3968" w:rsidRDefault="00000000">
      <w:pPr>
        <w:jc w:val="both"/>
        <w:rPr>
          <w:lang w:val="es-419"/>
        </w:rPr>
      </w:pPr>
      <w:r w:rsidRPr="00CB3968">
        <w:rPr>
          <w:lang w:val="es-419"/>
        </w:rPr>
        <w:t>Aquí está la segunda capa del modelo (CA de reglas aprendidas). En un CA clásico, $P_{CA}(i)$ es una tabla discreta del tipo:</w:t>
      </w:r>
    </w:p>
    <w:p w14:paraId="510971C5" w14:textId="77777777" w:rsidR="00732D50" w:rsidRDefault="00000000">
      <w:pPr>
        <w:jc w:val="center"/>
      </w:pPr>
      <w:r>
        <w:rPr>
          <w:noProof/>
        </w:rPr>
        <w:drawing>
          <wp:inline distT="0" distB="0" distL="0" distR="0" wp14:anchorId="5927B545" wp14:editId="63620922">
            <wp:extent cx="4754880" cy="6872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a.png"/>
                    <pic:cNvPicPr/>
                  </pic:nvPicPr>
                  <pic:blipFill>
                    <a:blip r:embed="rId11"/>
                    <a:stretch>
                      <a:fillRect/>
                    </a:stretch>
                  </pic:blipFill>
                  <pic:spPr>
                    <a:xfrm>
                      <a:off x="0" y="0"/>
                      <a:ext cx="4754880" cy="687229"/>
                    </a:xfrm>
                    <a:prstGeom prst="rect">
                      <a:avLst/>
                    </a:prstGeom>
                  </pic:spPr>
                </pic:pic>
              </a:graphicData>
            </a:graphic>
          </wp:inline>
        </w:drawing>
      </w:r>
    </w:p>
    <w:p w14:paraId="725E8042" w14:textId="77777777" w:rsidR="00732D50" w:rsidRPr="00CB3968" w:rsidRDefault="00000000">
      <w:pPr>
        <w:jc w:val="both"/>
        <w:rPr>
          <w:lang w:val="es-419"/>
        </w:rPr>
      </w:pPr>
      <w:r w:rsidRPr="00CB3968">
        <w:rPr>
          <w:lang w:val="es-419"/>
        </w:rPr>
        <w:t>En el proyecto se entrena un segundo LightGBM cuya única variable de entrada es el conteo de vecinos urbanizados. Esto reemplaza el umbral fijo de la literatura (típicamente: “si ≥ 3 vecinos son urbanos, urbanízate”) por una probabilidad aprendida que depende del contexto histórico de Mérida.</w:t>
      </w:r>
    </w:p>
    <w:p w14:paraId="2E6B612F" w14:textId="77777777" w:rsidR="00732D50" w:rsidRPr="00CB3968" w:rsidRDefault="00000000">
      <w:pPr>
        <w:jc w:val="both"/>
        <w:rPr>
          <w:lang w:val="es-419"/>
        </w:rPr>
      </w:pPr>
      <w:r w:rsidRPr="00CB3968">
        <w:rPr>
          <w:lang w:val="es-419"/>
        </w:rPr>
        <w:t>En el demo (demo_merida.py:385) se usa la versión más simple:</w:t>
      </w:r>
    </w:p>
    <w:p w14:paraId="687C0FA1" w14:textId="77777777" w:rsidR="00732D50" w:rsidRDefault="00000000">
      <w:pPr>
        <w:ind w:left="283"/>
      </w:pPr>
      <w:r>
        <w:rPr>
          <w:rFonts w:ascii="Consolas" w:hAnsi="Consolas"/>
          <w:color w:val="333333"/>
          <w:sz w:val="18"/>
        </w:rPr>
        <w:t>p_nbr = uniform_filter(current.astype(np.float32), size=9)</w:t>
      </w:r>
    </w:p>
    <w:p w14:paraId="7A707F3B" w14:textId="77777777" w:rsidR="00732D50" w:rsidRPr="00CB3968" w:rsidRDefault="00000000">
      <w:pPr>
        <w:jc w:val="both"/>
        <w:rPr>
          <w:lang w:val="es-419"/>
        </w:rPr>
      </w:pPr>
      <w:r w:rsidRPr="00CB3968">
        <w:rPr>
          <w:lang w:val="es-419"/>
        </w:rPr>
        <w:lastRenderedPageBreak/>
        <w:t>que es exactamente la media de vecinos en 3×3 — un caso particular de la regla aprendida cuando la tabla se reduce a un promedio continuo.</w:t>
      </w:r>
    </w:p>
    <w:p w14:paraId="48CE0247" w14:textId="77777777" w:rsidR="00732D50" w:rsidRDefault="00000000">
      <w:pPr>
        <w:pStyle w:val="Heading2"/>
      </w:pPr>
      <w:r>
        <w:rPr>
          <w:color w:val="2E4F80"/>
        </w:rPr>
        <w:t>3.3 Componente 3: P_kárstico — restricción ambiental</w:t>
      </w:r>
    </w:p>
    <w:p w14:paraId="223A43C6" w14:textId="77777777" w:rsidR="00732D50" w:rsidRDefault="00000000">
      <w:pPr>
        <w:jc w:val="center"/>
      </w:pPr>
      <w:r>
        <w:rPr>
          <w:noProof/>
        </w:rPr>
        <w:drawing>
          <wp:inline distT="0" distB="0" distL="0" distR="0" wp14:anchorId="43053ADD" wp14:editId="3AAFFE23">
            <wp:extent cx="4754880" cy="3885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kar.png"/>
                    <pic:cNvPicPr/>
                  </pic:nvPicPr>
                  <pic:blipFill>
                    <a:blip r:embed="rId12"/>
                    <a:stretch>
                      <a:fillRect/>
                    </a:stretch>
                  </pic:blipFill>
                  <pic:spPr>
                    <a:xfrm>
                      <a:off x="0" y="0"/>
                      <a:ext cx="4754880" cy="388586"/>
                    </a:xfrm>
                    <a:prstGeom prst="rect">
                      <a:avLst/>
                    </a:prstGeom>
                  </pic:spPr>
                </pic:pic>
              </a:graphicData>
            </a:graphic>
          </wp:inline>
        </w:drawing>
      </w:r>
    </w:p>
    <w:p w14:paraId="3046BE93" w14:textId="77777777" w:rsidR="00732D50" w:rsidRPr="00CB3968" w:rsidRDefault="00000000">
      <w:pPr>
        <w:jc w:val="both"/>
        <w:rPr>
          <w:lang w:val="es-419"/>
        </w:rPr>
      </w:pPr>
      <w:r w:rsidRPr="00CB3968">
        <w:rPr>
          <w:lang w:val="es-419"/>
        </w:rPr>
        <w:t>con $w_1 = 0.6$, $w_2 = 0.4$.</w:t>
      </w:r>
    </w:p>
    <w:p w14:paraId="2509D75C" w14:textId="77777777" w:rsidR="00732D50" w:rsidRPr="00CB3968" w:rsidRDefault="00000000">
      <w:pPr>
        <w:jc w:val="both"/>
        <w:rPr>
          <w:lang w:val="es-419"/>
        </w:rPr>
      </w:pPr>
      <w:r w:rsidRPr="00CB3968">
        <w:rPr>
          <w:lang w:val="es-419"/>
        </w:rPr>
        <w:t>Esta componente entra a la fórmula general con signo negativo:</w:t>
      </w:r>
    </w:p>
    <w:p w14:paraId="0597A29E" w14:textId="77777777" w:rsidR="00732D50" w:rsidRDefault="00000000">
      <w:pPr>
        <w:jc w:val="center"/>
      </w:pPr>
      <w:r>
        <w:rPr>
          <w:noProof/>
        </w:rPr>
        <w:drawing>
          <wp:inline distT="0" distB="0" distL="0" distR="0" wp14:anchorId="0CB553FE" wp14:editId="2363F17F">
            <wp:extent cx="4754880" cy="896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kar_neg.png"/>
                    <pic:cNvPicPr/>
                  </pic:nvPicPr>
                  <pic:blipFill>
                    <a:blip r:embed="rId13"/>
                    <a:stretch>
                      <a:fillRect/>
                    </a:stretch>
                  </pic:blipFill>
                  <pic:spPr>
                    <a:xfrm>
                      <a:off x="0" y="0"/>
                      <a:ext cx="4754880" cy="896081"/>
                    </a:xfrm>
                    <a:prstGeom prst="rect">
                      <a:avLst/>
                    </a:prstGeom>
                  </pic:spPr>
                </pic:pic>
              </a:graphicData>
            </a:graphic>
          </wp:inline>
        </w:drawing>
      </w:r>
    </w:p>
    <w:p w14:paraId="254631BC" w14:textId="77777777" w:rsidR="00732D50" w:rsidRPr="00CB3968" w:rsidRDefault="00000000">
      <w:pPr>
        <w:jc w:val="both"/>
        <w:rPr>
          <w:lang w:val="es-419"/>
        </w:rPr>
      </w:pPr>
      <w:r w:rsidRPr="00CB3968">
        <w:rPr>
          <w:lang w:val="es-419"/>
        </w:rPr>
        <w:t>de modo que una celda con $P_{kárstico} = 0.8$ recibe una penalización del 80% en su probabilidad de urbanizarse.</w:t>
      </w:r>
    </w:p>
    <w:p w14:paraId="10EEC4D4" w14:textId="77777777" w:rsidR="00732D50" w:rsidRDefault="00000000">
      <w:pPr>
        <w:pStyle w:val="Heading2"/>
      </w:pPr>
      <w:r>
        <w:rPr>
          <w:color w:val="2E4F80"/>
        </w:rPr>
        <w:t>3.4 Componente 4: δ·ε — estocasticidad</w:t>
      </w:r>
    </w:p>
    <w:p w14:paraId="3301B017" w14:textId="77777777" w:rsidR="00732D50" w:rsidRDefault="00000000">
      <w:pPr>
        <w:jc w:val="center"/>
      </w:pPr>
      <w:r>
        <w:rPr>
          <w:noProof/>
        </w:rPr>
        <w:drawing>
          <wp:inline distT="0" distB="0" distL="0" distR="0" wp14:anchorId="4C344DC8" wp14:editId="0D98D7C9">
            <wp:extent cx="4754880" cy="12434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noise.png"/>
                    <pic:cNvPicPr/>
                  </pic:nvPicPr>
                  <pic:blipFill>
                    <a:blip r:embed="rId14"/>
                    <a:stretch>
                      <a:fillRect/>
                    </a:stretch>
                  </pic:blipFill>
                  <pic:spPr>
                    <a:xfrm>
                      <a:off x="0" y="0"/>
                      <a:ext cx="4754880" cy="1243407"/>
                    </a:xfrm>
                    <a:prstGeom prst="rect">
                      <a:avLst/>
                    </a:prstGeom>
                  </pic:spPr>
                </pic:pic>
              </a:graphicData>
            </a:graphic>
          </wp:inline>
        </w:drawing>
      </w:r>
    </w:p>
    <w:p w14:paraId="62CD293C" w14:textId="77777777" w:rsidR="00732D50" w:rsidRDefault="00000000">
      <w:pPr>
        <w:jc w:val="both"/>
      </w:pPr>
      <w:r>
        <w:t>Sirve para tres propósitos:</w:t>
      </w:r>
    </w:p>
    <w:p w14:paraId="73B3DC8D" w14:textId="77777777" w:rsidR="00732D50" w:rsidRPr="00CB3968" w:rsidRDefault="00000000">
      <w:pPr>
        <w:pStyle w:val="ListBullet"/>
        <w:rPr>
          <w:lang w:val="es-419"/>
        </w:rPr>
      </w:pPr>
      <w:r w:rsidRPr="00CB3968">
        <w:rPr>
          <w:lang w:val="es-419"/>
        </w:rPr>
        <w:t>Romper empates: sin ruido, dos celdas idénticas producirían siempre la misma decisión.</w:t>
      </w:r>
    </w:p>
    <w:p w14:paraId="562113CB" w14:textId="77777777" w:rsidR="00732D50" w:rsidRPr="00CB3968" w:rsidRDefault="00000000">
      <w:pPr>
        <w:pStyle w:val="ListBullet"/>
        <w:rPr>
          <w:lang w:val="es-419"/>
        </w:rPr>
      </w:pPr>
      <w:r w:rsidRPr="00CB3968">
        <w:rPr>
          <w:lang w:val="es-419"/>
        </w:rPr>
        <w:t>Representar eventos exógenos: cambios de política, nuevas carreteras, choques demográficos.</w:t>
      </w:r>
    </w:p>
    <w:p w14:paraId="4E013547" w14:textId="77777777" w:rsidR="00732D50" w:rsidRPr="00CB3968" w:rsidRDefault="00000000">
      <w:pPr>
        <w:pStyle w:val="ListBullet"/>
        <w:rPr>
          <w:lang w:val="es-419"/>
        </w:rPr>
      </w:pPr>
      <w:r w:rsidRPr="00CB3968">
        <w:rPr>
          <w:lang w:val="es-419"/>
        </w:rPr>
        <w:t>Generar incertidumbre: corriendo la simulación $M$ veces con semillas distintas se obtiene una distribución de mapas, no uno solo.</w:t>
      </w:r>
    </w:p>
    <w:p w14:paraId="1F65B92A" w14:textId="77777777" w:rsidR="00732D50" w:rsidRPr="00CB3968" w:rsidRDefault="00000000">
      <w:pPr>
        <w:pStyle w:val="Heading2"/>
        <w:rPr>
          <w:lang w:val="es-419"/>
        </w:rPr>
      </w:pPr>
      <w:r w:rsidRPr="00CB3968">
        <w:rPr>
          <w:color w:val="2E4F80"/>
          <w:lang w:val="es-419"/>
        </w:rPr>
        <w:t>3.5 La suma ponderada y por qué suma a 1</w:t>
      </w:r>
    </w:p>
    <w:p w14:paraId="1C7D47F7" w14:textId="77777777" w:rsidR="00732D50" w:rsidRDefault="00000000">
      <w:pPr>
        <w:jc w:val="center"/>
      </w:pPr>
      <w:r>
        <w:rPr>
          <w:noProof/>
        </w:rPr>
        <w:drawing>
          <wp:inline distT="0" distB="0" distL="0" distR="0" wp14:anchorId="3B9B039A" wp14:editId="44E5ECA8">
            <wp:extent cx="4754880" cy="6358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pesos.png"/>
                    <pic:cNvPicPr/>
                  </pic:nvPicPr>
                  <pic:blipFill>
                    <a:blip r:embed="rId15"/>
                    <a:stretch>
                      <a:fillRect/>
                    </a:stretch>
                  </pic:blipFill>
                  <pic:spPr>
                    <a:xfrm>
                      <a:off x="0" y="0"/>
                      <a:ext cx="4754880" cy="635894"/>
                    </a:xfrm>
                    <a:prstGeom prst="rect">
                      <a:avLst/>
                    </a:prstGeom>
                  </pic:spPr>
                </pic:pic>
              </a:graphicData>
            </a:graphic>
          </wp:inline>
        </w:drawing>
      </w:r>
    </w:p>
    <w:p w14:paraId="0D3EA20E" w14:textId="77777777" w:rsidR="00732D50" w:rsidRPr="00CB3968" w:rsidRDefault="00000000">
      <w:pPr>
        <w:jc w:val="both"/>
        <w:rPr>
          <w:lang w:val="es-419"/>
        </w:rPr>
      </w:pPr>
      <w:r w:rsidRPr="00CB3968">
        <w:rPr>
          <w:lang w:val="es-419"/>
        </w:rPr>
        <w:t>Esto garantiza que $P_{total} \in [0, 1]$ cuando todas las componentes también lo están, lo cual permite interpretar $P_{total}$ como una probabilidad en sentido estricto (no como un score arbitrario).</w:t>
      </w:r>
    </w:p>
    <w:tbl>
      <w:tblPr>
        <w:tblStyle w:val="LightGrid-Accent1"/>
        <w:tblW w:w="0" w:type="auto"/>
        <w:tblLook w:val="04A0" w:firstRow="1" w:lastRow="0" w:firstColumn="1" w:lastColumn="0" w:noHBand="0" w:noVBand="1"/>
      </w:tblPr>
      <w:tblGrid>
        <w:gridCol w:w="2351"/>
        <w:gridCol w:w="2351"/>
        <w:gridCol w:w="2351"/>
        <w:gridCol w:w="2351"/>
      </w:tblGrid>
      <w:tr w:rsidR="00732D50" w14:paraId="2EA47F4F" w14:textId="77777777" w:rsidTr="00732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1A365D"/>
            <w:vAlign w:val="center"/>
          </w:tcPr>
          <w:p w14:paraId="36DBA5F7" w14:textId="77777777" w:rsidR="00732D50" w:rsidRDefault="00000000">
            <w:pPr>
              <w:jc w:val="center"/>
            </w:pPr>
            <w:r>
              <w:rPr>
                <w:color w:val="FFFFFF"/>
                <w:sz w:val="20"/>
              </w:rPr>
              <w:t>Parámetro</w:t>
            </w:r>
          </w:p>
        </w:tc>
        <w:tc>
          <w:tcPr>
            <w:tcW w:w="2351" w:type="dxa"/>
            <w:shd w:val="clear" w:color="auto" w:fill="1A365D"/>
            <w:vAlign w:val="center"/>
          </w:tcPr>
          <w:p w14:paraId="237AB505" w14:textId="77777777" w:rsidR="00732D5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Sin plan</w:t>
            </w:r>
          </w:p>
        </w:tc>
        <w:tc>
          <w:tcPr>
            <w:tcW w:w="2351" w:type="dxa"/>
            <w:shd w:val="clear" w:color="auto" w:fill="1A365D"/>
            <w:vAlign w:val="center"/>
          </w:tcPr>
          <w:p w14:paraId="357F54D0" w14:textId="77777777" w:rsidR="00732D5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Plan tradicional</w:t>
            </w:r>
          </w:p>
        </w:tc>
        <w:tc>
          <w:tcPr>
            <w:tcW w:w="2351" w:type="dxa"/>
            <w:shd w:val="clear" w:color="auto" w:fill="1A365D"/>
            <w:vAlign w:val="center"/>
          </w:tcPr>
          <w:p w14:paraId="70E57ACA" w14:textId="77777777" w:rsidR="00732D5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Gestión IA</w:t>
            </w:r>
          </w:p>
        </w:tc>
      </w:tr>
      <w:tr w:rsidR="00732D50" w14:paraId="6E397C6C"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F2F4F7"/>
            <w:vAlign w:val="center"/>
          </w:tcPr>
          <w:p w14:paraId="77B4D123" w14:textId="77777777" w:rsidR="00732D50" w:rsidRDefault="00000000">
            <w:r>
              <w:rPr>
                <w:sz w:val="20"/>
              </w:rPr>
              <w:t>α (ML)</w:t>
            </w:r>
          </w:p>
        </w:tc>
        <w:tc>
          <w:tcPr>
            <w:tcW w:w="2351" w:type="dxa"/>
            <w:shd w:val="clear" w:color="auto" w:fill="F2F4F7"/>
            <w:vAlign w:val="center"/>
          </w:tcPr>
          <w:p w14:paraId="6EC82AF1"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0.60</w:t>
            </w:r>
          </w:p>
        </w:tc>
        <w:tc>
          <w:tcPr>
            <w:tcW w:w="2351" w:type="dxa"/>
            <w:shd w:val="clear" w:color="auto" w:fill="F2F4F7"/>
            <w:vAlign w:val="center"/>
          </w:tcPr>
          <w:p w14:paraId="102449BA"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0.55</w:t>
            </w:r>
          </w:p>
        </w:tc>
        <w:tc>
          <w:tcPr>
            <w:tcW w:w="2351" w:type="dxa"/>
            <w:shd w:val="clear" w:color="auto" w:fill="F2F4F7"/>
            <w:vAlign w:val="center"/>
          </w:tcPr>
          <w:p w14:paraId="5B2D26E1"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0.55</w:t>
            </w:r>
          </w:p>
        </w:tc>
      </w:tr>
      <w:tr w:rsidR="00732D50" w14:paraId="7A591046"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FFFFFF"/>
            <w:vAlign w:val="center"/>
          </w:tcPr>
          <w:p w14:paraId="2E6730A6" w14:textId="77777777" w:rsidR="00732D50" w:rsidRDefault="00000000">
            <w:r>
              <w:rPr>
                <w:sz w:val="20"/>
              </w:rPr>
              <w:t>β (CA)</w:t>
            </w:r>
          </w:p>
        </w:tc>
        <w:tc>
          <w:tcPr>
            <w:tcW w:w="2351" w:type="dxa"/>
            <w:shd w:val="clear" w:color="auto" w:fill="FFFFFF"/>
            <w:vAlign w:val="center"/>
          </w:tcPr>
          <w:p w14:paraId="47C21C0F"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0.30</w:t>
            </w:r>
          </w:p>
        </w:tc>
        <w:tc>
          <w:tcPr>
            <w:tcW w:w="2351" w:type="dxa"/>
            <w:shd w:val="clear" w:color="auto" w:fill="FFFFFF"/>
            <w:vAlign w:val="center"/>
          </w:tcPr>
          <w:p w14:paraId="7CBB376C"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0.30</w:t>
            </w:r>
          </w:p>
        </w:tc>
        <w:tc>
          <w:tcPr>
            <w:tcW w:w="2351" w:type="dxa"/>
            <w:shd w:val="clear" w:color="auto" w:fill="FFFFFF"/>
            <w:vAlign w:val="center"/>
          </w:tcPr>
          <w:p w14:paraId="354A317B"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0.25</w:t>
            </w:r>
          </w:p>
        </w:tc>
      </w:tr>
      <w:tr w:rsidR="00732D50" w14:paraId="68C0FEAE"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F2F4F7"/>
            <w:vAlign w:val="center"/>
          </w:tcPr>
          <w:p w14:paraId="45D25068" w14:textId="77777777" w:rsidR="00732D50" w:rsidRDefault="00000000">
            <w:r>
              <w:rPr>
                <w:sz w:val="20"/>
              </w:rPr>
              <w:lastRenderedPageBreak/>
              <w:t>γ (kárstico)</w:t>
            </w:r>
          </w:p>
        </w:tc>
        <w:tc>
          <w:tcPr>
            <w:tcW w:w="2351" w:type="dxa"/>
            <w:shd w:val="clear" w:color="auto" w:fill="F2F4F7"/>
            <w:vAlign w:val="center"/>
          </w:tcPr>
          <w:p w14:paraId="30636CBD"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c>
          <w:tcPr>
            <w:tcW w:w="2351" w:type="dxa"/>
            <w:shd w:val="clear" w:color="auto" w:fill="F2F4F7"/>
            <w:vAlign w:val="center"/>
          </w:tcPr>
          <w:p w14:paraId="714F6905"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0.05</w:t>
            </w:r>
          </w:p>
        </w:tc>
        <w:tc>
          <w:tcPr>
            <w:tcW w:w="2351" w:type="dxa"/>
            <w:shd w:val="clear" w:color="auto" w:fill="F2F4F7"/>
            <w:vAlign w:val="center"/>
          </w:tcPr>
          <w:p w14:paraId="0E7CE745"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0.15</w:t>
            </w:r>
          </w:p>
        </w:tc>
      </w:tr>
      <w:tr w:rsidR="00732D50" w14:paraId="3C875447"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FFFFFF"/>
            <w:vAlign w:val="center"/>
          </w:tcPr>
          <w:p w14:paraId="4EF75764" w14:textId="77777777" w:rsidR="00732D50" w:rsidRDefault="00000000">
            <w:r>
              <w:rPr>
                <w:sz w:val="20"/>
              </w:rPr>
              <w:t>δ (estocástico)</w:t>
            </w:r>
          </w:p>
        </w:tc>
        <w:tc>
          <w:tcPr>
            <w:tcW w:w="2351" w:type="dxa"/>
            <w:shd w:val="clear" w:color="auto" w:fill="FFFFFF"/>
            <w:vAlign w:val="center"/>
          </w:tcPr>
          <w:p w14:paraId="01E06CAD"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0.10</w:t>
            </w:r>
          </w:p>
        </w:tc>
        <w:tc>
          <w:tcPr>
            <w:tcW w:w="2351" w:type="dxa"/>
            <w:shd w:val="clear" w:color="auto" w:fill="FFFFFF"/>
            <w:vAlign w:val="center"/>
          </w:tcPr>
          <w:p w14:paraId="19B5D80E"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0.10</w:t>
            </w:r>
          </w:p>
        </w:tc>
        <w:tc>
          <w:tcPr>
            <w:tcW w:w="2351" w:type="dxa"/>
            <w:shd w:val="clear" w:color="auto" w:fill="FFFFFF"/>
            <w:vAlign w:val="center"/>
          </w:tcPr>
          <w:p w14:paraId="702E5532"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0.05</w:t>
            </w:r>
          </w:p>
        </w:tc>
      </w:tr>
    </w:tbl>
    <w:p w14:paraId="2EB8FE09" w14:textId="77777777" w:rsidR="00732D50" w:rsidRPr="00CB3968" w:rsidRDefault="00000000">
      <w:pPr>
        <w:jc w:val="both"/>
        <w:rPr>
          <w:lang w:val="es-419"/>
        </w:rPr>
      </w:pPr>
      <w:r w:rsidRPr="00CB3968">
        <w:rPr>
          <w:i/>
          <w:lang w:val="es-419"/>
        </w:rPr>
        <w:t>Lectura política: cada escenario es el mismo motor de predicción con una distribución de confianza distinta sobre las cuatro fuentes de información. “Sin plan” confía casi todo en lo aprendido por los datos; “Gestión IA” redistribuye 15 puntos hacia la protección kárstica.</w:t>
      </w:r>
    </w:p>
    <w:p w14:paraId="09F67BBC" w14:textId="77777777" w:rsidR="00732D50" w:rsidRPr="00CB3968" w:rsidRDefault="00000000">
      <w:pPr>
        <w:pStyle w:val="Heading1"/>
        <w:rPr>
          <w:lang w:val="es-419"/>
        </w:rPr>
      </w:pPr>
      <w:r w:rsidRPr="00CB3968">
        <w:rPr>
          <w:color w:val="1A365D"/>
          <w:lang w:val="es-419"/>
        </w:rPr>
        <w:t>4. El cupo N_t y la mecánica de selección</w:t>
      </w:r>
    </w:p>
    <w:p w14:paraId="4FF59451" w14:textId="77777777" w:rsidR="00732D50" w:rsidRPr="00CB3968" w:rsidRDefault="00000000">
      <w:pPr>
        <w:pStyle w:val="Heading2"/>
        <w:rPr>
          <w:lang w:val="es-419"/>
        </w:rPr>
      </w:pPr>
      <w:r w:rsidRPr="00CB3968">
        <w:rPr>
          <w:color w:val="2E4F80"/>
          <w:lang w:val="es-419"/>
        </w:rPr>
        <w:t>4.1 ¿Por qué un cupo y no un umbral?</w:t>
      </w:r>
    </w:p>
    <w:p w14:paraId="1B47CA09" w14:textId="77777777" w:rsidR="00732D50" w:rsidRPr="00CB3968" w:rsidRDefault="00000000">
      <w:pPr>
        <w:jc w:val="both"/>
        <w:rPr>
          <w:lang w:val="es-419"/>
        </w:rPr>
      </w:pPr>
      <w:r w:rsidRPr="00CB3968">
        <w:rPr>
          <w:lang w:val="es-419"/>
        </w:rPr>
        <w:t>Un enfoque ingenuo sería: “urbaniza toda celda con $P_{total} &gt; 0.5$”. Esto falla porque la cantidad urbanizada por año depende del crecimiento demográfico y económico, no del modelo. Si la ciudad crece al 3.5%, deben urbanizarse exactamente $N_t$ celdas por año, ni más ni menos.</w:t>
      </w:r>
    </w:p>
    <w:p w14:paraId="2C1E703F" w14:textId="77777777" w:rsidR="00732D50" w:rsidRPr="00CB3968" w:rsidRDefault="00000000">
      <w:pPr>
        <w:jc w:val="both"/>
        <w:rPr>
          <w:lang w:val="es-419"/>
        </w:rPr>
      </w:pPr>
      <w:r w:rsidRPr="00CB3968">
        <w:rPr>
          <w:lang w:val="es-419"/>
        </w:rPr>
        <w:t>El modelo, por lo tanto, no decide el cuánto, decide el dónde:</w:t>
      </w:r>
    </w:p>
    <w:p w14:paraId="26C4E479" w14:textId="77777777" w:rsidR="00732D50" w:rsidRPr="00CB3968" w:rsidRDefault="00000000">
      <w:pPr>
        <w:pStyle w:val="ListBullet"/>
        <w:rPr>
          <w:lang w:val="es-419"/>
        </w:rPr>
      </w:pPr>
      <w:r w:rsidRPr="00CB3968">
        <w:rPr>
          <w:lang w:val="es-419"/>
        </w:rPr>
        <w:t>Se calcula $P_{total}$ para todas las celdas no urbanas.</w:t>
      </w:r>
    </w:p>
    <w:p w14:paraId="6A7DC9A6" w14:textId="77777777" w:rsidR="00732D50" w:rsidRPr="00CB3968" w:rsidRDefault="00000000">
      <w:pPr>
        <w:pStyle w:val="ListBullet"/>
        <w:rPr>
          <w:lang w:val="es-419"/>
        </w:rPr>
      </w:pPr>
      <w:r w:rsidRPr="00CB3968">
        <w:rPr>
          <w:lang w:val="es-419"/>
        </w:rPr>
        <w:t>Se ordenan de mayor a menor.</w:t>
      </w:r>
    </w:p>
    <w:p w14:paraId="76ADE162" w14:textId="77777777" w:rsidR="00732D50" w:rsidRPr="00CB3968" w:rsidRDefault="00000000">
      <w:pPr>
        <w:pStyle w:val="ListBullet"/>
        <w:rPr>
          <w:lang w:val="es-419"/>
        </w:rPr>
      </w:pPr>
      <w:r w:rsidRPr="00CB3968">
        <w:rPr>
          <w:lang w:val="es-419"/>
        </w:rPr>
        <w:t>Se seleccionan las primeras $N_t$.</w:t>
      </w:r>
    </w:p>
    <w:p w14:paraId="07AC6504" w14:textId="77777777" w:rsidR="00732D50" w:rsidRDefault="00000000">
      <w:pPr>
        <w:pStyle w:val="ListBullet"/>
      </w:pPr>
      <w:r>
        <w:t>Se marcan como urbanas.</w:t>
      </w:r>
    </w:p>
    <w:p w14:paraId="7BABFA07" w14:textId="77777777" w:rsidR="00732D50" w:rsidRPr="00CB3968" w:rsidRDefault="00000000">
      <w:pPr>
        <w:jc w:val="both"/>
        <w:rPr>
          <w:lang w:val="es-419"/>
        </w:rPr>
      </w:pPr>
      <w:r w:rsidRPr="00CB3968">
        <w:rPr>
          <w:lang w:val="es-419"/>
        </w:rPr>
        <w:t>Esto convierte el modelo en un problema de transporte: hay una demanda fija $N_t$ y el modelo asigna esa demanda a las celdas con mayor probabilidad integral.</w:t>
      </w:r>
    </w:p>
    <w:p w14:paraId="0FA3EBDC" w14:textId="77777777" w:rsidR="00732D50" w:rsidRPr="00CB3968" w:rsidRDefault="00000000">
      <w:pPr>
        <w:pStyle w:val="Heading2"/>
        <w:rPr>
          <w:lang w:val="es-419"/>
        </w:rPr>
      </w:pPr>
      <w:r w:rsidRPr="00CB3968">
        <w:rPr>
          <w:color w:val="2E4F80"/>
          <w:lang w:val="es-419"/>
        </w:rPr>
        <w:t>4.2 ¿De dónde sale N_t?</w:t>
      </w:r>
    </w:p>
    <w:p w14:paraId="1E9C206E" w14:textId="77777777" w:rsidR="00732D50" w:rsidRDefault="00000000">
      <w:pPr>
        <w:jc w:val="center"/>
      </w:pPr>
      <w:r>
        <w:rPr>
          <w:noProof/>
        </w:rPr>
        <w:drawing>
          <wp:inline distT="0" distB="0" distL="0" distR="0" wp14:anchorId="43B4CE56" wp14:editId="0A5C82E6">
            <wp:extent cx="4754880" cy="10630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Nt.png"/>
                    <pic:cNvPicPr/>
                  </pic:nvPicPr>
                  <pic:blipFill>
                    <a:blip r:embed="rId16"/>
                    <a:stretch>
                      <a:fillRect/>
                    </a:stretch>
                  </pic:blipFill>
                  <pic:spPr>
                    <a:xfrm>
                      <a:off x="0" y="0"/>
                      <a:ext cx="4754880" cy="1063083"/>
                    </a:xfrm>
                    <a:prstGeom prst="rect">
                      <a:avLst/>
                    </a:prstGeom>
                  </pic:spPr>
                </pic:pic>
              </a:graphicData>
            </a:graphic>
          </wp:inline>
        </w:drawing>
      </w:r>
    </w:p>
    <w:p w14:paraId="6694D6B4" w14:textId="77777777" w:rsidR="00732D50" w:rsidRPr="00CB3968" w:rsidRDefault="00000000">
      <w:pPr>
        <w:jc w:val="both"/>
        <w:rPr>
          <w:lang w:val="es-419"/>
        </w:rPr>
      </w:pPr>
      <w:r w:rsidRPr="00CB3968">
        <w:rPr>
          <w:lang w:val="es-419"/>
        </w:rPr>
        <w:t>con $r_t$ estimado del histórico:</w:t>
      </w:r>
    </w:p>
    <w:p w14:paraId="76FDA0D0" w14:textId="77777777" w:rsidR="00732D50" w:rsidRDefault="00000000">
      <w:pPr>
        <w:jc w:val="center"/>
      </w:pPr>
      <w:r>
        <w:rPr>
          <w:noProof/>
        </w:rPr>
        <w:drawing>
          <wp:inline distT="0" distB="0" distL="0" distR="0" wp14:anchorId="1A167A3D" wp14:editId="6B5C30FA">
            <wp:extent cx="4754880" cy="8521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png"/>
                    <pic:cNvPicPr/>
                  </pic:nvPicPr>
                  <pic:blipFill>
                    <a:blip r:embed="rId17"/>
                    <a:stretch>
                      <a:fillRect/>
                    </a:stretch>
                  </pic:blipFill>
                  <pic:spPr>
                    <a:xfrm>
                      <a:off x="0" y="0"/>
                      <a:ext cx="4754880" cy="852129"/>
                    </a:xfrm>
                    <a:prstGeom prst="rect">
                      <a:avLst/>
                    </a:prstGeom>
                  </pic:spPr>
                </pic:pic>
              </a:graphicData>
            </a:graphic>
          </wp:inline>
        </w:drawing>
      </w:r>
    </w:p>
    <w:p w14:paraId="7B0F3B34" w14:textId="77777777" w:rsidR="00732D50" w:rsidRPr="00CB3968" w:rsidRDefault="00000000">
      <w:pPr>
        <w:jc w:val="both"/>
        <w:rPr>
          <w:lang w:val="es-419"/>
        </w:rPr>
      </w:pPr>
      <w:r w:rsidRPr="00CB3968">
        <w:rPr>
          <w:lang w:val="es-419"/>
        </w:rPr>
        <w:t>Para la ZMM, $|Urbano_{2024}| \approx 30{,}000$ celdas, así que $N_t \approx 1{,}050$ celdas nuevas por año (≈ 0.95 km², consistente con los 820 km² de base del paper).</w:t>
      </w:r>
    </w:p>
    <w:p w14:paraId="125F2C76" w14:textId="77777777" w:rsidR="00732D50" w:rsidRPr="00CB3968" w:rsidRDefault="00000000">
      <w:pPr>
        <w:pStyle w:val="Heading2"/>
        <w:rPr>
          <w:lang w:val="es-419"/>
        </w:rPr>
      </w:pPr>
      <w:r w:rsidRPr="00CB3968">
        <w:rPr>
          <w:color w:val="2E4F80"/>
          <w:lang w:val="es-419"/>
        </w:rPr>
        <w:t>4.3 Validación de la cuota: Figure of Merit (FOM)</w:t>
      </w:r>
    </w:p>
    <w:p w14:paraId="68395400" w14:textId="77777777" w:rsidR="00732D50" w:rsidRPr="00CB3968" w:rsidRDefault="00000000">
      <w:pPr>
        <w:jc w:val="both"/>
        <w:rPr>
          <w:lang w:val="es-419"/>
        </w:rPr>
      </w:pPr>
      <w:r w:rsidRPr="00CB3968">
        <w:rPr>
          <w:lang w:val="es-419"/>
        </w:rPr>
        <w:t>Para validar que el modelo coloca las celdas correctas, se usa la métrica FOM de Pontius &amp; Schneider (2001):</w:t>
      </w:r>
    </w:p>
    <w:p w14:paraId="7A58797C" w14:textId="77777777" w:rsidR="00732D50" w:rsidRDefault="00000000">
      <w:pPr>
        <w:jc w:val="center"/>
      </w:pPr>
      <w:r>
        <w:rPr>
          <w:noProof/>
        </w:rPr>
        <w:lastRenderedPageBreak/>
        <w:drawing>
          <wp:inline distT="0" distB="0" distL="0" distR="0" wp14:anchorId="4ACFD736" wp14:editId="22801E24">
            <wp:extent cx="4754880" cy="13841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om.png"/>
                    <pic:cNvPicPr/>
                  </pic:nvPicPr>
                  <pic:blipFill>
                    <a:blip r:embed="rId18"/>
                    <a:stretch>
                      <a:fillRect/>
                    </a:stretch>
                  </pic:blipFill>
                  <pic:spPr>
                    <a:xfrm>
                      <a:off x="0" y="0"/>
                      <a:ext cx="4754880" cy="1384198"/>
                    </a:xfrm>
                    <a:prstGeom prst="rect">
                      <a:avLst/>
                    </a:prstGeom>
                  </pic:spPr>
                </pic:pic>
              </a:graphicData>
            </a:graphic>
          </wp:inline>
        </w:drawing>
      </w:r>
    </w:p>
    <w:p w14:paraId="2F39830F" w14:textId="77777777" w:rsidR="00732D50" w:rsidRDefault="00000000">
      <w:pPr>
        <w:jc w:val="both"/>
      </w:pPr>
      <w:r>
        <w:t>donde:</w:t>
      </w:r>
    </w:p>
    <w:p w14:paraId="4C659769" w14:textId="77777777" w:rsidR="00732D50" w:rsidRPr="00CB3968" w:rsidRDefault="00000000">
      <w:pPr>
        <w:pStyle w:val="ListBullet"/>
        <w:rPr>
          <w:lang w:val="es-419"/>
        </w:rPr>
      </w:pPr>
      <w:r w:rsidRPr="00CB3968">
        <w:rPr>
          <w:lang w:val="es-419"/>
        </w:rPr>
        <w:t>$TP$: celdas predichas como transición que realmente sufrio transición (validación retrospectiva).</w:t>
      </w:r>
    </w:p>
    <w:p w14:paraId="706E837D" w14:textId="77777777" w:rsidR="00732D50" w:rsidRPr="00CB3968" w:rsidRDefault="00000000">
      <w:pPr>
        <w:pStyle w:val="ListBullet"/>
        <w:rPr>
          <w:lang w:val="es-419"/>
        </w:rPr>
      </w:pPr>
      <w:r w:rsidRPr="00CB3968">
        <w:rPr>
          <w:lang w:val="es-419"/>
        </w:rPr>
        <w:t>$FP$: celdas predichas como transición que no sufrio.</w:t>
      </w:r>
    </w:p>
    <w:p w14:paraId="5AB74546" w14:textId="77777777" w:rsidR="00732D50" w:rsidRPr="00CB3968" w:rsidRDefault="00000000">
      <w:pPr>
        <w:pStyle w:val="ListBullet"/>
        <w:rPr>
          <w:lang w:val="es-419"/>
        </w:rPr>
      </w:pPr>
      <w:r w:rsidRPr="00CB3968">
        <w:rPr>
          <w:lang w:val="es-419"/>
        </w:rPr>
        <w:t>$FN$: celdas que sufrio transición pero el modelo no predijo.</w:t>
      </w:r>
    </w:p>
    <w:p w14:paraId="43E979CD" w14:textId="77777777" w:rsidR="00732D50" w:rsidRPr="00CB3968" w:rsidRDefault="00000000">
      <w:pPr>
        <w:jc w:val="both"/>
        <w:rPr>
          <w:lang w:val="es-419"/>
        </w:rPr>
      </w:pPr>
      <w:r w:rsidRPr="00CB3968">
        <w:rPr>
          <w:lang w:val="es-419"/>
        </w:rPr>
        <w:t>FOM penaliza tanto los falsos positivos como los falsos negativos. Valores $&gt; 0.20$ se consideran aceptables para simulación de LULC; el modelo del proyecto alcanza FOM ≈ 0.25 (ver metrics.csv del demo).</w:t>
      </w:r>
    </w:p>
    <w:p w14:paraId="6EF29279" w14:textId="77777777" w:rsidR="00732D50" w:rsidRPr="00CB3968" w:rsidRDefault="00000000">
      <w:pPr>
        <w:pStyle w:val="Heading1"/>
        <w:rPr>
          <w:lang w:val="es-419"/>
        </w:rPr>
      </w:pPr>
      <w:r w:rsidRPr="00CB3968">
        <w:rPr>
          <w:color w:val="1A365D"/>
          <w:lang w:val="es-419"/>
        </w:rPr>
        <w:t>5. Cadena algorítmica completa</w:t>
      </w:r>
    </w:p>
    <w:p w14:paraId="6AEA2676" w14:textId="77777777" w:rsidR="00732D50" w:rsidRPr="00CB3968" w:rsidRDefault="00000000">
      <w:pPr>
        <w:ind w:left="283"/>
        <w:rPr>
          <w:lang w:val="es-419"/>
        </w:rPr>
      </w:pPr>
      <w:r w:rsidRPr="00CB3968">
        <w:rPr>
          <w:rFonts w:ascii="Consolas" w:hAnsi="Consolas"/>
          <w:color w:val="333333"/>
          <w:sz w:val="18"/>
          <w:lang w:val="es-419"/>
        </w:rPr>
        <w:br/>
        <w:t>Fase 1 — Datos (offline, una vez)</w:t>
      </w:r>
      <w:r w:rsidRPr="00CB3968">
        <w:rPr>
          <w:rFonts w:ascii="Consolas" w:hAnsi="Consolas"/>
          <w:color w:val="333333"/>
          <w:sz w:val="18"/>
          <w:lang w:val="es-419"/>
        </w:rPr>
        <w:br/>
        <w:t xml:space="preserve">  LANDSAT 8/9 → NDVI, LST, LULC 2015–2024</w:t>
      </w:r>
      <w:r w:rsidRPr="00CB3968">
        <w:rPr>
          <w:rFonts w:ascii="Consolas" w:hAnsi="Consolas"/>
          <w:color w:val="333333"/>
          <w:sz w:val="18"/>
          <w:lang w:val="es-419"/>
        </w:rPr>
        <w:br/>
        <w:t xml:space="preserve">  INEGI → manzanas, AGEB, vialidades</w:t>
      </w:r>
      <w:r w:rsidRPr="00CB3968">
        <w:rPr>
          <w:rFonts w:ascii="Consolas" w:hAnsi="Consolas"/>
          <w:color w:val="333333"/>
          <w:sz w:val="18"/>
          <w:lang w:val="es-419"/>
        </w:rPr>
        <w:br/>
        <w:t xml:space="preserve">  SEDUMA → ubicación de cenotes</w:t>
      </w:r>
      <w:r w:rsidRPr="00CB3968">
        <w:rPr>
          <w:rFonts w:ascii="Consolas" w:hAnsi="Consolas"/>
          <w:color w:val="333333"/>
          <w:sz w:val="18"/>
          <w:lang w:val="es-419"/>
        </w:rPr>
        <w:br/>
        <w:t xml:space="preserve">  CONAGUA → vulnerabilidad del acuífero</w:t>
      </w:r>
      <w:r w:rsidRPr="00CB3968">
        <w:rPr>
          <w:rFonts w:ascii="Consolas" w:hAnsi="Consolas"/>
          <w:color w:val="333333"/>
          <w:sz w:val="18"/>
          <w:lang w:val="es-419"/>
        </w:rPr>
        <w:br/>
      </w:r>
      <w:r w:rsidRPr="00CB3968">
        <w:rPr>
          <w:rFonts w:ascii="Consolas" w:hAnsi="Consolas"/>
          <w:color w:val="333333"/>
          <w:sz w:val="18"/>
          <w:lang w:val="es-419"/>
        </w:rPr>
        <w:br/>
        <w:t>Fase 2 — Entrenamiento (offline)</w:t>
      </w:r>
      <w:r w:rsidRPr="00CB3968">
        <w:rPr>
          <w:rFonts w:ascii="Consolas" w:hAnsi="Consolas"/>
          <w:color w:val="333333"/>
          <w:sz w:val="18"/>
          <w:lang w:val="es-419"/>
        </w:rPr>
        <w:br/>
        <w:t xml:space="preserve">  Pares (LULC_t, LULC_{t+4}) → muestras etiquetadas</w:t>
      </w:r>
      <w:r w:rsidRPr="00CB3968">
        <w:rPr>
          <w:rFonts w:ascii="Consolas" w:hAnsi="Consolas"/>
          <w:color w:val="333333"/>
          <w:sz w:val="18"/>
          <w:lang w:val="es-419"/>
        </w:rPr>
        <w:br/>
        <w:t xml:space="preserve">  LightGBM-1: features espaciales → P_transicion</w:t>
      </w:r>
      <w:r w:rsidRPr="00CB3968">
        <w:rPr>
          <w:rFonts w:ascii="Consolas" w:hAnsi="Consolas"/>
          <w:color w:val="333333"/>
          <w:sz w:val="18"/>
          <w:lang w:val="es-419"/>
        </w:rPr>
        <w:br/>
        <w:t xml:space="preserve">  LightGBM-2: conteo de vecinos → P_CA_aprendida</w:t>
      </w:r>
      <w:r w:rsidRPr="00CB3968">
        <w:rPr>
          <w:rFonts w:ascii="Consolas" w:hAnsi="Consolas"/>
          <w:color w:val="333333"/>
          <w:sz w:val="18"/>
          <w:lang w:val="es-419"/>
        </w:rPr>
        <w:br/>
      </w:r>
      <w:r w:rsidRPr="00CB3968">
        <w:rPr>
          <w:rFonts w:ascii="Consolas" w:hAnsi="Consolas"/>
          <w:color w:val="333333"/>
          <w:sz w:val="18"/>
          <w:lang w:val="es-419"/>
        </w:rPr>
        <w:br/>
        <w:t>Fase 3 — Simulación prospectiva (online, 2025–2030)</w:t>
      </w:r>
      <w:r w:rsidRPr="00CB3968">
        <w:rPr>
          <w:rFonts w:ascii="Consolas" w:hAnsi="Consolas"/>
          <w:color w:val="333333"/>
          <w:sz w:val="18"/>
          <w:lang w:val="es-419"/>
        </w:rPr>
        <w:br/>
        <w:t xml:space="preserve">  Para t en {2026, …, 2030}:</w:t>
      </w:r>
      <w:r w:rsidRPr="00CB3968">
        <w:rPr>
          <w:rFonts w:ascii="Consolas" w:hAnsi="Consolas"/>
          <w:color w:val="333333"/>
          <w:sz w:val="18"/>
          <w:lang w:val="es-419"/>
        </w:rPr>
        <w:br/>
        <w:t xml:space="preserve">    1. Calcular features dinámicas (d_edge cambia cada año)</w:t>
      </w:r>
      <w:r w:rsidRPr="00CB3968">
        <w:rPr>
          <w:rFonts w:ascii="Consolas" w:hAnsi="Consolas"/>
          <w:color w:val="333333"/>
          <w:sz w:val="18"/>
          <w:lang w:val="es-419"/>
        </w:rPr>
        <w:br/>
        <w:t xml:space="preserve">    2. P_ML  ← LightGBM-1.predict(features)</w:t>
      </w:r>
      <w:r w:rsidRPr="00CB3968">
        <w:rPr>
          <w:rFonts w:ascii="Consolas" w:hAnsi="Consolas"/>
          <w:color w:val="333333"/>
          <w:sz w:val="18"/>
          <w:lang w:val="es-419"/>
        </w:rPr>
        <w:br/>
        <w:t xml:space="preserve">    3. P_CA  ← LightGBM-2.predict(conteo_vecinos)</w:t>
      </w:r>
      <w:r w:rsidRPr="00CB3968">
        <w:rPr>
          <w:rFonts w:ascii="Consolas" w:hAnsi="Consolas"/>
          <w:color w:val="333333"/>
          <w:sz w:val="18"/>
          <w:lang w:val="es-419"/>
        </w:rPr>
        <w:br/>
        <w:t xml:space="preserve">    4. P_kar ← 1 - (vulnerabilidad acuífero)</w:t>
      </w:r>
      <w:r w:rsidRPr="00CB3968">
        <w:rPr>
          <w:rFonts w:ascii="Consolas" w:hAnsi="Consolas"/>
          <w:color w:val="333333"/>
          <w:sz w:val="18"/>
          <w:lang w:val="es-419"/>
        </w:rPr>
        <w:br/>
        <w:t xml:space="preserve">    5. </w:t>
      </w:r>
      <w:r>
        <w:rPr>
          <w:rFonts w:ascii="Consolas" w:hAnsi="Consolas"/>
          <w:color w:val="333333"/>
          <w:sz w:val="18"/>
        </w:rPr>
        <w:t>ε</w:t>
      </w:r>
      <w:r w:rsidRPr="00CB3968">
        <w:rPr>
          <w:rFonts w:ascii="Consolas" w:hAnsi="Consolas"/>
          <w:color w:val="333333"/>
          <w:sz w:val="18"/>
          <w:lang w:val="es-419"/>
        </w:rPr>
        <w:t xml:space="preserve">     ← U(0,1) por celda</w:t>
      </w:r>
      <w:r w:rsidRPr="00CB3968">
        <w:rPr>
          <w:rFonts w:ascii="Consolas" w:hAnsi="Consolas"/>
          <w:color w:val="333333"/>
          <w:sz w:val="18"/>
          <w:lang w:val="es-419"/>
        </w:rPr>
        <w:br/>
        <w:t xml:space="preserve">    6. P_tot ← </w:t>
      </w:r>
      <w:r>
        <w:rPr>
          <w:rFonts w:ascii="Consolas" w:hAnsi="Consolas"/>
          <w:color w:val="333333"/>
          <w:sz w:val="18"/>
        </w:rPr>
        <w:t>α</w:t>
      </w:r>
      <w:r w:rsidRPr="00CB3968">
        <w:rPr>
          <w:rFonts w:ascii="Consolas" w:hAnsi="Consolas"/>
          <w:color w:val="333333"/>
          <w:sz w:val="18"/>
          <w:lang w:val="es-419"/>
        </w:rPr>
        <w:t xml:space="preserve">·P_ML + </w:t>
      </w:r>
      <w:r>
        <w:rPr>
          <w:rFonts w:ascii="Consolas" w:hAnsi="Consolas"/>
          <w:color w:val="333333"/>
          <w:sz w:val="18"/>
        </w:rPr>
        <w:t>β</w:t>
      </w:r>
      <w:r w:rsidRPr="00CB3968">
        <w:rPr>
          <w:rFonts w:ascii="Consolas" w:hAnsi="Consolas"/>
          <w:color w:val="333333"/>
          <w:sz w:val="18"/>
          <w:lang w:val="es-419"/>
        </w:rPr>
        <w:t xml:space="preserve">·P_CA + </w:t>
      </w:r>
      <w:r>
        <w:rPr>
          <w:rFonts w:ascii="Consolas" w:hAnsi="Consolas"/>
          <w:color w:val="333333"/>
          <w:sz w:val="18"/>
        </w:rPr>
        <w:t>γ</w:t>
      </w:r>
      <w:r w:rsidRPr="00CB3968">
        <w:rPr>
          <w:rFonts w:ascii="Consolas" w:hAnsi="Consolas"/>
          <w:color w:val="333333"/>
          <w:sz w:val="18"/>
          <w:lang w:val="es-419"/>
        </w:rPr>
        <w:t xml:space="preserve">·P_kar + </w:t>
      </w:r>
      <w:r>
        <w:rPr>
          <w:rFonts w:ascii="Consolas" w:hAnsi="Consolas"/>
          <w:color w:val="333333"/>
          <w:sz w:val="18"/>
        </w:rPr>
        <w:t>δ</w:t>
      </w:r>
      <w:r w:rsidRPr="00CB3968">
        <w:rPr>
          <w:rFonts w:ascii="Consolas" w:hAnsi="Consolas"/>
          <w:color w:val="333333"/>
          <w:sz w:val="18"/>
          <w:lang w:val="es-419"/>
        </w:rPr>
        <w:t>·</w:t>
      </w:r>
      <w:r>
        <w:rPr>
          <w:rFonts w:ascii="Consolas" w:hAnsi="Consolas"/>
          <w:color w:val="333333"/>
          <w:sz w:val="18"/>
        </w:rPr>
        <w:t>ε</w:t>
      </w:r>
      <w:r w:rsidRPr="00CB3968">
        <w:rPr>
          <w:rFonts w:ascii="Consolas" w:hAnsi="Consolas"/>
          <w:color w:val="333333"/>
          <w:sz w:val="18"/>
          <w:lang w:val="es-419"/>
        </w:rPr>
        <w:br/>
        <w:t xml:space="preserve">    7. Seleccionar top-N_t celdas</w:t>
      </w:r>
      <w:r w:rsidRPr="00CB3968">
        <w:rPr>
          <w:rFonts w:ascii="Consolas" w:hAnsi="Consolas"/>
          <w:color w:val="333333"/>
          <w:sz w:val="18"/>
          <w:lang w:val="es-419"/>
        </w:rPr>
        <w:br/>
        <w:t xml:space="preserve">    8. urban_t+1 ← urban_t ⊕ {top-N_t}</w:t>
      </w:r>
      <w:r w:rsidRPr="00CB3968">
        <w:rPr>
          <w:rFonts w:ascii="Consolas" w:hAnsi="Consolas"/>
          <w:color w:val="333333"/>
          <w:sz w:val="18"/>
          <w:lang w:val="es-419"/>
        </w:rPr>
        <w:br/>
      </w:r>
      <w:r w:rsidRPr="00CB3968">
        <w:rPr>
          <w:rFonts w:ascii="Consolas" w:hAnsi="Consolas"/>
          <w:color w:val="333333"/>
          <w:sz w:val="18"/>
          <w:lang w:val="es-419"/>
        </w:rPr>
        <w:br/>
        <w:t>Fase 4 — Salida</w:t>
      </w:r>
      <w:r w:rsidRPr="00CB3968">
        <w:rPr>
          <w:rFonts w:ascii="Consolas" w:hAnsi="Consolas"/>
          <w:color w:val="333333"/>
          <w:sz w:val="18"/>
          <w:lang w:val="es-419"/>
        </w:rPr>
        <w:br/>
        <w:t xml:space="preserve">  Mapa de probabilidad por año (prediction_{year}.tif)</w:t>
      </w:r>
      <w:r w:rsidRPr="00CB3968">
        <w:rPr>
          <w:rFonts w:ascii="Consolas" w:hAnsi="Consolas"/>
          <w:color w:val="333333"/>
          <w:sz w:val="18"/>
          <w:lang w:val="es-419"/>
        </w:rPr>
        <w:br/>
        <w:t xml:space="preserve">  Mapa binario urbano/no-urbano (urban_extent_{year}.tif)</w:t>
      </w:r>
      <w:r w:rsidRPr="00CB3968">
        <w:rPr>
          <w:rFonts w:ascii="Consolas" w:hAnsi="Consolas"/>
          <w:color w:val="333333"/>
          <w:sz w:val="18"/>
          <w:lang w:val="es-419"/>
        </w:rPr>
        <w:br/>
        <w:t xml:space="preserve">  Métricas: FOM, AUC-ROC, Kappa, área total</w:t>
      </w:r>
      <w:r w:rsidRPr="00CB3968">
        <w:rPr>
          <w:rFonts w:ascii="Consolas" w:hAnsi="Consolas"/>
          <w:color w:val="333333"/>
          <w:sz w:val="18"/>
          <w:lang w:val="es-419"/>
        </w:rPr>
        <w:br/>
      </w:r>
    </w:p>
    <w:p w14:paraId="33D27C79" w14:textId="77777777" w:rsidR="00732D50" w:rsidRPr="00CB3968" w:rsidRDefault="00000000">
      <w:pPr>
        <w:pStyle w:val="Heading1"/>
        <w:rPr>
          <w:lang w:val="es-419"/>
        </w:rPr>
      </w:pPr>
      <w:r w:rsidRPr="00CB3968">
        <w:rPr>
          <w:color w:val="1A365D"/>
          <w:lang w:val="es-419"/>
        </w:rPr>
        <w:lastRenderedPageBreak/>
        <w:t>6. Limitaciones matemáticas reconocidas</w:t>
      </w:r>
    </w:p>
    <w:p w14:paraId="2CFDEE52" w14:textId="77777777" w:rsidR="00732D50" w:rsidRPr="00CB3968" w:rsidRDefault="00000000">
      <w:pPr>
        <w:pStyle w:val="Heading2"/>
        <w:rPr>
          <w:lang w:val="es-419"/>
        </w:rPr>
      </w:pPr>
      <w:r w:rsidRPr="00CB3968">
        <w:rPr>
          <w:color w:val="2E4F80"/>
          <w:lang w:val="es-419"/>
        </w:rPr>
        <w:t>6.1 Independencia espacial condicional</w:t>
      </w:r>
    </w:p>
    <w:p w14:paraId="24AC9AC1" w14:textId="77777777" w:rsidR="00732D50" w:rsidRPr="00CB3968" w:rsidRDefault="00000000">
      <w:pPr>
        <w:jc w:val="both"/>
        <w:rPr>
          <w:lang w:val="es-419"/>
        </w:rPr>
      </w:pPr>
      <w:r w:rsidRPr="00CB3968">
        <w:rPr>
          <w:lang w:val="es-419"/>
        </w:rPr>
        <w:t>El modelo trata cada celda como condicionalmente independiente dado el vecindario. En realidad, los desarrolladores urbanizan manzanas enteras (conjuntos de ≥ 4 celdas contiguas) por consideraciones legales (fraccionamientos). Esto produce mapas con “huecos” intra-manzana que la realidad no tiene.</w:t>
      </w:r>
    </w:p>
    <w:p w14:paraId="0CB9A539" w14:textId="77777777" w:rsidR="00732D50" w:rsidRPr="00CB3968" w:rsidRDefault="00000000">
      <w:pPr>
        <w:jc w:val="both"/>
        <w:rPr>
          <w:lang w:val="es-419"/>
        </w:rPr>
      </w:pPr>
      <w:r w:rsidRPr="00CB3968">
        <w:rPr>
          <w:i/>
          <w:lang w:val="es-419"/>
        </w:rPr>
        <w:t>Mitigación: aplicar binary_opening con un kernel 2×2 al resultado para cerrar celdas aisladas, conservando la estructura de manchas.</w:t>
      </w:r>
    </w:p>
    <w:p w14:paraId="49043DA5" w14:textId="77777777" w:rsidR="00732D50" w:rsidRPr="00CB3968" w:rsidRDefault="00000000">
      <w:pPr>
        <w:pStyle w:val="Heading2"/>
        <w:rPr>
          <w:lang w:val="es-419"/>
        </w:rPr>
      </w:pPr>
      <w:r w:rsidRPr="00CB3968">
        <w:rPr>
          <w:color w:val="2E4F80"/>
          <w:lang w:val="es-419"/>
        </w:rPr>
        <w:t>6.2 Estacionariedad del proceso</w:t>
      </w:r>
    </w:p>
    <w:p w14:paraId="42BDB6C9" w14:textId="77777777" w:rsidR="00732D50" w:rsidRPr="00CB3968" w:rsidRDefault="00000000">
      <w:pPr>
        <w:jc w:val="both"/>
        <w:rPr>
          <w:lang w:val="es-419"/>
        </w:rPr>
      </w:pPr>
      <w:r w:rsidRPr="00CB3968">
        <w:rPr>
          <w:lang w:val="es-419"/>
        </w:rPr>
        <w:t>El modelo asume que los patrones aprendidos en 2015–2024 se mantienen hasta 2030. Esto es razonable para 6 años, pero no lo sería para 20. Un shock (crisis hídrica, nueva ley federal, migración masiva por nearshoring) invalida las probabilidades aprendidas.</w:t>
      </w:r>
    </w:p>
    <w:p w14:paraId="031A20AE" w14:textId="77777777" w:rsidR="00732D50" w:rsidRPr="00CB3968" w:rsidRDefault="00000000">
      <w:pPr>
        <w:jc w:val="both"/>
        <w:rPr>
          <w:lang w:val="es-419"/>
        </w:rPr>
      </w:pPr>
      <w:r w:rsidRPr="00CB3968">
        <w:rPr>
          <w:i/>
          <w:lang w:val="es-419"/>
        </w:rPr>
        <w:t xml:space="preserve">Mitigación: el componente </w:t>
      </w:r>
      <w:r>
        <w:rPr>
          <w:i/>
        </w:rPr>
        <w:t>δ</w:t>
      </w:r>
      <w:r w:rsidRPr="00CB3968">
        <w:rPr>
          <w:i/>
          <w:lang w:val="es-419"/>
        </w:rPr>
        <w:t>·</w:t>
      </w:r>
      <w:r>
        <w:rPr>
          <w:i/>
        </w:rPr>
        <w:t>ε</w:t>
      </w:r>
      <w:r w:rsidRPr="00CB3968">
        <w:rPr>
          <w:i/>
          <w:lang w:val="es-419"/>
        </w:rPr>
        <w:t xml:space="preserve"> absorbe parte de la no-estacionariedad; reentrenar el modelo cada 2 años con datos nuevos restablece la vigencia.</w:t>
      </w:r>
    </w:p>
    <w:p w14:paraId="1C6456A8" w14:textId="77777777" w:rsidR="00732D50" w:rsidRPr="00CB3968" w:rsidRDefault="00000000">
      <w:pPr>
        <w:pStyle w:val="Heading2"/>
        <w:rPr>
          <w:lang w:val="es-419"/>
        </w:rPr>
      </w:pPr>
      <w:r w:rsidRPr="00CB3968">
        <w:rPr>
          <w:color w:val="2E4F80"/>
          <w:lang w:val="es-419"/>
        </w:rPr>
        <w:t>6.3 Equifinalidad</w:t>
      </w:r>
    </w:p>
    <w:p w14:paraId="505D1B49" w14:textId="77777777" w:rsidR="00732D50" w:rsidRPr="00CB3968" w:rsidRDefault="00000000">
      <w:pPr>
        <w:jc w:val="both"/>
        <w:rPr>
          <w:lang w:val="es-419"/>
        </w:rPr>
      </w:pPr>
      <w:r w:rsidRPr="00CB3968">
        <w:rPr>
          <w:lang w:val="es-419"/>
        </w:rPr>
        <w:t>Dos combinaciones de $(\alpha, \beta, \gamma, \delta)$ pueden producir el mismo $P_{total}$ para una celda específica. Esto significa que los parámetros no son identificables desde un solo mapa de salida: se necesita la trayectoria temporal 2025–2030 para distinguir un escenario de otro.</w:t>
      </w:r>
    </w:p>
    <w:p w14:paraId="1EECAF77" w14:textId="77777777" w:rsidR="00732D50" w:rsidRPr="00CB3968" w:rsidRDefault="00000000">
      <w:pPr>
        <w:jc w:val="both"/>
        <w:rPr>
          <w:lang w:val="es-419"/>
        </w:rPr>
      </w:pPr>
      <w:r w:rsidRPr="00CB3968">
        <w:rPr>
          <w:i/>
          <w:lang w:val="es-419"/>
        </w:rPr>
        <w:t>Implicación: el dashboard con Vista 3D y slider de año no es un adorno estético; es la única manera de validar empíricamente qué escenario está ocurriendo.</w:t>
      </w:r>
    </w:p>
    <w:p w14:paraId="791429F0" w14:textId="77777777" w:rsidR="00732D50" w:rsidRPr="00CB3968" w:rsidRDefault="00000000">
      <w:pPr>
        <w:pStyle w:val="Heading2"/>
        <w:rPr>
          <w:lang w:val="es-419"/>
        </w:rPr>
      </w:pPr>
      <w:r w:rsidRPr="00CB3968">
        <w:rPr>
          <w:color w:val="2E4F80"/>
          <w:lang w:val="es-419"/>
        </w:rPr>
        <w:t>6.4 Sesgo por etiquetado histórico</w:t>
      </w:r>
    </w:p>
    <w:p w14:paraId="1599E7DB" w14:textId="77777777" w:rsidR="00732D50" w:rsidRPr="00CB3968" w:rsidRDefault="00000000">
      <w:pPr>
        <w:jc w:val="both"/>
        <w:rPr>
          <w:lang w:val="es-419"/>
        </w:rPr>
      </w:pPr>
      <w:r w:rsidRPr="00CB3968">
        <w:rPr>
          <w:lang w:val="es-419"/>
        </w:rPr>
        <w:t>Las etiquetas $y_i$ provienen de LANDSAT clasificado. Si el clasificador LULC tiene un sesgo sistemático (ej. confunde suelo desnudo con urbano incipiente), el modelo aprende ese sesgo. No es un sesgo del ML, es del etiquetado upstream.</w:t>
      </w:r>
    </w:p>
    <w:p w14:paraId="4C608636" w14:textId="77777777" w:rsidR="00732D50" w:rsidRPr="00CB3968" w:rsidRDefault="00000000">
      <w:pPr>
        <w:jc w:val="both"/>
        <w:rPr>
          <w:lang w:val="es-419"/>
        </w:rPr>
      </w:pPr>
      <w:r w:rsidRPr="00CB3968">
        <w:rPr>
          <w:i/>
          <w:lang w:val="es-419"/>
        </w:rPr>
        <w:t>Mitigación reportada en el paper: validación cruzada del LULC con puntos de control ground-truth en campo (no en el demo).</w:t>
      </w:r>
    </w:p>
    <w:p w14:paraId="2E09B4AA" w14:textId="77777777" w:rsidR="00732D50" w:rsidRPr="00CB3968" w:rsidRDefault="00000000">
      <w:pPr>
        <w:pStyle w:val="Heading1"/>
        <w:rPr>
          <w:lang w:val="es-419"/>
        </w:rPr>
      </w:pPr>
      <w:r w:rsidRPr="00CB3968">
        <w:rPr>
          <w:color w:val="1A365D"/>
          <w:lang w:val="es-419"/>
        </w:rPr>
        <w:t>7. Resumen de supuestos en una tabla</w:t>
      </w:r>
    </w:p>
    <w:tbl>
      <w:tblPr>
        <w:tblStyle w:val="LightGrid-Accent1"/>
        <w:tblW w:w="0" w:type="auto"/>
        <w:tblLook w:val="04A0" w:firstRow="1" w:lastRow="0" w:firstColumn="1" w:lastColumn="0" w:noHBand="0" w:noVBand="1"/>
      </w:tblPr>
      <w:tblGrid>
        <w:gridCol w:w="3135"/>
        <w:gridCol w:w="3135"/>
        <w:gridCol w:w="3135"/>
      </w:tblGrid>
      <w:tr w:rsidR="00732D50" w14:paraId="0A45A5A6" w14:textId="77777777" w:rsidTr="00732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1A365D"/>
            <w:vAlign w:val="center"/>
          </w:tcPr>
          <w:p w14:paraId="45649894" w14:textId="77777777" w:rsidR="00732D50" w:rsidRDefault="00000000">
            <w:pPr>
              <w:jc w:val="center"/>
            </w:pPr>
            <w:r>
              <w:rPr>
                <w:color w:val="FFFFFF"/>
                <w:sz w:val="20"/>
              </w:rPr>
              <w:t>Supuesto</w:t>
            </w:r>
          </w:p>
        </w:tc>
        <w:tc>
          <w:tcPr>
            <w:tcW w:w="3135" w:type="dxa"/>
            <w:shd w:val="clear" w:color="auto" w:fill="1A365D"/>
            <w:vAlign w:val="center"/>
          </w:tcPr>
          <w:p w14:paraId="3F3E2FCC" w14:textId="77777777" w:rsidR="00732D5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Justificación</w:t>
            </w:r>
          </w:p>
        </w:tc>
        <w:tc>
          <w:tcPr>
            <w:tcW w:w="3135" w:type="dxa"/>
            <w:shd w:val="clear" w:color="auto" w:fill="1A365D"/>
            <w:vAlign w:val="center"/>
          </w:tcPr>
          <w:p w14:paraId="4FBC6A44" w14:textId="77777777" w:rsidR="00732D5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Riesgo si se viola</w:t>
            </w:r>
          </w:p>
        </w:tc>
      </w:tr>
      <w:tr w:rsidR="00732D50" w14:paraId="0A01CDCC"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F2F4F7"/>
            <w:vAlign w:val="center"/>
          </w:tcPr>
          <w:p w14:paraId="2CF076D8" w14:textId="77777777" w:rsidR="00732D50" w:rsidRDefault="00000000">
            <w:r>
              <w:rPr>
                <w:sz w:val="20"/>
              </w:rPr>
              <w:t>Grilla regular 30 m</w:t>
            </w:r>
          </w:p>
        </w:tc>
        <w:tc>
          <w:tcPr>
            <w:tcW w:w="3135" w:type="dxa"/>
            <w:shd w:val="clear" w:color="auto" w:fill="F2F4F7"/>
            <w:vAlign w:val="center"/>
          </w:tcPr>
          <w:p w14:paraId="200C1663"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LANDSAT resolución nativa</w:t>
            </w:r>
          </w:p>
        </w:tc>
        <w:tc>
          <w:tcPr>
            <w:tcW w:w="3135" w:type="dxa"/>
            <w:shd w:val="clear" w:color="auto" w:fill="F2F4F7"/>
            <w:vAlign w:val="center"/>
          </w:tcPr>
          <w:p w14:paraId="0AC3863F"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Subcaptura fraccionamientos &lt; 30 m</w:t>
            </w:r>
          </w:p>
        </w:tc>
      </w:tr>
      <w:tr w:rsidR="00732D50" w14:paraId="25413D1C"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FFFFFF"/>
            <w:vAlign w:val="center"/>
          </w:tcPr>
          <w:p w14:paraId="0240B35A" w14:textId="77777777" w:rsidR="00732D50" w:rsidRDefault="00000000">
            <w:r>
              <w:rPr>
                <w:sz w:val="20"/>
              </w:rPr>
              <w:t>Estados binarios {0,1}</w:t>
            </w:r>
          </w:p>
        </w:tc>
        <w:tc>
          <w:tcPr>
            <w:tcW w:w="3135" w:type="dxa"/>
            <w:shd w:val="clear" w:color="auto" w:fill="FFFFFF"/>
            <w:vAlign w:val="center"/>
          </w:tcPr>
          <w:p w14:paraId="072D2591"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Simplificación de cobertura mixta</w:t>
            </w:r>
          </w:p>
        </w:tc>
        <w:tc>
          <w:tcPr>
            <w:tcW w:w="3135" w:type="dxa"/>
            <w:shd w:val="clear" w:color="auto" w:fill="FFFFFF"/>
            <w:vAlign w:val="center"/>
          </w:tcPr>
          <w:p w14:paraId="6A06E30C"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Pierde intensidad de uso</w:t>
            </w:r>
          </w:p>
        </w:tc>
      </w:tr>
      <w:tr w:rsidR="00732D50" w:rsidRPr="00CB3968" w14:paraId="7AB25487"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F2F4F7"/>
            <w:vAlign w:val="center"/>
          </w:tcPr>
          <w:p w14:paraId="52D22C18" w14:textId="77777777" w:rsidR="00732D50" w:rsidRDefault="00000000">
            <w:r>
              <w:rPr>
                <w:sz w:val="20"/>
              </w:rPr>
              <w:t>Vecindad Moore 3×3</w:t>
            </w:r>
          </w:p>
        </w:tc>
        <w:tc>
          <w:tcPr>
            <w:tcW w:w="3135" w:type="dxa"/>
            <w:shd w:val="clear" w:color="auto" w:fill="F2F4F7"/>
            <w:vAlign w:val="center"/>
          </w:tcPr>
          <w:p w14:paraId="63F27526"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Estándar en CA urbanos</w:t>
            </w:r>
          </w:p>
        </w:tc>
        <w:tc>
          <w:tcPr>
            <w:tcW w:w="3135" w:type="dxa"/>
            <w:shd w:val="clear" w:color="auto" w:fill="F2F4F7"/>
            <w:vAlign w:val="center"/>
          </w:tcPr>
          <w:p w14:paraId="67852A3D" w14:textId="77777777" w:rsidR="00732D50" w:rsidRPr="00CB3968" w:rsidRDefault="00000000">
            <w:pPr>
              <w:jc w:val="center"/>
              <w:cnfStyle w:val="000000100000" w:firstRow="0" w:lastRow="0" w:firstColumn="0" w:lastColumn="0" w:oddVBand="0" w:evenVBand="0" w:oddHBand="1" w:evenHBand="0" w:firstRowFirstColumn="0" w:firstRowLastColumn="0" w:lastRowFirstColumn="0" w:lastRowLastColumn="0"/>
              <w:rPr>
                <w:lang w:val="es-419"/>
              </w:rPr>
            </w:pPr>
            <w:r w:rsidRPr="00CB3968">
              <w:rPr>
                <w:sz w:val="20"/>
                <w:lang w:val="es-419"/>
              </w:rPr>
              <w:t>No captura corredores de &gt; 3 celdas</w:t>
            </w:r>
          </w:p>
        </w:tc>
      </w:tr>
      <w:tr w:rsidR="00732D50" w14:paraId="1BC111CE"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FFFFFF"/>
            <w:vAlign w:val="center"/>
          </w:tcPr>
          <w:p w14:paraId="2661AE3D" w14:textId="77777777" w:rsidR="00732D50" w:rsidRDefault="00000000">
            <w:r>
              <w:rPr>
                <w:sz w:val="20"/>
              </w:rPr>
              <w:t>Pesos suman a 1</w:t>
            </w:r>
          </w:p>
        </w:tc>
        <w:tc>
          <w:tcPr>
            <w:tcW w:w="3135" w:type="dxa"/>
            <w:shd w:val="clear" w:color="auto" w:fill="FFFFFF"/>
            <w:vAlign w:val="center"/>
          </w:tcPr>
          <w:p w14:paraId="0C6622EB"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Interpretación probabilística</w:t>
            </w:r>
          </w:p>
        </w:tc>
        <w:tc>
          <w:tcPr>
            <w:tcW w:w="3135" w:type="dxa"/>
            <w:shd w:val="clear" w:color="auto" w:fill="FFFFFF"/>
            <w:vAlign w:val="center"/>
          </w:tcPr>
          <w:p w14:paraId="45565328"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Impide pesos extremos</w:t>
            </w:r>
          </w:p>
        </w:tc>
      </w:tr>
      <w:tr w:rsidR="00732D50" w14:paraId="5192F907"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F2F4F7"/>
            <w:vAlign w:val="center"/>
          </w:tcPr>
          <w:p w14:paraId="58D4D15E" w14:textId="77777777" w:rsidR="00732D50" w:rsidRPr="00CB3968" w:rsidRDefault="00000000">
            <w:pPr>
              <w:rPr>
                <w:lang w:val="es-419"/>
              </w:rPr>
            </w:pPr>
            <w:r w:rsidRPr="00CB3968">
              <w:rPr>
                <w:sz w:val="20"/>
                <w:lang w:val="es-419"/>
              </w:rPr>
              <w:t>Cupo anual fijo N_t</w:t>
            </w:r>
          </w:p>
        </w:tc>
        <w:tc>
          <w:tcPr>
            <w:tcW w:w="3135" w:type="dxa"/>
            <w:shd w:val="clear" w:color="auto" w:fill="F2F4F7"/>
            <w:vAlign w:val="center"/>
          </w:tcPr>
          <w:p w14:paraId="7770F290"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Crecimiento demográfico proyectado</w:t>
            </w:r>
          </w:p>
        </w:tc>
        <w:tc>
          <w:tcPr>
            <w:tcW w:w="3135" w:type="dxa"/>
            <w:shd w:val="clear" w:color="auto" w:fill="F2F4F7"/>
            <w:vAlign w:val="center"/>
          </w:tcPr>
          <w:p w14:paraId="43168256"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Invalida ante shocks migratorios</w:t>
            </w:r>
          </w:p>
        </w:tc>
      </w:tr>
      <w:tr w:rsidR="00732D50" w14:paraId="6C2F596F"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FFFFFF"/>
            <w:vAlign w:val="center"/>
          </w:tcPr>
          <w:p w14:paraId="0E686EF1" w14:textId="77777777" w:rsidR="00732D50" w:rsidRDefault="00000000">
            <w:r>
              <w:rPr>
                <w:sz w:val="20"/>
              </w:rPr>
              <w:t>Estacionariedad 2015→2030</w:t>
            </w:r>
          </w:p>
        </w:tc>
        <w:tc>
          <w:tcPr>
            <w:tcW w:w="3135" w:type="dxa"/>
            <w:shd w:val="clear" w:color="auto" w:fill="FFFFFF"/>
            <w:vAlign w:val="center"/>
          </w:tcPr>
          <w:p w14:paraId="5774CE85"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Horizonte corto (6 años)</w:t>
            </w:r>
          </w:p>
        </w:tc>
        <w:tc>
          <w:tcPr>
            <w:tcW w:w="3135" w:type="dxa"/>
            <w:shd w:val="clear" w:color="auto" w:fill="FFFFFF"/>
            <w:vAlign w:val="center"/>
          </w:tcPr>
          <w:p w14:paraId="37239C48"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Invalida post-2030</w:t>
            </w:r>
          </w:p>
        </w:tc>
      </w:tr>
      <w:tr w:rsidR="00732D50" w14:paraId="26B1173F"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F2F4F7"/>
            <w:vAlign w:val="center"/>
          </w:tcPr>
          <w:p w14:paraId="6F86EB03" w14:textId="77777777" w:rsidR="00732D50" w:rsidRDefault="00000000">
            <w:r>
              <w:rPr>
                <w:sz w:val="20"/>
              </w:rPr>
              <w:t>Independencia condicional</w:t>
            </w:r>
          </w:p>
        </w:tc>
        <w:tc>
          <w:tcPr>
            <w:tcW w:w="3135" w:type="dxa"/>
            <w:shd w:val="clear" w:color="auto" w:fill="F2F4F7"/>
            <w:vAlign w:val="center"/>
          </w:tcPr>
          <w:p w14:paraId="25F2BD50" w14:textId="77777777" w:rsidR="00732D50" w:rsidRPr="00CB3968" w:rsidRDefault="00000000">
            <w:pPr>
              <w:jc w:val="center"/>
              <w:cnfStyle w:val="000000100000" w:firstRow="0" w:lastRow="0" w:firstColumn="0" w:lastColumn="0" w:oddVBand="0" w:evenVBand="0" w:oddHBand="1" w:evenHBand="0" w:firstRowFirstColumn="0" w:firstRowLastColumn="0" w:lastRowFirstColumn="0" w:lastRowLastColumn="0"/>
              <w:rPr>
                <w:lang w:val="es-419"/>
              </w:rPr>
            </w:pPr>
            <w:r w:rsidRPr="00CB3968">
              <w:rPr>
                <w:sz w:val="20"/>
                <w:lang w:val="es-419"/>
              </w:rPr>
              <w:t>Marca registrada de los CA</w:t>
            </w:r>
          </w:p>
        </w:tc>
        <w:tc>
          <w:tcPr>
            <w:tcW w:w="3135" w:type="dxa"/>
            <w:shd w:val="clear" w:color="auto" w:fill="F2F4F7"/>
            <w:vAlign w:val="center"/>
          </w:tcPr>
          <w:p w14:paraId="6C557D34"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Produce salpicado intra-manzana</w:t>
            </w:r>
          </w:p>
        </w:tc>
      </w:tr>
    </w:tbl>
    <w:p w14:paraId="72D5A02E" w14:textId="77777777" w:rsidR="00732D50" w:rsidRDefault="00000000">
      <w:pPr>
        <w:pStyle w:val="Heading1"/>
      </w:pPr>
      <w:r>
        <w:rPr>
          <w:color w:val="1A365D"/>
        </w:rPr>
        <w:lastRenderedPageBreak/>
        <w:t>8. Glosario de símbolos</w:t>
      </w:r>
    </w:p>
    <w:tbl>
      <w:tblPr>
        <w:tblStyle w:val="LightGrid-Accent1"/>
        <w:tblW w:w="0" w:type="auto"/>
        <w:tblLook w:val="04A0" w:firstRow="1" w:lastRow="0" w:firstColumn="1" w:lastColumn="0" w:noHBand="0" w:noVBand="1"/>
      </w:tblPr>
      <w:tblGrid>
        <w:gridCol w:w="4703"/>
        <w:gridCol w:w="4703"/>
      </w:tblGrid>
      <w:tr w:rsidR="00732D50" w14:paraId="5A11993A" w14:textId="77777777" w:rsidTr="00732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1A365D"/>
            <w:vAlign w:val="center"/>
          </w:tcPr>
          <w:p w14:paraId="086EEBD1" w14:textId="77777777" w:rsidR="00732D50" w:rsidRDefault="00000000">
            <w:pPr>
              <w:jc w:val="center"/>
            </w:pPr>
            <w:r>
              <w:rPr>
                <w:color w:val="FFFFFF"/>
                <w:sz w:val="20"/>
              </w:rPr>
              <w:t>Símbolo</w:t>
            </w:r>
          </w:p>
        </w:tc>
        <w:tc>
          <w:tcPr>
            <w:tcW w:w="4703" w:type="dxa"/>
            <w:shd w:val="clear" w:color="auto" w:fill="1A365D"/>
            <w:vAlign w:val="center"/>
          </w:tcPr>
          <w:p w14:paraId="22596202" w14:textId="77777777" w:rsidR="00732D5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Significado</w:t>
            </w:r>
          </w:p>
        </w:tc>
      </w:tr>
      <w:tr w:rsidR="00732D50" w:rsidRPr="00CB3968" w14:paraId="36F9CBFB"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7030303E" w14:textId="77777777" w:rsidR="00732D50" w:rsidRDefault="00000000">
            <w:r>
              <w:rPr>
                <w:sz w:val="20"/>
              </w:rPr>
              <w:t>i</w:t>
            </w:r>
          </w:p>
        </w:tc>
        <w:tc>
          <w:tcPr>
            <w:tcW w:w="4703" w:type="dxa"/>
            <w:shd w:val="clear" w:color="auto" w:fill="F2F4F7"/>
            <w:vAlign w:val="center"/>
          </w:tcPr>
          <w:p w14:paraId="03B7A321" w14:textId="77777777" w:rsidR="00732D50" w:rsidRPr="00CB3968" w:rsidRDefault="00000000">
            <w:pPr>
              <w:jc w:val="center"/>
              <w:cnfStyle w:val="000000100000" w:firstRow="0" w:lastRow="0" w:firstColumn="0" w:lastColumn="0" w:oddVBand="0" w:evenVBand="0" w:oddHBand="1" w:evenHBand="0" w:firstRowFirstColumn="0" w:firstRowLastColumn="0" w:lastRowFirstColumn="0" w:lastRowLastColumn="0"/>
              <w:rPr>
                <w:lang w:val="es-419"/>
              </w:rPr>
            </w:pPr>
            <w:r w:rsidRPr="00CB3968">
              <w:rPr>
                <w:sz w:val="20"/>
                <w:lang w:val="es-419"/>
              </w:rPr>
              <w:t>Índice de celda en la grilla</w:t>
            </w:r>
          </w:p>
        </w:tc>
      </w:tr>
      <w:tr w:rsidR="00732D50" w14:paraId="11CB9552"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28132F5B" w14:textId="77777777" w:rsidR="00732D50" w:rsidRDefault="00000000">
            <w:r>
              <w:rPr>
                <w:sz w:val="20"/>
              </w:rPr>
              <w:t>t</w:t>
            </w:r>
          </w:p>
        </w:tc>
        <w:tc>
          <w:tcPr>
            <w:tcW w:w="4703" w:type="dxa"/>
            <w:shd w:val="clear" w:color="auto" w:fill="FFFFFF"/>
            <w:vAlign w:val="center"/>
          </w:tcPr>
          <w:p w14:paraId="030C815E"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Año</w:t>
            </w:r>
          </w:p>
        </w:tc>
      </w:tr>
      <w:tr w:rsidR="00732D50" w14:paraId="28CA962F"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4A2C17AC" w14:textId="77777777" w:rsidR="00732D50" w:rsidRDefault="00000000">
            <w:r>
              <w:rPr>
                <w:sz w:val="20"/>
              </w:rPr>
              <w:t>L</w:t>
            </w:r>
          </w:p>
        </w:tc>
        <w:tc>
          <w:tcPr>
            <w:tcW w:w="4703" w:type="dxa"/>
            <w:shd w:val="clear" w:color="auto" w:fill="F2F4F7"/>
            <w:vAlign w:val="center"/>
          </w:tcPr>
          <w:p w14:paraId="18950AC3"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Grilla rectangular N × M</w:t>
            </w:r>
          </w:p>
        </w:tc>
      </w:tr>
      <w:tr w:rsidR="00732D50" w14:paraId="54613079"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7EF05D84" w14:textId="77777777" w:rsidR="00732D50" w:rsidRDefault="00000000">
            <w:r>
              <w:rPr>
                <w:sz w:val="20"/>
              </w:rPr>
              <w:t>S</w:t>
            </w:r>
          </w:p>
        </w:tc>
        <w:tc>
          <w:tcPr>
            <w:tcW w:w="4703" w:type="dxa"/>
            <w:shd w:val="clear" w:color="auto" w:fill="FFFFFF"/>
            <w:vAlign w:val="center"/>
          </w:tcPr>
          <w:p w14:paraId="664085FD"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Conjunto de estados {0, 1}</w:t>
            </w:r>
          </w:p>
        </w:tc>
      </w:tr>
      <w:tr w:rsidR="00732D50" w:rsidRPr="00CB3968" w14:paraId="32D48E60"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2F8D6B93" w14:textId="77777777" w:rsidR="00732D50" w:rsidRDefault="00000000">
            <w:r>
              <w:rPr>
                <w:sz w:val="20"/>
              </w:rPr>
              <w:t>V(i)</w:t>
            </w:r>
          </w:p>
        </w:tc>
        <w:tc>
          <w:tcPr>
            <w:tcW w:w="4703" w:type="dxa"/>
            <w:shd w:val="clear" w:color="auto" w:fill="F2F4F7"/>
            <w:vAlign w:val="center"/>
          </w:tcPr>
          <w:p w14:paraId="5F64A32B" w14:textId="77777777" w:rsidR="00732D50" w:rsidRPr="00CB3968" w:rsidRDefault="00000000">
            <w:pPr>
              <w:jc w:val="center"/>
              <w:cnfStyle w:val="000000100000" w:firstRow="0" w:lastRow="0" w:firstColumn="0" w:lastColumn="0" w:oddVBand="0" w:evenVBand="0" w:oddHBand="1" w:evenHBand="0" w:firstRowFirstColumn="0" w:firstRowLastColumn="0" w:lastRowFirstColumn="0" w:lastRowLastColumn="0"/>
              <w:rPr>
                <w:lang w:val="es-419"/>
              </w:rPr>
            </w:pPr>
            <w:r w:rsidRPr="00CB3968">
              <w:rPr>
                <w:sz w:val="20"/>
                <w:lang w:val="es-419"/>
              </w:rPr>
              <w:t>Vecindad Moore 3×3 de la celda i</w:t>
            </w:r>
          </w:p>
        </w:tc>
      </w:tr>
      <w:tr w:rsidR="00732D50" w:rsidRPr="00CB3968" w14:paraId="75E7C824"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1F66C5FB" w14:textId="77777777" w:rsidR="00732D50" w:rsidRDefault="00000000">
            <w:r>
              <w:rPr>
                <w:sz w:val="20"/>
              </w:rPr>
              <w:t>s(i, t)</w:t>
            </w:r>
          </w:p>
        </w:tc>
        <w:tc>
          <w:tcPr>
            <w:tcW w:w="4703" w:type="dxa"/>
            <w:shd w:val="clear" w:color="auto" w:fill="FFFFFF"/>
            <w:vAlign w:val="center"/>
          </w:tcPr>
          <w:p w14:paraId="44C5DE23" w14:textId="77777777" w:rsidR="00732D50" w:rsidRPr="00CB3968" w:rsidRDefault="00000000">
            <w:pPr>
              <w:jc w:val="center"/>
              <w:cnfStyle w:val="000000010000" w:firstRow="0" w:lastRow="0" w:firstColumn="0" w:lastColumn="0" w:oddVBand="0" w:evenVBand="0" w:oddHBand="0" w:evenHBand="1" w:firstRowFirstColumn="0" w:firstRowLastColumn="0" w:lastRowFirstColumn="0" w:lastRowLastColumn="0"/>
              <w:rPr>
                <w:lang w:val="es-419"/>
              </w:rPr>
            </w:pPr>
            <w:r w:rsidRPr="00CB3968">
              <w:rPr>
                <w:sz w:val="20"/>
                <w:lang w:val="es-419"/>
              </w:rPr>
              <w:t>Estado de la celda i en el año t</w:t>
            </w:r>
          </w:p>
        </w:tc>
      </w:tr>
      <w:tr w:rsidR="00732D50" w:rsidRPr="00CB3968" w14:paraId="0DC4FE55"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57F60EB4" w14:textId="77777777" w:rsidR="00732D50" w:rsidRDefault="00000000">
            <w:r>
              <w:rPr>
                <w:sz w:val="20"/>
              </w:rPr>
              <w:t>d_edge</w:t>
            </w:r>
          </w:p>
        </w:tc>
        <w:tc>
          <w:tcPr>
            <w:tcW w:w="4703" w:type="dxa"/>
            <w:shd w:val="clear" w:color="auto" w:fill="F2F4F7"/>
            <w:vAlign w:val="center"/>
          </w:tcPr>
          <w:p w14:paraId="159EF260" w14:textId="77777777" w:rsidR="00732D50" w:rsidRPr="00CB3968" w:rsidRDefault="00000000">
            <w:pPr>
              <w:jc w:val="center"/>
              <w:cnfStyle w:val="000000100000" w:firstRow="0" w:lastRow="0" w:firstColumn="0" w:lastColumn="0" w:oddVBand="0" w:evenVBand="0" w:oddHBand="1" w:evenHBand="0" w:firstRowFirstColumn="0" w:firstRowLastColumn="0" w:lastRowFirstColumn="0" w:lastRowLastColumn="0"/>
              <w:rPr>
                <w:lang w:val="es-419"/>
              </w:rPr>
            </w:pPr>
            <w:r w:rsidRPr="00CB3968">
              <w:rPr>
                <w:sz w:val="20"/>
                <w:lang w:val="es-419"/>
              </w:rPr>
              <w:t>Distancia euclidiana al borde urbano (metros)</w:t>
            </w:r>
          </w:p>
        </w:tc>
      </w:tr>
      <w:tr w:rsidR="00732D50" w:rsidRPr="00CB3968" w14:paraId="2C6E17E3"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595DB1DC" w14:textId="77777777" w:rsidR="00732D50" w:rsidRDefault="00000000">
            <w:r>
              <w:rPr>
                <w:sz w:val="20"/>
              </w:rPr>
              <w:t>d_cenote</w:t>
            </w:r>
          </w:p>
        </w:tc>
        <w:tc>
          <w:tcPr>
            <w:tcW w:w="4703" w:type="dxa"/>
            <w:shd w:val="clear" w:color="auto" w:fill="FFFFFF"/>
            <w:vAlign w:val="center"/>
          </w:tcPr>
          <w:p w14:paraId="7A7D1A7D" w14:textId="77777777" w:rsidR="00732D50" w:rsidRPr="00CB3968" w:rsidRDefault="00000000">
            <w:pPr>
              <w:jc w:val="center"/>
              <w:cnfStyle w:val="000000010000" w:firstRow="0" w:lastRow="0" w:firstColumn="0" w:lastColumn="0" w:oddVBand="0" w:evenVBand="0" w:oddHBand="0" w:evenHBand="1" w:firstRowFirstColumn="0" w:firstRowLastColumn="0" w:lastRowFirstColumn="0" w:lastRowLastColumn="0"/>
              <w:rPr>
                <w:lang w:val="es-419"/>
              </w:rPr>
            </w:pPr>
            <w:r w:rsidRPr="00CB3968">
              <w:rPr>
                <w:sz w:val="20"/>
                <w:lang w:val="es-419"/>
              </w:rPr>
              <w:t>Distancia al cenote más cercano</w:t>
            </w:r>
          </w:p>
        </w:tc>
      </w:tr>
      <w:tr w:rsidR="00732D50" w:rsidRPr="00CB3968" w14:paraId="6E3156C1"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1697174A" w14:textId="77777777" w:rsidR="00732D50" w:rsidRDefault="00000000">
            <w:r>
              <w:rPr>
                <w:sz w:val="20"/>
              </w:rPr>
              <w:t>v_acuífero</w:t>
            </w:r>
          </w:p>
        </w:tc>
        <w:tc>
          <w:tcPr>
            <w:tcW w:w="4703" w:type="dxa"/>
            <w:shd w:val="clear" w:color="auto" w:fill="F2F4F7"/>
            <w:vAlign w:val="center"/>
          </w:tcPr>
          <w:p w14:paraId="3D6531B9" w14:textId="77777777" w:rsidR="00732D50" w:rsidRPr="00CB3968" w:rsidRDefault="00000000">
            <w:pPr>
              <w:jc w:val="center"/>
              <w:cnfStyle w:val="000000100000" w:firstRow="0" w:lastRow="0" w:firstColumn="0" w:lastColumn="0" w:oddVBand="0" w:evenVBand="0" w:oddHBand="1" w:evenHBand="0" w:firstRowFirstColumn="0" w:firstRowLastColumn="0" w:lastRowFirstColumn="0" w:lastRowLastColumn="0"/>
              <w:rPr>
                <w:lang w:val="es-419"/>
              </w:rPr>
            </w:pPr>
            <w:r w:rsidRPr="00CB3968">
              <w:rPr>
                <w:sz w:val="20"/>
                <w:lang w:val="es-419"/>
              </w:rPr>
              <w:t>Vulnerabilidad del acuífero en [0,1] (escala GOD)</w:t>
            </w:r>
          </w:p>
        </w:tc>
      </w:tr>
      <w:tr w:rsidR="00732D50" w:rsidRPr="00CB3968" w14:paraId="311AA2C5"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75DA0E11" w14:textId="77777777" w:rsidR="00732D50" w:rsidRDefault="00000000">
            <w:r>
              <w:rPr>
                <w:sz w:val="20"/>
              </w:rPr>
              <w:t>NDVI</w:t>
            </w:r>
          </w:p>
        </w:tc>
        <w:tc>
          <w:tcPr>
            <w:tcW w:w="4703" w:type="dxa"/>
            <w:shd w:val="clear" w:color="auto" w:fill="FFFFFF"/>
            <w:vAlign w:val="center"/>
          </w:tcPr>
          <w:p w14:paraId="495A87DA" w14:textId="77777777" w:rsidR="00732D50" w:rsidRPr="00CB3968" w:rsidRDefault="00000000">
            <w:pPr>
              <w:jc w:val="center"/>
              <w:cnfStyle w:val="000000010000" w:firstRow="0" w:lastRow="0" w:firstColumn="0" w:lastColumn="0" w:oddVBand="0" w:evenVBand="0" w:oddHBand="0" w:evenHBand="1" w:firstRowFirstColumn="0" w:firstRowLastColumn="0" w:lastRowFirstColumn="0" w:lastRowLastColumn="0"/>
              <w:rPr>
                <w:lang w:val="es-419"/>
              </w:rPr>
            </w:pPr>
            <w:r w:rsidRPr="00CB3968">
              <w:rPr>
                <w:sz w:val="20"/>
                <w:lang w:val="es-419"/>
              </w:rPr>
              <w:t>Índice de Vegetación de Diferencia Normalizada</w:t>
            </w:r>
          </w:p>
        </w:tc>
      </w:tr>
      <w:tr w:rsidR="00732D50" w14:paraId="682A6677"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65E31A9C" w14:textId="77777777" w:rsidR="00732D50" w:rsidRDefault="00000000">
            <w:r>
              <w:rPr>
                <w:sz w:val="20"/>
              </w:rPr>
              <w:t>LST</w:t>
            </w:r>
          </w:p>
        </w:tc>
        <w:tc>
          <w:tcPr>
            <w:tcW w:w="4703" w:type="dxa"/>
            <w:shd w:val="clear" w:color="auto" w:fill="F2F4F7"/>
            <w:vAlign w:val="center"/>
          </w:tcPr>
          <w:p w14:paraId="5480B19B"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Temperatura de superficie (Land Surface Temperature)</w:t>
            </w:r>
          </w:p>
        </w:tc>
      </w:tr>
      <w:tr w:rsidR="00732D50" w:rsidRPr="00CB3968" w14:paraId="3F630FBD"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3DA9D74B" w14:textId="77777777" w:rsidR="00732D50" w:rsidRDefault="00000000">
            <w:r>
              <w:rPr>
                <w:sz w:val="20"/>
              </w:rPr>
              <w:t>NBR_k</w:t>
            </w:r>
          </w:p>
        </w:tc>
        <w:tc>
          <w:tcPr>
            <w:tcW w:w="4703" w:type="dxa"/>
            <w:shd w:val="clear" w:color="auto" w:fill="FFFFFF"/>
            <w:vAlign w:val="center"/>
          </w:tcPr>
          <w:p w14:paraId="37B53FF3" w14:textId="77777777" w:rsidR="00732D50" w:rsidRPr="00CB3968" w:rsidRDefault="00000000">
            <w:pPr>
              <w:jc w:val="center"/>
              <w:cnfStyle w:val="000000010000" w:firstRow="0" w:lastRow="0" w:firstColumn="0" w:lastColumn="0" w:oddVBand="0" w:evenVBand="0" w:oddHBand="0" w:evenHBand="1" w:firstRowFirstColumn="0" w:firstRowLastColumn="0" w:lastRowFirstColumn="0" w:lastRowLastColumn="0"/>
              <w:rPr>
                <w:lang w:val="es-419"/>
              </w:rPr>
            </w:pPr>
            <w:r w:rsidRPr="00CB3968">
              <w:rPr>
                <w:sz w:val="20"/>
                <w:lang w:val="es-419"/>
              </w:rPr>
              <w:t>Densidad de vecinos urbanizados en ventana k × k</w:t>
            </w:r>
          </w:p>
        </w:tc>
      </w:tr>
      <w:tr w:rsidR="00732D50" w:rsidRPr="00CB3968" w14:paraId="2A64AFED"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565FA3EB" w14:textId="77777777" w:rsidR="00732D50" w:rsidRDefault="00000000">
            <w:r>
              <w:rPr>
                <w:sz w:val="20"/>
              </w:rPr>
              <w:t>α, β, γ, δ</w:t>
            </w:r>
          </w:p>
        </w:tc>
        <w:tc>
          <w:tcPr>
            <w:tcW w:w="4703" w:type="dxa"/>
            <w:shd w:val="clear" w:color="auto" w:fill="F2F4F7"/>
            <w:vAlign w:val="center"/>
          </w:tcPr>
          <w:p w14:paraId="2E205B8B" w14:textId="77777777" w:rsidR="00732D50" w:rsidRPr="00CB3968" w:rsidRDefault="00000000">
            <w:pPr>
              <w:jc w:val="center"/>
              <w:cnfStyle w:val="000000100000" w:firstRow="0" w:lastRow="0" w:firstColumn="0" w:lastColumn="0" w:oddVBand="0" w:evenVBand="0" w:oddHBand="1" w:evenHBand="0" w:firstRowFirstColumn="0" w:firstRowLastColumn="0" w:lastRowFirstColumn="0" w:lastRowLastColumn="0"/>
              <w:rPr>
                <w:lang w:val="es-419"/>
              </w:rPr>
            </w:pPr>
            <w:r w:rsidRPr="00CB3968">
              <w:rPr>
                <w:sz w:val="20"/>
                <w:lang w:val="es-419"/>
              </w:rPr>
              <w:t>Pesos de la función de probabilidad</w:t>
            </w:r>
          </w:p>
        </w:tc>
      </w:tr>
      <w:tr w:rsidR="00732D50" w:rsidRPr="00CB3968" w14:paraId="259609FD"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73BDD50F" w14:textId="77777777" w:rsidR="00732D50" w:rsidRDefault="00000000">
            <w:r>
              <w:rPr>
                <w:sz w:val="20"/>
              </w:rPr>
              <w:t>N_t</w:t>
            </w:r>
          </w:p>
        </w:tc>
        <w:tc>
          <w:tcPr>
            <w:tcW w:w="4703" w:type="dxa"/>
            <w:shd w:val="clear" w:color="auto" w:fill="FFFFFF"/>
            <w:vAlign w:val="center"/>
          </w:tcPr>
          <w:p w14:paraId="54A3A8F8" w14:textId="77777777" w:rsidR="00732D50" w:rsidRPr="00CB3968" w:rsidRDefault="00000000">
            <w:pPr>
              <w:jc w:val="center"/>
              <w:cnfStyle w:val="000000010000" w:firstRow="0" w:lastRow="0" w:firstColumn="0" w:lastColumn="0" w:oddVBand="0" w:evenVBand="0" w:oddHBand="0" w:evenHBand="1" w:firstRowFirstColumn="0" w:firstRowLastColumn="0" w:lastRowFirstColumn="0" w:lastRowLastColumn="0"/>
              <w:rPr>
                <w:lang w:val="es-419"/>
              </w:rPr>
            </w:pPr>
            <w:r w:rsidRPr="00CB3968">
              <w:rPr>
                <w:sz w:val="20"/>
                <w:lang w:val="es-419"/>
              </w:rPr>
              <w:t>Cupo de celdas a urbanizar en el año t</w:t>
            </w:r>
          </w:p>
        </w:tc>
      </w:tr>
      <w:tr w:rsidR="00732D50" w:rsidRPr="00CB3968" w14:paraId="7FAB09FE"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0809E4DD" w14:textId="77777777" w:rsidR="00732D50" w:rsidRDefault="00000000">
            <w:r>
              <w:rPr>
                <w:sz w:val="20"/>
              </w:rPr>
              <w:t>τ_t</w:t>
            </w:r>
          </w:p>
        </w:tc>
        <w:tc>
          <w:tcPr>
            <w:tcW w:w="4703" w:type="dxa"/>
            <w:shd w:val="clear" w:color="auto" w:fill="F2F4F7"/>
            <w:vAlign w:val="center"/>
          </w:tcPr>
          <w:p w14:paraId="7E9D9D5E" w14:textId="77777777" w:rsidR="00732D50" w:rsidRPr="00CB3968" w:rsidRDefault="00000000">
            <w:pPr>
              <w:jc w:val="center"/>
              <w:cnfStyle w:val="000000100000" w:firstRow="0" w:lastRow="0" w:firstColumn="0" w:lastColumn="0" w:oddVBand="0" w:evenVBand="0" w:oddHBand="1" w:evenHBand="0" w:firstRowFirstColumn="0" w:firstRowLastColumn="0" w:lastRowFirstColumn="0" w:lastRowLastColumn="0"/>
              <w:rPr>
                <w:lang w:val="es-419"/>
              </w:rPr>
            </w:pPr>
            <w:r w:rsidRPr="00CB3968">
              <w:rPr>
                <w:sz w:val="20"/>
                <w:lang w:val="es-419"/>
              </w:rPr>
              <w:t>Umbral implícito que selecciona las N_t mejores</w:t>
            </w:r>
          </w:p>
        </w:tc>
      </w:tr>
      <w:tr w:rsidR="00732D50" w14:paraId="683EBE70"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5FAB5639" w14:textId="77777777" w:rsidR="00732D50" w:rsidRDefault="00000000">
            <w:r>
              <w:rPr>
                <w:sz w:val="20"/>
              </w:rPr>
              <w:t>ε</w:t>
            </w:r>
          </w:p>
        </w:tc>
        <w:tc>
          <w:tcPr>
            <w:tcW w:w="4703" w:type="dxa"/>
            <w:shd w:val="clear" w:color="auto" w:fill="FFFFFF"/>
            <w:vAlign w:val="center"/>
          </w:tcPr>
          <w:p w14:paraId="4B17B9C6"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Ruido uniforme [0,1]</w:t>
            </w:r>
          </w:p>
        </w:tc>
      </w:tr>
      <w:tr w:rsidR="00732D50" w:rsidRPr="00CB3968" w14:paraId="2F4B2362"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4A1CC2E7" w14:textId="77777777" w:rsidR="00732D50" w:rsidRDefault="00000000">
            <w:r>
              <w:rPr>
                <w:sz w:val="20"/>
              </w:rPr>
              <w:t>r_t</w:t>
            </w:r>
          </w:p>
        </w:tc>
        <w:tc>
          <w:tcPr>
            <w:tcW w:w="4703" w:type="dxa"/>
            <w:shd w:val="clear" w:color="auto" w:fill="F2F4F7"/>
            <w:vAlign w:val="center"/>
          </w:tcPr>
          <w:p w14:paraId="4C6DE731" w14:textId="77777777" w:rsidR="00732D50" w:rsidRPr="00CB3968" w:rsidRDefault="00000000">
            <w:pPr>
              <w:jc w:val="center"/>
              <w:cnfStyle w:val="000000100000" w:firstRow="0" w:lastRow="0" w:firstColumn="0" w:lastColumn="0" w:oddVBand="0" w:evenVBand="0" w:oddHBand="1" w:evenHBand="0" w:firstRowFirstColumn="0" w:firstRowLastColumn="0" w:lastRowFirstColumn="0" w:lastRowLastColumn="0"/>
              <w:rPr>
                <w:lang w:val="es-419"/>
              </w:rPr>
            </w:pPr>
            <w:r w:rsidRPr="00CB3968">
              <w:rPr>
                <w:sz w:val="20"/>
                <w:lang w:val="es-419"/>
              </w:rPr>
              <w:t>Tasa de crecimiento anual observada</w:t>
            </w:r>
          </w:p>
        </w:tc>
      </w:tr>
      <w:tr w:rsidR="00732D50" w:rsidRPr="00CB3968" w14:paraId="65051D20"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7099459C" w14:textId="77777777" w:rsidR="00732D50" w:rsidRDefault="00000000">
            <w:r>
              <w:rPr>
                <w:sz w:val="20"/>
              </w:rPr>
              <w:t>FOM</w:t>
            </w:r>
          </w:p>
        </w:tc>
        <w:tc>
          <w:tcPr>
            <w:tcW w:w="4703" w:type="dxa"/>
            <w:shd w:val="clear" w:color="auto" w:fill="FFFFFF"/>
            <w:vAlign w:val="center"/>
          </w:tcPr>
          <w:p w14:paraId="431057CD" w14:textId="77777777" w:rsidR="00732D50" w:rsidRPr="00CB3968" w:rsidRDefault="00000000">
            <w:pPr>
              <w:jc w:val="center"/>
              <w:cnfStyle w:val="000000010000" w:firstRow="0" w:lastRow="0" w:firstColumn="0" w:lastColumn="0" w:oddVBand="0" w:evenVBand="0" w:oddHBand="0" w:evenHBand="1" w:firstRowFirstColumn="0" w:firstRowLastColumn="0" w:lastRowFirstColumn="0" w:lastRowLastColumn="0"/>
              <w:rPr>
                <w:lang w:val="es-419"/>
              </w:rPr>
            </w:pPr>
            <w:r w:rsidRPr="00CB3968">
              <w:rPr>
                <w:sz w:val="20"/>
                <w:lang w:val="es-419"/>
              </w:rPr>
              <w:t>Figure of Merit (métrica de validación)</w:t>
            </w:r>
          </w:p>
        </w:tc>
      </w:tr>
      <w:tr w:rsidR="00732D50" w14:paraId="2B39F25E" w14:textId="77777777" w:rsidTr="0073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2F4F7"/>
            <w:vAlign w:val="center"/>
          </w:tcPr>
          <w:p w14:paraId="103B43AC" w14:textId="77777777" w:rsidR="00732D50" w:rsidRDefault="00000000">
            <w:r>
              <w:rPr>
                <w:sz w:val="20"/>
              </w:rPr>
              <w:t>CA</w:t>
            </w:r>
          </w:p>
        </w:tc>
        <w:tc>
          <w:tcPr>
            <w:tcW w:w="4703" w:type="dxa"/>
            <w:shd w:val="clear" w:color="auto" w:fill="F2F4F7"/>
            <w:vAlign w:val="center"/>
          </w:tcPr>
          <w:p w14:paraId="4C9FD84D" w14:textId="77777777" w:rsidR="00732D5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Cellular Automaton (autómata celular)</w:t>
            </w:r>
          </w:p>
        </w:tc>
      </w:tr>
      <w:tr w:rsidR="00732D50" w14:paraId="2F3353B2" w14:textId="77777777" w:rsidTr="00732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FFFFFF"/>
            <w:vAlign w:val="center"/>
          </w:tcPr>
          <w:p w14:paraId="6913C54E" w14:textId="77777777" w:rsidR="00732D50" w:rsidRDefault="00000000">
            <w:r>
              <w:rPr>
                <w:sz w:val="20"/>
              </w:rPr>
              <w:t>LULC</w:t>
            </w:r>
          </w:p>
        </w:tc>
        <w:tc>
          <w:tcPr>
            <w:tcW w:w="4703" w:type="dxa"/>
            <w:shd w:val="clear" w:color="auto" w:fill="FFFFFF"/>
            <w:vAlign w:val="center"/>
          </w:tcPr>
          <w:p w14:paraId="36853447" w14:textId="77777777" w:rsidR="00732D5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Land Use / Land Cover (uso de suelo)</w:t>
            </w:r>
          </w:p>
        </w:tc>
      </w:tr>
    </w:tbl>
    <w:p w14:paraId="5F1EAD94" w14:textId="77777777" w:rsidR="00732D50" w:rsidRDefault="00000000">
      <w:pPr>
        <w:pStyle w:val="Heading1"/>
      </w:pPr>
      <w:r>
        <w:rPr>
          <w:color w:val="1A365D"/>
        </w:rPr>
        <w:t>9. Referencias</w:t>
      </w:r>
    </w:p>
    <w:p w14:paraId="36F5DF68" w14:textId="77777777" w:rsidR="00732D50" w:rsidRDefault="00000000">
      <w:pPr>
        <w:pStyle w:val="ListBullet"/>
      </w:pPr>
      <w:r>
        <w:t>Conway, J. (1970). The Game of Life. Scientific American.</w:t>
      </w:r>
    </w:p>
    <w:p w14:paraId="11886E0E" w14:textId="77777777" w:rsidR="00732D50" w:rsidRDefault="00000000">
      <w:pPr>
        <w:pStyle w:val="ListBullet"/>
      </w:pPr>
      <w:r>
        <w:t>White, R. &amp; Engelen, G. (1993). Cellular automata and fractal urban form. Environment and Planning A.</w:t>
      </w:r>
    </w:p>
    <w:p w14:paraId="39F2B753" w14:textId="77777777" w:rsidR="00732D50" w:rsidRDefault="00000000">
      <w:pPr>
        <w:pStyle w:val="ListBullet"/>
      </w:pPr>
      <w:r>
        <w:t>Pontius, R.G. &amp; Schneider, L.C. (2001). Land-cover change model validation. Agriculture, Ecosystems &amp; Environment.</w:t>
      </w:r>
    </w:p>
    <w:p w14:paraId="2F6FB362" w14:textId="77777777" w:rsidR="00732D50" w:rsidRDefault="00000000">
      <w:pPr>
        <w:pStyle w:val="ListBullet"/>
      </w:pPr>
      <w:r>
        <w:t>Ke, G. et al. (2017). LightGBM: A Highly Efficient Gradient Boosting Decision Tree. NeurIPS.</w:t>
      </w:r>
    </w:p>
    <w:p w14:paraId="6B419456" w14:textId="77777777" w:rsidR="00732D50" w:rsidRDefault="00000000">
      <w:pPr>
        <w:pStyle w:val="ListBullet"/>
      </w:pPr>
      <w:r w:rsidRPr="00CB3968">
        <w:rPr>
          <w:lang w:val="es-419"/>
        </w:rPr>
        <w:t xml:space="preserve">López-Rivera, J. &amp; Romero-Huertas, J. (2021). RNA + Autómata Celular para crecimiento urbano vertical. </w:t>
      </w:r>
      <w:r>
        <w:t>Springer.</w:t>
      </w:r>
    </w:p>
    <w:p w14:paraId="4DE489FF" w14:textId="77777777" w:rsidR="00732D50" w:rsidRDefault="00000000">
      <w:pPr>
        <w:pStyle w:val="ListBullet"/>
      </w:pPr>
      <w:r>
        <w:t>INEGI (2020). Censo de Población y Vivienda. México.</w:t>
      </w:r>
    </w:p>
    <w:p w14:paraId="538EE4E9" w14:textId="77777777" w:rsidR="00732D50" w:rsidRDefault="00000000">
      <w:pPr>
        <w:pStyle w:val="ListBullet"/>
      </w:pPr>
      <w:r>
        <w:t>SEDUMA Yucatán (2023). Programa de Ordenamiento Ecológico Territorial.</w:t>
      </w:r>
    </w:p>
    <w:p w14:paraId="2BF0A05A" w14:textId="77777777" w:rsidR="00732D50" w:rsidRDefault="00000000">
      <w:pPr>
        <w:pStyle w:val="ListBullet"/>
      </w:pPr>
      <w:r>
        <w:t>CONAGUA / IMTA (2022). Vulnerabilidad del acuífero kárstico yucateco.</w:t>
      </w:r>
    </w:p>
    <w:p w14:paraId="0D4DA0FB" w14:textId="6254F7E2" w:rsidR="00732D50" w:rsidRDefault="00732D50" w:rsidP="00CB3968">
      <w:pPr>
        <w:pStyle w:val="ListBullet"/>
        <w:numPr>
          <w:ilvl w:val="0"/>
          <w:numId w:val="0"/>
        </w:numPr>
        <w:ind w:left="360"/>
      </w:pPr>
    </w:p>
    <w:sectPr w:rsidR="00732D5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258467">
    <w:abstractNumId w:val="8"/>
  </w:num>
  <w:num w:numId="2" w16cid:durableId="487787664">
    <w:abstractNumId w:val="6"/>
  </w:num>
  <w:num w:numId="3" w16cid:durableId="1327825775">
    <w:abstractNumId w:val="5"/>
  </w:num>
  <w:num w:numId="4" w16cid:durableId="604657148">
    <w:abstractNumId w:val="4"/>
  </w:num>
  <w:num w:numId="5" w16cid:durableId="848371257">
    <w:abstractNumId w:val="7"/>
  </w:num>
  <w:num w:numId="6" w16cid:durableId="1704012603">
    <w:abstractNumId w:val="3"/>
  </w:num>
  <w:num w:numId="7" w16cid:durableId="265308701">
    <w:abstractNumId w:val="2"/>
  </w:num>
  <w:num w:numId="8" w16cid:durableId="1778207919">
    <w:abstractNumId w:val="1"/>
  </w:num>
  <w:num w:numId="9" w16cid:durableId="172880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2D50"/>
    <w:rsid w:val="00AA1D8D"/>
    <w:rsid w:val="00AF0469"/>
    <w:rsid w:val="00B47730"/>
    <w:rsid w:val="00CB0664"/>
    <w:rsid w:val="00CB39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8184D"/>
  <w14:defaultImageDpi w14:val="300"/>
  <w15:docId w15:val="{EB095BC2-E4FB-4347-ACC5-C3819308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1979</Words>
  <Characters>11284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Hector Javier Raya romo</cp:lastModifiedBy>
  <cp:revision>2</cp:revision>
  <dcterms:created xsi:type="dcterms:W3CDTF">2013-12-23T23:15:00Z</dcterms:created>
  <dcterms:modified xsi:type="dcterms:W3CDTF">2026-08-06T16:11:00Z</dcterms:modified>
  <cp:category/>
</cp:coreProperties>
</file>