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40"/>
        </w:rPr>
        <w:t>Semana 4</w:t>
      </w:r>
    </w:p>
    <w:p>
      <w:pPr>
        <w:jc w:val="center"/>
      </w:pPr>
      <w:r>
        <w:rPr>
          <w:b/>
          <w:i/>
          <w:color w:val="555555"/>
          <w:sz w:val="24"/>
        </w:rPr>
        <w:t>Predicción de Expansión Urbana de la Zona Metropolitana de Mérida, Yucatán (2025–2030): Modelo Híbrido de Autómatas Celulares y LightGBM con Incorporación de Variables Kársticas</w:t>
      </w:r>
    </w:p>
    <w:p>
      <w:pPr>
        <w:jc w:val="center"/>
      </w:pPr>
      <w:r>
        <w:rPr>
          <w:i/>
          <w:color w:val="808080"/>
          <w:sz w:val="20"/>
        </w:rPr>
        <w:t>Versión 2.0 — Junio 2025</w:t>
      </w:r>
    </w:p>
    <w:p/>
    <w:p>
      <w:pPr>
        <w:pStyle w:val="Heading1"/>
      </w:pPr>
      <w:r>
        <w:rPr>
          <w:color w:val="1F3A5F"/>
        </w:rPr>
        <w:t>Título</w:t>
      </w:r>
    </w:p>
    <w:p>
      <w:r>
        <w:rPr>
          <w:rFonts w:ascii="Calibri" w:hAnsi="Calibri"/>
          <w:b w:val="0"/>
          <w:i w:val="0"/>
          <w:sz w:val="22"/>
        </w:rPr>
        <w:t>Predicción de Expansión Urbana de la Zona Metropolitana de Mérida, Yucatán (2025–2030): Modelo Híbrido de Autómatas Celulares y LightGBM con Incorporación de Variables Kársticas.</w:t>
      </w:r>
    </w:p>
    <w:p>
      <w:r>
        <w:rPr>
          <w:rFonts w:ascii="Calibri" w:hAnsi="Calibri"/>
          <w:b w:val="0"/>
          <w:i/>
          <w:sz w:val="22"/>
        </w:rPr>
        <w:t>Versión 2.0 — Junio 2025.</w:t>
      </w:r>
    </w:p>
    <w:p>
      <w:pPr>
        <w:pStyle w:val="Heading1"/>
      </w:pPr>
      <w:r>
        <w:rPr>
          <w:color w:val="1F3A5F"/>
        </w:rPr>
        <w:t>Objetivo General</w:t>
      </w:r>
    </w:p>
    <w:p>
      <w:r>
        <w:rPr>
          <w:rFonts w:ascii="Calibri" w:hAnsi="Calibri"/>
          <w:b w:val="0"/>
          <w:i w:val="0"/>
          <w:sz w:val="22"/>
        </w:rPr>
        <w:t>Desarrollar e implementar un sistema computacional híbrido basado en Autómatas Celulares (CA) y el clasificador LightGBM para predecir la expansión de la mancha urbana de la Zona Metropolitana de Mérida (ZMM) durante el período 2025–2030, incorporando variables kársticas específicas de la Península de Yucatán (temperatura superficial LST, distancia a cenotes e índice de vulnerabilidad kárstica), con el fin de generar tres escenarios comparativos de crecimiento urbano que orienten la toma de decisiones de planificación territorial.</w:t>
      </w:r>
    </w:p>
    <w:p>
      <w:pPr>
        <w:pStyle w:val="Heading1"/>
      </w:pPr>
      <w:r>
        <w:rPr>
          <w:color w:val="1F3A5F"/>
        </w:rPr>
        <w:t>Objetivos Particulares</w:t>
      </w:r>
    </w:p>
    <w:p>
      <w:pPr>
        <w:pStyle w:val="ListNumber"/>
      </w:pPr>
      <w:r>
        <w:rPr>
          <w:sz w:val="22"/>
        </w:rPr>
        <w:t>Construir una base de datos geoespacial multifuente que integre imágenes LANDSAT 8/9 Collection 2, DEM SRTM, capas del INEGI (Marco Geoestadístico 2023 y Red Vial Nacional), el registro oficial de cenotes de la SEDUMA Yucatán y el índice DRASTIC adaptado a karst de CONAGUA/IMTA, sobre el área de la ZMM.</w:t>
      </w:r>
    </w:p>
    <w:p>
      <w:pPr>
        <w:pStyle w:val="ListNumber"/>
      </w:pPr>
      <w:r>
        <w:rPr>
          <w:sz w:val="22"/>
        </w:rPr>
        <w:t>Implementar el pipeline de preprocesamiento para generar los mapas LULC binarios (urbano/no urbano) mediante los índices NDVI (&lt; 0.20) y NDBI (&gt; 0.05), con apertura morfológica 3×3 y eliminación de parches menores a 8,100 m².</w:t>
      </w:r>
    </w:p>
    <w:p>
      <w:pPr>
        <w:pStyle w:val="ListNumber"/>
      </w:pPr>
      <w:r>
        <w:rPr>
          <w:sz w:val="22"/>
        </w:rPr>
        <w:t>Entrenar dos modelos LightGBM: (a) un modelo de transición para estimar la probabilidad de urbanización de cada celda y (b) un modelo de reglas aprendidas del Autómata Celular que reemplace el umbral estadístico fijo de trabajos previos, entrenado sobre el estado de vecindad 3×3, 5×5 y 9×9.</w:t>
      </w:r>
    </w:p>
    <w:p>
      <w:pPr>
        <w:pStyle w:val="ListNumber"/>
      </w:pPr>
      <w:r>
        <w:rPr>
          <w:sz w:val="22"/>
        </w:rPr>
        <w:t>Incorporar las tres variables kársticas (LST, distancia a cenote y vulnerabilidad kárstica) como features diferenciadoras del modelo v2.0, definiendo reglas de exclusión total (&lt; 200 m de cenotes) y penalización por temperatura y vulnerabilidad.</w:t>
      </w:r>
    </w:p>
    <w:p>
      <w:pPr>
        <w:pStyle w:val="ListNumber"/>
      </w:pPr>
      <w:r>
        <w:rPr>
          <w:sz w:val="22"/>
        </w:rPr>
        <w:t>Ejecutar la simulación CA bajo tres escenarios (sin planificación, planificación tradicional y gestión por IA) calibrando los pesos α, β, γ y δ de la función de probabilidad total, para los años 2026, 2028 y 2030.</w:t>
      </w:r>
    </w:p>
    <w:p>
      <w:pPr>
        <w:pStyle w:val="ListNumber"/>
      </w:pPr>
      <w:r>
        <w:rPr>
          <w:sz w:val="22"/>
        </w:rPr>
        <w:t>Validar el modelo con las métricas estándar de la literatura LULC: AUC-ROC &gt; 0.80, Figure of Merit (FOM) &gt; 0.20, Kappa de Cohen &gt; 0.60 y F1 Score &gt; 0.65.</w:t>
      </w:r>
    </w:p>
    <w:p>
      <w:pPr>
        <w:pStyle w:val="ListNumber"/>
      </w:pPr>
      <w:r>
        <w:rPr>
          <w:sz w:val="22"/>
        </w:rPr>
        <w:t>Generar los productos cartográficos y reportes comparativos (mapas de probabilidad, shapefiles de área urbana, panel comparativo de tres escenarios, métricas y estadísticas de área) que constituyan el entregable técnico del proyecto.</w:t>
      </w:r>
    </w:p>
    <w:p>
      <w:pPr>
        <w:pStyle w:val="Heading1"/>
      </w:pPr>
      <w:r>
        <w:rPr>
          <w:color w:val="1F3A5F"/>
        </w:rPr>
        <w:t>Justificación</w:t>
      </w:r>
    </w:p>
    <w:p>
      <w:r>
        <w:rPr>
          <w:rFonts w:ascii="Calibri" w:hAnsi="Calibri"/>
          <w:b w:val="0"/>
          <w:i w:val="0"/>
          <w:sz w:val="22"/>
        </w:rPr>
        <w:t>Mérida es la ciudad de mayor crecimiento en el sureste de México. Entre 2000 y 2025 su mancha urbana se duplicó, superando los 820 km², con una tasa de expansión aproximada del 3.5% anual. Este crecimiento ejerce presiones críticas sobre cuatro sistemas ambientales y urbanos que la planificación convencional no ha logrado conciliar:</w:t>
      </w:r>
    </w:p>
    <w:p>
      <w:pPr>
        <w:pStyle w:val="ListBullet"/>
      </w:pPr>
      <w:r>
        <w:rPr>
          <w:sz w:val="22"/>
        </w:rPr>
        <w:t>El acuífero kárstico, única fuente de agua potable de la Península, cuya vulnerabilidad es alta por la conductividad hidráulica del subsuelo yucateco.</w:t>
      </w:r>
    </w:p>
    <w:p>
      <w:pPr>
        <w:pStyle w:val="ListBullet"/>
      </w:pPr>
      <w:r>
        <w:rPr>
          <w:sz w:val="22"/>
        </w:rPr>
        <w:t>La cobertura vegetal de selva baja caducifolia, que se reduce de forma acelerada por la frontera urbana.</w:t>
      </w:r>
    </w:p>
    <w:p>
      <w:pPr>
        <w:pStyle w:val="ListBullet"/>
      </w:pPr>
      <w:r>
        <w:rPr>
          <w:sz w:val="22"/>
        </w:rPr>
        <w:t>Los cenotes y cavernas del sistema hidrológico subterráneo, cuya contaminación es esencialmente irreversible.</w:t>
      </w:r>
    </w:p>
    <w:p>
      <w:pPr>
        <w:pStyle w:val="ListBullet"/>
      </w:pPr>
      <w:r>
        <w:rPr>
          <w:sz w:val="22"/>
        </w:rPr>
        <w:t>La temperatura superficial urbana, con efectos crecientes de isla de calor que ya superan +3.6 °C en el escenario tendencial.</w:t>
      </w:r>
    </w:p>
    <w:p>
      <w:r>
        <w:rPr>
          <w:rFonts w:ascii="Calibri" w:hAnsi="Calibri"/>
          <w:b w:val="0"/>
          <w:i w:val="0"/>
          <w:sz w:val="22"/>
        </w:rPr>
        <w:t>La justificación del presente proyecto se sostiene en dos contribuciones originales ausentes en los modelos previos de expansión urbana para ciudades mexicanas —incluida la tesis de López-Rivera y Romero-Huertas (2021), que constituye el único antecedente metodológico comparable—:</w:t>
      </w:r>
    </w:p>
    <w:p>
      <w:pPr>
        <w:pStyle w:val="ListNumber"/>
      </w:pPr>
      <w:r>
        <w:rPr>
          <w:sz w:val="22"/>
        </w:rPr>
        <w:t>La incorporación explícita de variables kársticas (LST, distancia a cenotes e índice de vulnerabilidad DRASTIC adaptado a karst yucateco) que ningún trabajo previo ha integrado en un modelo predictivo de la ZMM.</w:t>
      </w:r>
    </w:p>
    <w:p>
      <w:pPr>
        <w:pStyle w:val="ListNumber"/>
      </w:pPr>
      <w:r>
        <w:rPr>
          <w:sz w:val="22"/>
        </w:rPr>
        <w:t>El reemplazo del umbral estadístico fijo del Autómata Celular por reglas aprendidas mediante un segundo LightGBM sobre el estado de vecindad, lo que permite capturar patrones no lineales de crecimiento.</w:t>
      </w:r>
    </w:p>
    <w:p>
      <w:r>
        <w:rPr>
          <w:rFonts w:ascii="Calibri" w:hAnsi="Calibri"/>
          <w:b w:val="0"/>
          <w:i w:val="0"/>
          <w:sz w:val="22"/>
        </w:rPr>
        <w:t>La relevancia operativa del proyecto se demuestra en sus propios resultados: mientras el escenario sin planificación proyecta 1,017 km² de área urbana en 2030 con un índice de fragmentación de 0.67, el escenario gestionado por IA reduce el área a 911 km², baja la fragmentación a 0.20, eleva la cobertura verde al 29% y disminuye la vulnerabilidad del acuífero de 0.68 (crítica) a 0.24 (controlada). Estos 106 km² de diferencia equivalen aproximadamente al área conjunta de los municipios de Kanasín y Umán, lo que justifica tanto la inversión computacional como la utilidad del sistema para los tomadores de decisiones.</w:t>
      </w:r>
    </w:p>
    <w:p>
      <w:pPr>
        <w:pStyle w:val="Heading1"/>
      </w:pPr>
      <w:r>
        <w:rPr>
          <w:color w:val="1F3A5F"/>
        </w:rPr>
        <w:t>Marco Teórico</w:t>
      </w:r>
    </w:p>
    <w:p>
      <w:pPr>
        <w:pStyle w:val="Heading2"/>
      </w:pPr>
      <w:r>
        <w:rPr>
          <w:color w:val="1F3A5F"/>
        </w:rPr>
        <w:t>Crecimiento urbano y su modelación</w:t>
      </w:r>
    </w:p>
    <w:p>
      <w:r>
        <w:rPr>
          <w:rFonts w:ascii="Calibri" w:hAnsi="Calibri"/>
          <w:b w:val="0"/>
          <w:i w:val="0"/>
          <w:sz w:val="22"/>
        </w:rPr>
        <w:t>El crecimiento de las zonas metropolitanas puede modelarse como un proceso espacial no lineal en el que la probabilidad de transición de una celda no urbanizada a urbanizada depende de su estado actual, de las condiciones de su entorno y de factores exógenos. White y Engelen (1993) formalizaron el uso de Autómatas Celulares (CA) acoplados a restricciones para reproducir la evolución fractal de los patrones de uso de suelo, sentando las bases de la modelación urbana contemporánea basada en CA.</w:t>
      </w:r>
    </w:p>
    <w:p>
      <w:pPr>
        <w:pStyle w:val="Heading2"/>
      </w:pPr>
      <w:r>
        <w:rPr>
          <w:color w:val="1F3A5F"/>
        </w:rPr>
        <w:t>Autómatas Celulares (CA)</w:t>
      </w:r>
    </w:p>
    <w:p>
      <w:r>
        <w:rPr>
          <w:rFonts w:ascii="Calibri" w:hAnsi="Calibri"/>
          <w:b w:val="0"/>
          <w:i w:val="0"/>
          <w:sz w:val="22"/>
        </w:rPr>
        <w:t>Un CA se define por una rejilla regular de celdas, un conjunto de estados posibles, una vecindad y una función de transición que se aplica de forma sincronizada en cada paso de tiempo. En el contexto urbano, el estado relevante es binario (urbanizado / no urbanizado) y la vecindad suele definirse mediante ventanas de 3×3, 5×5 y 9×9. La principal limitación de los CA clásicos es la dependencia de un umbral de conversión fijo, definido estadísticamente a priori, que no captura relaciones no lineales entre las condiciones locales y la probabilidad de transición.</w:t>
      </w:r>
    </w:p>
    <w:p>
      <w:pPr>
        <w:pStyle w:val="Heading2"/>
      </w:pPr>
      <w:r>
        <w:rPr>
          <w:color w:val="1F3A5F"/>
        </w:rPr>
        <w:t>LightGBM: gradient boosting eficiente</w:t>
      </w:r>
    </w:p>
    <w:p>
      <w:r>
        <w:rPr>
          <w:rFonts w:ascii="Calibri" w:hAnsi="Calibri"/>
          <w:b w:val="0"/>
          <w:i w:val="0"/>
          <w:sz w:val="22"/>
        </w:rPr>
        <w:t>LightGBM (Ke et al., 2017) es un marco de gradient boosting basado en árboles de decisión que utiliza histogramas para acelerar el entrenamiento y admite crecimiento leaf-wise, lo que reduce el tiempo de cómputo y mejora la capacidad discriminativa sobre datos tabulares desbalanceados. En el presente proyecto sustituye a Random Forest por tres razones técnicas: mejor manejo del desbalance de clases mediante scale_pos_weight, mayor velocidad de entrenamiento (≈ 2 min frente a ≈ 8 min en Random Forest) y disponibilidad nativa de SHAP values para interpretabilidad. Los AUC-ROC típicos pasan de 0.82–0.88 a 0.86–0.93.</w:t>
      </w:r>
    </w:p>
    <w:p>
      <w:pPr>
        <w:pStyle w:val="Heading2"/>
      </w:pPr>
      <w:r>
        <w:rPr>
          <w:color w:val="1F3A5F"/>
        </w:rPr>
        <w:t>Validación de modelos LULC</w:t>
      </w:r>
    </w:p>
    <w:p>
      <w:r>
        <w:rPr>
          <w:rFonts w:ascii="Calibri" w:hAnsi="Calibri"/>
          <w:b w:val="0"/>
          <w:i w:val="0"/>
          <w:sz w:val="22"/>
        </w:rPr>
        <w:t>La validación de modelos de cambio de cobertura sigue las métricas estándar de la literatura. Pontius y Schneider (2001) formalizaron el uso del ROC y la Figure of Merit (FOM) para la validación espacial. En el presente proyecto se aplican cuatro métricas: AUC-ROC (&gt; 0.80), FOM = TP / (TP + FP + FN) (&gt; 0.20), Kappa de Cohen (&gt; 0.60) y F1 Score (&gt; 0.65).</w:t>
      </w:r>
    </w:p>
    <w:p>
      <w:pPr>
        <w:pStyle w:val="Heading2"/>
      </w:pPr>
      <w:r>
        <w:rPr>
          <w:color w:val="1F3A5F"/>
        </w:rPr>
        <w:t>Antecedente metodológico: López-Rivera y Romero-Huertas (2021)</w:t>
      </w:r>
    </w:p>
    <w:p>
      <w:r>
        <w:rPr>
          <w:rFonts w:ascii="Calibri" w:hAnsi="Calibri"/>
          <w:b w:val="0"/>
          <w:i w:val="0"/>
          <w:sz w:val="22"/>
        </w:rPr>
        <w:t>La única referencia comparable para ZMMs mexicanas es la tesis An artificial neural network &amp; cellular automata vertical urban growth model (UAEM, 2021), que combina una RNA con un CA y aplica factores del INEGI (población, vivienda, PEA y servicios) para predecir crecimiento vertical. Su principal debilidad —el umbral de conversión estadístico fijo y la ausencia de variables geológicas e hidrológicas del terreno yucateco— es precisamente la brecha que cubre el presente proyecto.</w:t>
      </w:r>
    </w:p>
    <w:p>
      <w:pPr>
        <w:pStyle w:val="Heading2"/>
      </w:pPr>
      <w:r>
        <w:rPr>
          <w:color w:val="1F3A5F"/>
        </w:rPr>
        <w:t>Sistema kárstico de la Península de Yucatán</w:t>
      </w:r>
    </w:p>
    <w:p>
      <w:r>
        <w:rPr>
          <w:rFonts w:ascii="Calibri" w:hAnsi="Calibri"/>
          <w:b w:val="0"/>
          <w:i w:val="0"/>
          <w:sz w:val="22"/>
        </w:rPr>
        <w:t>La Península de Yucatán es una plataforma calcárea con un acuífero libre altamente conductivo, conectado a la superficie a través de cenotes, dolinas y cavidades. El índice DRASTIC modificado por CONAGUA/IMTA (2019) cuantifica la vulnerabilidad del acuífero a partir del espesor del suelo, la recarga, la conductividad hidráulica y otros factores. Este índice, junto con la temperatura superficial (LST) derivada de la banda térmica ST_B10 de LANDSAT 8/9, constituye la base hidrogeológica del presente modelo.</w:t>
      </w:r>
    </w:p>
    <w:p>
      <w:pPr>
        <w:pStyle w:val="Heading1"/>
      </w:pPr>
      <w:r>
        <w:rPr>
          <w:color w:val="1F3A5F"/>
        </w:rPr>
        <w:t>Materiales y Métodos</w:t>
      </w:r>
    </w:p>
    <w:p>
      <w:pPr>
        <w:pStyle w:val="Heading2"/>
      </w:pPr>
      <w:r>
        <w:rPr>
          <w:color w:val="1F3A5F"/>
        </w:rPr>
        <w:t>Materiales</w:t>
      </w:r>
    </w:p>
    <w:p>
      <w:r>
        <w:rPr>
          <w:rFonts w:ascii="Calibri" w:hAnsi="Calibri"/>
          <w:b/>
          <w:i w:val="0"/>
          <w:sz w:val="22"/>
        </w:rPr>
        <w:t>Datos geoespaciales: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shd w:val="clear" w:color="auto" w:fill="1F3A5F"/>
          </w:tcPr>
          <w:p>
            <w:r/>
            <w:r>
              <w:rPr>
                <w:b/>
                <w:color w:val="FFFFFF"/>
                <w:sz w:val="20"/>
              </w:rPr>
              <w:t>Dataset</w:t>
            </w:r>
          </w:p>
        </w:tc>
        <w:tc>
          <w:tcPr>
            <w:tcW w:type="dxa" w:w="2351"/>
            <w:shd w:val="clear" w:color="auto" w:fill="1F3A5F"/>
          </w:tcPr>
          <w:p>
            <w:r/>
            <w:r>
              <w:rPr>
                <w:b/>
                <w:color w:val="FFFFFF"/>
                <w:sz w:val="20"/>
              </w:rPr>
              <w:t>Descripción</w:t>
            </w:r>
          </w:p>
        </w:tc>
        <w:tc>
          <w:tcPr>
            <w:tcW w:type="dxa" w:w="2351"/>
            <w:shd w:val="clear" w:color="auto" w:fill="1F3A5F"/>
          </w:tcPr>
          <w:p>
            <w:r/>
            <w:r>
              <w:rPr>
                <w:b/>
                <w:color w:val="FFFFFF"/>
                <w:sz w:val="20"/>
              </w:rPr>
              <w:t>Fuente</w:t>
            </w:r>
          </w:p>
        </w:tc>
        <w:tc>
          <w:tcPr>
            <w:tcW w:type="dxa" w:w="2351"/>
            <w:shd w:val="clear" w:color="auto" w:fill="1F3A5F"/>
          </w:tcPr>
          <w:p>
            <w:r/>
            <w:r>
              <w:rPr>
                <w:b/>
                <w:color w:val="FFFFFF"/>
                <w:sz w:val="20"/>
              </w:rPr>
              <w:t>Acceso</w:t>
            </w:r>
          </w:p>
        </w:tc>
      </w:tr>
      <w:tr>
        <w:tc>
          <w:tcPr>
            <w:tcW w:type="dxa" w:w="2351"/>
          </w:tcPr>
          <w:p>
            <w:r/>
            <w:r>
              <w:rPr>
                <w:sz w:val="20"/>
              </w:rPr>
              <w:t>LANDSAT 8/9 Col. 2</w:t>
            </w:r>
          </w:p>
        </w:tc>
        <w:tc>
          <w:tcPr>
            <w:tcW w:type="dxa" w:w="2351"/>
          </w:tcPr>
          <w:p>
            <w:r/>
            <w:r>
              <w:rPr>
                <w:sz w:val="20"/>
              </w:rPr>
              <w:t>Imágenes multiespectrales 30 m + térmica ST_B10</w:t>
            </w:r>
          </w:p>
        </w:tc>
        <w:tc>
          <w:tcPr>
            <w:tcW w:type="dxa" w:w="2351"/>
          </w:tcPr>
          <w:p>
            <w:r/>
            <w:r>
              <w:rPr>
                <w:sz w:val="20"/>
              </w:rPr>
              <w:t>USGS / Google Earth Engine</w:t>
            </w:r>
          </w:p>
        </w:tc>
        <w:tc>
          <w:tcPr>
            <w:tcW w:type="dxa" w:w="2351"/>
          </w:tcPr>
          <w:p>
            <w:r/>
            <w:r>
              <w:rPr>
                <w:sz w:val="20"/>
              </w:rPr>
              <w:t>Gratuito (cuenta GEE)</w:t>
            </w:r>
          </w:p>
        </w:tc>
      </w:tr>
      <w:tr>
        <w:tc>
          <w:tcPr>
            <w:tcW w:type="dxa" w:w="2351"/>
            <w:shd w:val="clear" w:color="auto" w:fill="F2F2F2"/>
          </w:tcPr>
          <w:p>
            <w:r/>
            <w:r>
              <w:rPr>
                <w:sz w:val="20"/>
              </w:rPr>
              <w:t>DEM SRTM 30 m</w:t>
            </w:r>
          </w:p>
        </w:tc>
        <w:tc>
          <w:tcPr>
            <w:tcW w:type="dxa" w:w="2351"/>
            <w:shd w:val="clear" w:color="auto" w:fill="F2F2F2"/>
          </w:tcPr>
          <w:p>
            <w:r/>
            <w:r>
              <w:rPr>
                <w:sz w:val="20"/>
              </w:rPr>
              <w:t>Modelo digital de elevación + pendiente</w:t>
            </w:r>
          </w:p>
        </w:tc>
        <w:tc>
          <w:tcPr>
            <w:tcW w:type="dxa" w:w="2351"/>
            <w:shd w:val="clear" w:color="auto" w:fill="F2F2F2"/>
          </w:tcPr>
          <w:p>
            <w:r/>
            <w:r>
              <w:rPr>
                <w:sz w:val="20"/>
              </w:rPr>
              <w:t>USGS vía GEE</w:t>
            </w:r>
          </w:p>
        </w:tc>
        <w:tc>
          <w:tcPr>
            <w:tcW w:type="dxa" w:w="2351"/>
            <w:shd w:val="clear" w:color="auto" w:fill="F2F2F2"/>
          </w:tcPr>
          <w:p>
            <w:r/>
            <w:r>
              <w:rPr>
                <w:sz w:val="20"/>
              </w:rPr>
              <w:t>Gratuito</w:t>
            </w:r>
          </w:p>
        </w:tc>
      </w:tr>
      <w:tr>
        <w:tc>
          <w:tcPr>
            <w:tcW w:type="dxa" w:w="2351"/>
          </w:tcPr>
          <w:p>
            <w:r/>
            <w:r>
              <w:rPr>
                <w:sz w:val="20"/>
              </w:rPr>
              <w:t>Marco Geoestadístico 2023</w:t>
            </w:r>
          </w:p>
        </w:tc>
        <w:tc>
          <w:tcPr>
            <w:tcW w:type="dxa" w:w="2351"/>
          </w:tcPr>
          <w:p>
            <w:r/>
            <w:r>
              <w:rPr>
                <w:sz w:val="20"/>
              </w:rPr>
              <w:t>Límites municipales Mérida (CVE 31-050)</w:t>
            </w:r>
          </w:p>
        </w:tc>
        <w:tc>
          <w:tcPr>
            <w:tcW w:type="dxa" w:w="2351"/>
          </w:tcPr>
          <w:p>
            <w:r/>
            <w:r>
              <w:rPr>
                <w:sz w:val="20"/>
              </w:rPr>
              <w:t>INEGI</w:t>
            </w:r>
          </w:p>
        </w:tc>
        <w:tc>
          <w:tcPr>
            <w:tcW w:type="dxa" w:w="2351"/>
          </w:tcPr>
          <w:p>
            <w:r/>
            <w:r>
              <w:rPr>
                <w:sz w:val="20"/>
              </w:rPr>
              <w:t>Gratuito</w:t>
            </w:r>
          </w:p>
        </w:tc>
      </w:tr>
      <w:tr>
        <w:tc>
          <w:tcPr>
            <w:tcW w:type="dxa" w:w="2351"/>
            <w:shd w:val="clear" w:color="auto" w:fill="F2F2F2"/>
          </w:tcPr>
          <w:p>
            <w:r/>
            <w:r>
              <w:rPr>
                <w:sz w:val="20"/>
              </w:rPr>
              <w:t>Red vial nacional</w:t>
            </w:r>
          </w:p>
        </w:tc>
        <w:tc>
          <w:tcPr>
            <w:tcW w:type="dxa" w:w="2351"/>
            <w:shd w:val="clear" w:color="auto" w:fill="F2F2F2"/>
          </w:tcPr>
          <w:p>
            <w:r/>
            <w:r>
              <w:rPr>
                <w:sz w:val="20"/>
              </w:rPr>
              <w:t>Carreteras principales y secundarias</w:t>
            </w:r>
          </w:p>
        </w:tc>
        <w:tc>
          <w:tcPr>
            <w:tcW w:type="dxa" w:w="2351"/>
            <w:shd w:val="clear" w:color="auto" w:fill="F2F2F2"/>
          </w:tcPr>
          <w:p>
            <w:r/>
            <w:r>
              <w:rPr>
                <w:sz w:val="20"/>
              </w:rPr>
              <w:t>INEGI / OpenStreetMap</w:t>
            </w:r>
          </w:p>
        </w:tc>
        <w:tc>
          <w:tcPr>
            <w:tcW w:type="dxa" w:w="2351"/>
            <w:shd w:val="clear" w:color="auto" w:fill="F2F2F2"/>
          </w:tcPr>
          <w:p>
            <w:r/>
            <w:r>
              <w:rPr>
                <w:sz w:val="20"/>
              </w:rPr>
              <w:t>Gratuito</w:t>
            </w:r>
          </w:p>
        </w:tc>
      </w:tr>
      <w:tr>
        <w:tc>
          <w:tcPr>
            <w:tcW w:type="dxa" w:w="2351"/>
          </w:tcPr>
          <w:p>
            <w:r/>
            <w:r>
              <w:rPr>
                <w:sz w:val="20"/>
              </w:rPr>
              <w:t>Registro de cenotes SEDUMA</w:t>
            </w:r>
          </w:p>
        </w:tc>
        <w:tc>
          <w:tcPr>
            <w:tcW w:type="dxa" w:w="2351"/>
          </w:tcPr>
          <w:p>
            <w:r/>
            <w:r>
              <w:rPr>
                <w:sz w:val="20"/>
              </w:rPr>
              <w:t>Shapefile oficial de cenotes georreferenciados</w:t>
            </w:r>
          </w:p>
        </w:tc>
        <w:tc>
          <w:tcPr>
            <w:tcW w:type="dxa" w:w="2351"/>
          </w:tcPr>
          <w:p>
            <w:r/>
            <w:r>
              <w:rPr>
                <w:sz w:val="20"/>
              </w:rPr>
              <w:t>SEDUMA Yucatán</w:t>
            </w:r>
          </w:p>
        </w:tc>
        <w:tc>
          <w:tcPr>
            <w:tcW w:type="dxa" w:w="2351"/>
          </w:tcPr>
          <w:p>
            <w:r/>
            <w:r>
              <w:rPr>
                <w:sz w:val="20"/>
              </w:rPr>
              <w:t>Solicitud oficial</w:t>
            </w:r>
          </w:p>
        </w:tc>
      </w:tr>
      <w:tr>
        <w:tc>
          <w:tcPr>
            <w:tcW w:type="dxa" w:w="2351"/>
            <w:shd w:val="clear" w:color="auto" w:fill="F2F2F2"/>
          </w:tcPr>
          <w:p>
            <w:r/>
            <w:r>
              <w:rPr>
                <w:sz w:val="20"/>
              </w:rPr>
              <w:t>Vulnerabilidad kárstica</w:t>
            </w:r>
          </w:p>
        </w:tc>
        <w:tc>
          <w:tcPr>
            <w:tcW w:type="dxa" w:w="2351"/>
            <w:shd w:val="clear" w:color="auto" w:fill="F2F2F2"/>
          </w:tcPr>
          <w:p>
            <w:r/>
            <w:r>
              <w:rPr>
                <w:sz w:val="20"/>
              </w:rPr>
              <w:t>Índice DRASTIC adaptado a karst yucateco</w:t>
            </w:r>
          </w:p>
        </w:tc>
        <w:tc>
          <w:tcPr>
            <w:tcW w:type="dxa" w:w="2351"/>
            <w:shd w:val="clear" w:color="auto" w:fill="F2F2F2"/>
          </w:tcPr>
          <w:p>
            <w:r/>
            <w:r>
              <w:rPr>
                <w:sz w:val="20"/>
              </w:rPr>
              <w:t>CONAGUA / IMTA</w:t>
            </w:r>
          </w:p>
        </w:tc>
        <w:tc>
          <w:tcPr>
            <w:tcW w:type="dxa" w:w="2351"/>
            <w:shd w:val="clear" w:color="auto" w:fill="F2F2F2"/>
          </w:tcPr>
          <w:p>
            <w:r/>
            <w:r>
              <w:rPr>
                <w:sz w:val="20"/>
              </w:rPr>
              <w:t>Solicitud técnica</w:t>
            </w:r>
          </w:p>
        </w:tc>
      </w:tr>
      <w:tr>
        <w:tc>
          <w:tcPr>
            <w:tcW w:type="dxa" w:w="2351"/>
          </w:tcPr>
          <w:p>
            <w:r/>
            <w:r>
              <w:rPr>
                <w:sz w:val="20"/>
              </w:rPr>
              <w:t>Censo 2020</w:t>
            </w:r>
          </w:p>
        </w:tc>
        <w:tc>
          <w:tcPr>
            <w:tcW w:type="dxa" w:w="2351"/>
          </w:tcPr>
          <w:p>
            <w:r/>
            <w:r>
              <w:rPr>
                <w:sz w:val="20"/>
              </w:rPr>
              <w:t>Densidad poblacional por AGEB</w:t>
            </w:r>
          </w:p>
        </w:tc>
        <w:tc>
          <w:tcPr>
            <w:tcW w:type="dxa" w:w="2351"/>
          </w:tcPr>
          <w:p>
            <w:r/>
            <w:r>
              <w:rPr>
                <w:sz w:val="20"/>
              </w:rPr>
              <w:t>INEGI</w:t>
            </w:r>
          </w:p>
        </w:tc>
        <w:tc>
          <w:tcPr>
            <w:tcW w:type="dxa" w:w="2351"/>
          </w:tcPr>
          <w:p>
            <w:r/>
            <w:r>
              <w:rPr>
                <w:sz w:val="20"/>
              </w:rPr>
              <w:t>Gratuito</w:t>
            </w:r>
          </w:p>
        </w:tc>
      </w:tr>
    </w:tbl>
    <w:p>
      <w:r>
        <w:rPr>
          <w:rFonts w:ascii="Calibri" w:hAnsi="Calibri"/>
          <w:b w:val="0"/>
          <w:i w:val="0"/>
          <w:sz w:val="22"/>
        </w:rPr>
        <w:t>Software y entorno: Python 3.x, librerías lightgbm, scikit-learn, rasterio, geopandas, shapely, numpy, pandas, matplotlib, earthengine-api, osmnx; entorno pip install -r requirements.txt; autenticación GEE con earthengine authenticate.</w:t>
      </w:r>
    </w:p>
    <w:p>
      <w:pPr>
        <w:pStyle w:val="Heading2"/>
      </w:pPr>
      <w:r>
        <w:rPr>
          <w:color w:val="1F3A5F"/>
        </w:rPr>
        <w:t>Métodos</w:t>
      </w:r>
    </w:p>
    <w:p>
      <w:r>
        <w:rPr>
          <w:rFonts w:ascii="Calibri" w:hAnsi="Calibri"/>
          <w:b w:val="0"/>
          <w:i w:val="0"/>
          <w:sz w:val="22"/>
        </w:rPr>
        <w:t>El sistema se organiza como un pipeline de cinco scripts secuenciales:</w:t>
      </w:r>
    </w:p>
    <w:p>
      <w:r>
        <w:rPr>
          <w:b/>
          <w:sz w:val="22"/>
        </w:rPr>
        <w:t xml:space="preserve">Script 01 — 01_download_data.py. </w:t>
      </w:r>
      <w:r>
        <w:rPr>
          <w:sz w:val="22"/>
        </w:rPr>
        <w:t>Descarga LANDSAT 8/9, DEM SRTM, capas INEGI y OSM mediante Google Earth Engine y la API Overpass. Para los datos kársticos de SEDUMA, se incluye en data/raw/instrucciones_descarga_manual.txt la plantilla de solicitud oficial. Salida: data/raw/*.tif, *.shp.</w:t>
      </w:r>
    </w:p>
    <w:p>
      <w:r>
        <w:rPr>
          <w:b/>
          <w:sz w:val="22"/>
        </w:rPr>
        <w:t xml:space="preserve">Script 02 — 02_preprocess.py. </w:t>
      </w:r>
      <w:r>
        <w:rPr>
          <w:sz w:val="22"/>
        </w:rPr>
        <w:t>Realiza la clasificación LULC binaria (NDVI &lt; 0.20 y NDBI &gt; 0.05 → urbano), seguida de apertura morfológica con kernel 3×3 y eliminación de parches menores a 9 píxeles (8,100 m²). Extrae las 10 features finales (3 estáticas, 1 dinámica, 3 semi-dinámicas y 3 dinámicas de vecindad). Salida: lulc_{year}.tif, features_{year}.tif.</w:t>
      </w:r>
    </w:p>
    <w:p>
      <w:r>
        <w:rPr>
          <w:b/>
          <w:sz w:val="22"/>
        </w:rPr>
        <w:t xml:space="preserve">Script 03 — 03_train_model.py. </w:t>
      </w:r>
      <w:r>
        <w:rPr>
          <w:sz w:val="22"/>
        </w:rPr>
        <w:t>Entrena dos modelos LightGBM: (a) modelo de transición lgbm_model.pkl con las 10 features de la celda y (b) modelo de reglas CA ca_rules_model.pkl con vector de entrada X_CA = [nbr_3x3, nbr_5x5, nbr_9x9, P_LightGBM, dist_edge, lst_local, karst_local] y etiqueta binaria de conversión.</w:t>
      </w:r>
    </w:p>
    <w:p>
      <w:r>
        <w:rPr>
          <w:b/>
          <w:sz w:val="22"/>
        </w:rPr>
        <w:t xml:space="preserve">Script 04 — 04_simulate_ca.py. </w:t>
      </w:r>
      <w:r>
        <w:rPr>
          <w:sz w:val="22"/>
        </w:rPr>
        <w:t>Simula tres escenarios 2025–2030 aplicando la función de probabilidad:</w:t>
      </w:r>
    </w:p>
    <w:p>
      <w:pPr>
        <w:spacing w:before="120" w:after="120"/>
        <w:ind w:left="340" w:right="340"/>
        <w:shd w:val="clear" w:color="auto" w:fill="F4F4F4"/>
      </w:pPr>
      <w:r>
        <w:rPr>
          <w:rFonts w:ascii="Consolas" w:hAnsi="Consolas"/>
          <w:sz w:val="19"/>
        </w:rPr>
        <w:t>P_total = α · P_LightGBM + β · P_CA_aprendida + γ · (1 − P_kárstico) + δ · rand</w:t>
      </w:r>
    </w:p>
    <w:p>
      <w:r>
        <w:rPr>
          <w:rFonts w:ascii="Calibri" w:hAnsi="Calibri"/>
          <w:b/>
          <w:i w:val="0"/>
          <w:sz w:val="22"/>
        </w:rPr>
        <w:t>con los pesos: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shd w:val="clear" w:color="auto" w:fill="1F3A5F"/>
          </w:tcPr>
          <w:p>
            <w:r/>
            <w:r>
              <w:rPr>
                <w:b/>
                <w:color w:val="FFFFFF"/>
                <w:sz w:val="20"/>
              </w:rPr>
              <w:t>Parámetro</w:t>
            </w:r>
          </w:p>
        </w:tc>
        <w:tc>
          <w:tcPr>
            <w:tcW w:type="dxa" w:w="2351"/>
            <w:shd w:val="clear" w:color="auto" w:fill="1F3A5F"/>
          </w:tcPr>
          <w:p>
            <w:r/>
            <w:r>
              <w:rPr>
                <w:b/>
                <w:color w:val="FFFFFF"/>
                <w:sz w:val="20"/>
              </w:rPr>
              <w:t>Sin plan</w:t>
            </w:r>
          </w:p>
        </w:tc>
        <w:tc>
          <w:tcPr>
            <w:tcW w:type="dxa" w:w="2351"/>
            <w:shd w:val="clear" w:color="auto" w:fill="1F3A5F"/>
          </w:tcPr>
          <w:p>
            <w:r/>
            <w:r>
              <w:rPr>
                <w:b/>
                <w:color w:val="FFFFFF"/>
                <w:sz w:val="20"/>
              </w:rPr>
              <w:t>Plan tradicional</w:t>
            </w:r>
          </w:p>
        </w:tc>
        <w:tc>
          <w:tcPr>
            <w:tcW w:type="dxa" w:w="2351"/>
            <w:shd w:val="clear" w:color="auto" w:fill="1F3A5F"/>
          </w:tcPr>
          <w:p>
            <w:r/>
            <w:r>
              <w:rPr>
                <w:b/>
                <w:color w:val="FFFFFF"/>
                <w:sz w:val="20"/>
              </w:rPr>
              <w:t>Gestión IA</w:t>
            </w:r>
          </w:p>
        </w:tc>
      </w:tr>
      <w:tr>
        <w:tc>
          <w:tcPr>
            <w:tcW w:type="dxa" w:w="2351"/>
          </w:tcPr>
          <w:p>
            <w:r/>
            <w:r>
              <w:rPr>
                <w:sz w:val="20"/>
              </w:rPr>
              <w:t>α (P_LightGBM)</w:t>
            </w:r>
          </w:p>
        </w:tc>
        <w:tc>
          <w:tcPr>
            <w:tcW w:type="dxa" w:w="2351"/>
          </w:tcPr>
          <w:p>
            <w:r/>
            <w:r>
              <w:rPr>
                <w:sz w:val="20"/>
              </w:rPr>
              <w:t>0.60</w:t>
            </w:r>
          </w:p>
        </w:tc>
        <w:tc>
          <w:tcPr>
            <w:tcW w:type="dxa" w:w="2351"/>
          </w:tcPr>
          <w:p>
            <w:r/>
            <w:r>
              <w:rPr>
                <w:sz w:val="20"/>
              </w:rPr>
              <w:t>0.55</w:t>
            </w:r>
          </w:p>
        </w:tc>
        <w:tc>
          <w:tcPr>
            <w:tcW w:type="dxa" w:w="2351"/>
          </w:tcPr>
          <w:p>
            <w:r/>
            <w:r>
              <w:rPr>
                <w:sz w:val="20"/>
              </w:rPr>
              <w:t>0.55</w:t>
            </w:r>
          </w:p>
        </w:tc>
      </w:tr>
      <w:tr>
        <w:tc>
          <w:tcPr>
            <w:tcW w:type="dxa" w:w="2351"/>
            <w:shd w:val="clear" w:color="auto" w:fill="F2F2F2"/>
          </w:tcPr>
          <w:p>
            <w:r/>
            <w:r>
              <w:rPr>
                <w:sz w:val="20"/>
              </w:rPr>
              <w:t>β (P_CA_aprendida)</w:t>
            </w:r>
          </w:p>
        </w:tc>
        <w:tc>
          <w:tcPr>
            <w:tcW w:type="dxa" w:w="2351"/>
            <w:shd w:val="clear" w:color="auto" w:fill="F2F2F2"/>
          </w:tcPr>
          <w:p>
            <w:r/>
            <w:r>
              <w:rPr>
                <w:sz w:val="20"/>
              </w:rPr>
              <w:t>0.30</w:t>
            </w:r>
          </w:p>
        </w:tc>
        <w:tc>
          <w:tcPr>
            <w:tcW w:type="dxa" w:w="2351"/>
            <w:shd w:val="clear" w:color="auto" w:fill="F2F2F2"/>
          </w:tcPr>
          <w:p>
            <w:r/>
            <w:r>
              <w:rPr>
                <w:sz w:val="20"/>
              </w:rPr>
              <w:t>0.30</w:t>
            </w:r>
          </w:p>
        </w:tc>
        <w:tc>
          <w:tcPr>
            <w:tcW w:type="dxa" w:w="2351"/>
            <w:shd w:val="clear" w:color="auto" w:fill="F2F2F2"/>
          </w:tcPr>
          <w:p>
            <w:r/>
            <w:r>
              <w:rPr>
                <w:sz w:val="20"/>
              </w:rPr>
              <w:t>0.25</w:t>
            </w:r>
          </w:p>
        </w:tc>
      </w:tr>
      <w:tr>
        <w:tc>
          <w:tcPr>
            <w:tcW w:type="dxa" w:w="2351"/>
          </w:tcPr>
          <w:p>
            <w:r/>
            <w:r>
              <w:rPr>
                <w:sz w:val="20"/>
              </w:rPr>
              <w:t>γ (P_kárstico)</w:t>
            </w:r>
          </w:p>
        </w:tc>
        <w:tc>
          <w:tcPr>
            <w:tcW w:type="dxa" w:w="2351"/>
          </w:tcPr>
          <w:p>
            <w:r/>
            <w:r>
              <w:rPr>
                <w:sz w:val="20"/>
              </w:rPr>
              <w:t>0.00</w:t>
            </w:r>
          </w:p>
        </w:tc>
        <w:tc>
          <w:tcPr>
            <w:tcW w:type="dxa" w:w="2351"/>
          </w:tcPr>
          <w:p>
            <w:r/>
            <w:r>
              <w:rPr>
                <w:sz w:val="20"/>
              </w:rPr>
              <w:t>0.05</w:t>
            </w:r>
          </w:p>
        </w:tc>
        <w:tc>
          <w:tcPr>
            <w:tcW w:type="dxa" w:w="2351"/>
          </w:tcPr>
          <w:p>
            <w:r/>
            <w:r>
              <w:rPr>
                <w:sz w:val="20"/>
              </w:rPr>
              <w:t>0.15</w:t>
            </w:r>
          </w:p>
        </w:tc>
      </w:tr>
      <w:tr>
        <w:tc>
          <w:tcPr>
            <w:tcW w:type="dxa" w:w="2351"/>
            <w:shd w:val="clear" w:color="auto" w:fill="F2F2F2"/>
          </w:tcPr>
          <w:p>
            <w:r/>
            <w:r>
              <w:rPr>
                <w:sz w:val="20"/>
              </w:rPr>
              <w:t>δ (estocástico)</w:t>
            </w:r>
          </w:p>
        </w:tc>
        <w:tc>
          <w:tcPr>
            <w:tcW w:type="dxa" w:w="2351"/>
            <w:shd w:val="clear" w:color="auto" w:fill="F2F2F2"/>
          </w:tcPr>
          <w:p>
            <w:r/>
            <w:r>
              <w:rPr>
                <w:sz w:val="20"/>
              </w:rPr>
              <w:t>0.10</w:t>
            </w:r>
          </w:p>
        </w:tc>
        <w:tc>
          <w:tcPr>
            <w:tcW w:type="dxa" w:w="2351"/>
            <w:shd w:val="clear" w:color="auto" w:fill="F2F2F2"/>
          </w:tcPr>
          <w:p>
            <w:r/>
            <w:r>
              <w:rPr>
                <w:sz w:val="20"/>
              </w:rPr>
              <w:t>0.10</w:t>
            </w:r>
          </w:p>
        </w:tc>
        <w:tc>
          <w:tcPr>
            <w:tcW w:type="dxa" w:w="2351"/>
            <w:shd w:val="clear" w:color="auto" w:fill="F2F2F2"/>
          </w:tcPr>
          <w:p>
            <w:r/>
            <w:r>
              <w:rPr>
                <w:sz w:val="20"/>
              </w:rPr>
              <w:t>0.05</w:t>
            </w:r>
          </w:p>
        </w:tc>
      </w:tr>
    </w:tbl>
    <w:p>
      <w:r>
        <w:rPr>
          <w:rFonts w:ascii="Calibri" w:hAnsi="Calibri"/>
          <w:b w:val="0"/>
          <w:i w:val="0"/>
          <w:sz w:val="22"/>
        </w:rPr>
        <w:t>Salida: prediction_{year}_{scenario}.tif.</w:t>
      </w:r>
    </w:p>
    <w:p>
      <w:r>
        <w:rPr>
          <w:b/>
          <w:sz w:val="22"/>
        </w:rPr>
        <w:t xml:space="preserve">Script 05 — 05_visualize.py. </w:t>
      </w:r>
      <w:r>
        <w:rPr>
          <w:sz w:val="22"/>
        </w:rPr>
        <w:t>Genera mapas comparativos, grafos, shapefiles de área urbana y el reporte de métricas. Salida: results/maps/*.png, results/reports/*.csv, results/reports/*.png.</w:t>
      </w:r>
    </w:p>
    <w:p>
      <w:r>
        <w:rPr>
          <w:b/>
          <w:sz w:val="22"/>
        </w:rPr>
        <w:t xml:space="preserve">Módulo auxiliar — demo_merida.py. </w:t>
      </w:r>
      <w:r>
        <w:rPr>
          <w:sz w:val="22"/>
        </w:rPr>
        <w:t>Pipeline completo con datos sintéticos para ejecución sin dependencias externas, ideal para validación y demostración.</w:t>
      </w:r>
    </w:p>
    <w:p>
      <w:r>
        <w:rPr>
          <w:rFonts w:ascii="Calibri" w:hAnsi="Calibri"/>
          <w:b/>
          <w:i w:val="0"/>
          <w:sz w:val="22"/>
        </w:rPr>
        <w:t>Variables del modelo (10 features v2.0):</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shd w:val="clear" w:color="auto" w:fill="1F3A5F"/>
          </w:tcPr>
          <w:p>
            <w:r/>
            <w:r>
              <w:rPr>
                <w:b/>
                <w:color w:val="FFFFFF"/>
                <w:sz w:val="20"/>
              </w:rPr>
              <w:t>Feature</w:t>
            </w:r>
          </w:p>
        </w:tc>
        <w:tc>
          <w:tcPr>
            <w:tcW w:type="dxa" w:w="2351"/>
            <w:shd w:val="clear" w:color="auto" w:fill="1F3A5F"/>
          </w:tcPr>
          <w:p>
            <w:r/>
            <w:r>
              <w:rPr>
                <w:b/>
                <w:color w:val="FFFFFF"/>
                <w:sz w:val="20"/>
              </w:rPr>
              <w:t>Descripción</w:t>
            </w:r>
          </w:p>
        </w:tc>
        <w:tc>
          <w:tcPr>
            <w:tcW w:type="dxa" w:w="2351"/>
            <w:shd w:val="clear" w:color="auto" w:fill="1F3A5F"/>
          </w:tcPr>
          <w:p>
            <w:r/>
            <w:r>
              <w:rPr>
                <w:b/>
                <w:color w:val="FFFFFF"/>
                <w:sz w:val="20"/>
              </w:rPr>
              <w:t>Fuente</w:t>
            </w:r>
          </w:p>
        </w:tc>
        <w:tc>
          <w:tcPr>
            <w:tcW w:type="dxa" w:w="2351"/>
            <w:shd w:val="clear" w:color="auto" w:fill="1F3A5F"/>
          </w:tcPr>
          <w:p>
            <w:r/>
            <w:r>
              <w:rPr>
                <w:b/>
                <w:color w:val="FFFFFF"/>
                <w:sz w:val="20"/>
              </w:rPr>
              <w:t>Tipo</w:t>
            </w:r>
          </w:p>
        </w:tc>
      </w:tr>
      <w:tr>
        <w:tc>
          <w:tcPr>
            <w:tcW w:type="dxa" w:w="2351"/>
          </w:tcPr>
          <w:p>
            <w:r/>
            <w:r>
              <w:rPr>
                <w:sz w:val="20"/>
              </w:rPr>
              <w:t>dist_urban_edge</w:t>
            </w:r>
          </w:p>
        </w:tc>
        <w:tc>
          <w:tcPr>
            <w:tcW w:type="dxa" w:w="2351"/>
          </w:tcPr>
          <w:p>
            <w:r/>
            <w:r>
              <w:rPr>
                <w:sz w:val="20"/>
              </w:rPr>
              <w:t>Distancia al borde urbano (m)</w:t>
            </w:r>
          </w:p>
        </w:tc>
        <w:tc>
          <w:tcPr>
            <w:tcW w:type="dxa" w:w="2351"/>
          </w:tcPr>
          <w:p>
            <w:r/>
            <w:r>
              <w:rPr>
                <w:sz w:val="20"/>
              </w:rPr>
              <w:t>Calculado</w:t>
            </w:r>
          </w:p>
        </w:tc>
        <w:tc>
          <w:tcPr>
            <w:tcW w:type="dxa" w:w="2351"/>
          </w:tcPr>
          <w:p>
            <w:r/>
            <w:r>
              <w:rPr>
                <w:sz w:val="20"/>
              </w:rPr>
              <w:t>Dinámica</w:t>
            </w:r>
          </w:p>
        </w:tc>
      </w:tr>
      <w:tr>
        <w:tc>
          <w:tcPr>
            <w:tcW w:type="dxa" w:w="2351"/>
            <w:shd w:val="clear" w:color="auto" w:fill="F2F2F2"/>
          </w:tcPr>
          <w:p>
            <w:r/>
            <w:r>
              <w:rPr>
                <w:sz w:val="20"/>
              </w:rPr>
              <w:t>dist_center</w:t>
            </w:r>
          </w:p>
        </w:tc>
        <w:tc>
          <w:tcPr>
            <w:tcW w:type="dxa" w:w="2351"/>
            <w:shd w:val="clear" w:color="auto" w:fill="F2F2F2"/>
          </w:tcPr>
          <w:p>
            <w:r/>
            <w:r>
              <w:rPr>
                <w:sz w:val="20"/>
              </w:rPr>
              <w:t>Distancia al centro histórico (m)</w:t>
            </w:r>
          </w:p>
        </w:tc>
        <w:tc>
          <w:tcPr>
            <w:tcW w:type="dxa" w:w="2351"/>
            <w:shd w:val="clear" w:color="auto" w:fill="F2F2F2"/>
          </w:tcPr>
          <w:p>
            <w:r/>
            <w:r>
              <w:rPr>
                <w:sz w:val="20"/>
              </w:rPr>
              <w:t>INEGI</w:t>
            </w:r>
          </w:p>
        </w:tc>
        <w:tc>
          <w:tcPr>
            <w:tcW w:type="dxa" w:w="2351"/>
            <w:shd w:val="clear" w:color="auto" w:fill="F2F2F2"/>
          </w:tcPr>
          <w:p>
            <w:r/>
            <w:r>
              <w:rPr>
                <w:sz w:val="20"/>
              </w:rPr>
              <w:t>Estática</w:t>
            </w:r>
          </w:p>
        </w:tc>
      </w:tr>
      <w:tr>
        <w:tc>
          <w:tcPr>
            <w:tcW w:type="dxa" w:w="2351"/>
          </w:tcPr>
          <w:p>
            <w:r/>
            <w:r>
              <w:rPr>
                <w:sz w:val="20"/>
              </w:rPr>
              <w:t>dist_road</w:t>
            </w:r>
          </w:p>
        </w:tc>
        <w:tc>
          <w:tcPr>
            <w:tcW w:type="dxa" w:w="2351"/>
          </w:tcPr>
          <w:p>
            <w:r/>
            <w:r>
              <w:rPr>
                <w:sz w:val="20"/>
              </w:rPr>
              <w:t>Distancia a carretera más cercana (m)</w:t>
            </w:r>
          </w:p>
        </w:tc>
        <w:tc>
          <w:tcPr>
            <w:tcW w:type="dxa" w:w="2351"/>
          </w:tcPr>
          <w:p>
            <w:r/>
            <w:r>
              <w:rPr>
                <w:sz w:val="20"/>
              </w:rPr>
              <w:t>OSM/INEGI</w:t>
            </w:r>
          </w:p>
        </w:tc>
        <w:tc>
          <w:tcPr>
            <w:tcW w:type="dxa" w:w="2351"/>
          </w:tcPr>
          <w:p>
            <w:r/>
            <w:r>
              <w:rPr>
                <w:sz w:val="20"/>
              </w:rPr>
              <w:t>Estática</w:t>
            </w:r>
          </w:p>
        </w:tc>
      </w:tr>
      <w:tr>
        <w:tc>
          <w:tcPr>
            <w:tcW w:type="dxa" w:w="2351"/>
            <w:shd w:val="clear" w:color="auto" w:fill="F2F2F2"/>
          </w:tcPr>
          <w:p>
            <w:r/>
            <w:r>
              <w:rPr>
                <w:sz w:val="20"/>
              </w:rPr>
              <w:t>ndvi_mean</w:t>
            </w:r>
          </w:p>
        </w:tc>
        <w:tc>
          <w:tcPr>
            <w:tcW w:type="dxa" w:w="2351"/>
            <w:shd w:val="clear" w:color="auto" w:fill="F2F2F2"/>
          </w:tcPr>
          <w:p>
            <w:r/>
            <w:r>
              <w:rPr>
                <w:sz w:val="20"/>
              </w:rPr>
              <w:t>NDVI promedio histórico 3 años</w:t>
            </w:r>
          </w:p>
        </w:tc>
        <w:tc>
          <w:tcPr>
            <w:tcW w:type="dxa" w:w="2351"/>
            <w:shd w:val="clear" w:color="auto" w:fill="F2F2F2"/>
          </w:tcPr>
          <w:p>
            <w:r/>
            <w:r>
              <w:rPr>
                <w:sz w:val="20"/>
              </w:rPr>
              <w:t>LANDSAT 8/9</w:t>
            </w:r>
          </w:p>
        </w:tc>
        <w:tc>
          <w:tcPr>
            <w:tcW w:type="dxa" w:w="2351"/>
            <w:shd w:val="clear" w:color="auto" w:fill="F2F2F2"/>
          </w:tcPr>
          <w:p>
            <w:r/>
            <w:r>
              <w:rPr>
                <w:sz w:val="20"/>
              </w:rPr>
              <w:t>Semi-dinámica</w:t>
            </w:r>
          </w:p>
        </w:tc>
      </w:tr>
      <w:tr>
        <w:tc>
          <w:tcPr>
            <w:tcW w:type="dxa" w:w="2351"/>
          </w:tcPr>
          <w:p>
            <w:r/>
            <w:r>
              <w:rPr>
                <w:sz w:val="20"/>
              </w:rPr>
              <w:t>neighbor_3x3</w:t>
            </w:r>
          </w:p>
        </w:tc>
        <w:tc>
          <w:tcPr>
            <w:tcW w:type="dxa" w:w="2351"/>
          </w:tcPr>
          <w:p>
            <w:r/>
            <w:r>
              <w:rPr>
                <w:sz w:val="20"/>
              </w:rPr>
              <w:t>Densidad urbana ventana 3×3</w:t>
            </w:r>
          </w:p>
        </w:tc>
        <w:tc>
          <w:tcPr>
            <w:tcW w:type="dxa" w:w="2351"/>
          </w:tcPr>
          <w:p>
            <w:r/>
            <w:r>
              <w:rPr>
                <w:sz w:val="20"/>
              </w:rPr>
              <w:t>Calculado</w:t>
            </w:r>
          </w:p>
        </w:tc>
        <w:tc>
          <w:tcPr>
            <w:tcW w:type="dxa" w:w="2351"/>
          </w:tcPr>
          <w:p>
            <w:r/>
            <w:r>
              <w:rPr>
                <w:sz w:val="20"/>
              </w:rPr>
              <w:t>Dinámica</w:t>
            </w:r>
          </w:p>
        </w:tc>
      </w:tr>
      <w:tr>
        <w:tc>
          <w:tcPr>
            <w:tcW w:type="dxa" w:w="2351"/>
            <w:shd w:val="clear" w:color="auto" w:fill="F2F2F2"/>
          </w:tcPr>
          <w:p>
            <w:r/>
            <w:r>
              <w:rPr>
                <w:sz w:val="20"/>
              </w:rPr>
              <w:t>neighbor_5x5</w:t>
            </w:r>
          </w:p>
        </w:tc>
        <w:tc>
          <w:tcPr>
            <w:tcW w:type="dxa" w:w="2351"/>
            <w:shd w:val="clear" w:color="auto" w:fill="F2F2F2"/>
          </w:tcPr>
          <w:p>
            <w:r/>
            <w:r>
              <w:rPr>
                <w:sz w:val="20"/>
              </w:rPr>
              <w:t>Densidad urbana ventana 5×5</w:t>
            </w:r>
          </w:p>
        </w:tc>
        <w:tc>
          <w:tcPr>
            <w:tcW w:type="dxa" w:w="2351"/>
            <w:shd w:val="clear" w:color="auto" w:fill="F2F2F2"/>
          </w:tcPr>
          <w:p>
            <w:r/>
            <w:r>
              <w:rPr>
                <w:sz w:val="20"/>
              </w:rPr>
              <w:t>Calculado</w:t>
            </w:r>
          </w:p>
        </w:tc>
        <w:tc>
          <w:tcPr>
            <w:tcW w:type="dxa" w:w="2351"/>
            <w:shd w:val="clear" w:color="auto" w:fill="F2F2F2"/>
          </w:tcPr>
          <w:p>
            <w:r/>
            <w:r>
              <w:rPr>
                <w:sz w:val="20"/>
              </w:rPr>
              <w:t>Dinámica</w:t>
            </w:r>
          </w:p>
        </w:tc>
      </w:tr>
      <w:tr>
        <w:tc>
          <w:tcPr>
            <w:tcW w:type="dxa" w:w="2351"/>
          </w:tcPr>
          <w:p>
            <w:r/>
            <w:r>
              <w:rPr>
                <w:sz w:val="20"/>
              </w:rPr>
              <w:t>neighbor_9x9</w:t>
            </w:r>
          </w:p>
        </w:tc>
        <w:tc>
          <w:tcPr>
            <w:tcW w:type="dxa" w:w="2351"/>
          </w:tcPr>
          <w:p>
            <w:r/>
            <w:r>
              <w:rPr>
                <w:sz w:val="20"/>
              </w:rPr>
              <w:t>Densidad urbana ventana 9×9</w:t>
            </w:r>
          </w:p>
        </w:tc>
        <w:tc>
          <w:tcPr>
            <w:tcW w:type="dxa" w:w="2351"/>
          </w:tcPr>
          <w:p>
            <w:r/>
            <w:r>
              <w:rPr>
                <w:sz w:val="20"/>
              </w:rPr>
              <w:t>Calculado</w:t>
            </w:r>
          </w:p>
        </w:tc>
        <w:tc>
          <w:tcPr>
            <w:tcW w:type="dxa" w:w="2351"/>
          </w:tcPr>
          <w:p>
            <w:r/>
            <w:r>
              <w:rPr>
                <w:sz w:val="20"/>
              </w:rPr>
              <w:t>Dinámica</w:t>
            </w:r>
          </w:p>
        </w:tc>
      </w:tr>
      <w:tr>
        <w:tc>
          <w:tcPr>
            <w:tcW w:type="dxa" w:w="2351"/>
            <w:shd w:val="clear" w:color="auto" w:fill="F2F2F2"/>
          </w:tcPr>
          <w:p>
            <w:r/>
            <w:r>
              <w:rPr>
                <w:sz w:val="20"/>
              </w:rPr>
              <w:t>lst_mean ★</w:t>
            </w:r>
          </w:p>
        </w:tc>
        <w:tc>
          <w:tcPr>
            <w:tcW w:type="dxa" w:w="2351"/>
            <w:shd w:val="clear" w:color="auto" w:fill="F2F2F2"/>
          </w:tcPr>
          <w:p>
            <w:r/>
            <w:r>
              <w:rPr>
                <w:sz w:val="20"/>
              </w:rPr>
              <w:t>Temperatura superficial LST (°C)</w:t>
            </w:r>
          </w:p>
        </w:tc>
        <w:tc>
          <w:tcPr>
            <w:tcW w:type="dxa" w:w="2351"/>
            <w:shd w:val="clear" w:color="auto" w:fill="F2F2F2"/>
          </w:tcPr>
          <w:p>
            <w:r/>
            <w:r>
              <w:rPr>
                <w:sz w:val="20"/>
              </w:rPr>
              <w:t>LANDSAT ST_B10</w:t>
            </w:r>
          </w:p>
        </w:tc>
        <w:tc>
          <w:tcPr>
            <w:tcW w:type="dxa" w:w="2351"/>
            <w:shd w:val="clear" w:color="auto" w:fill="F2F2F2"/>
          </w:tcPr>
          <w:p>
            <w:r/>
            <w:r>
              <w:rPr>
                <w:sz w:val="20"/>
              </w:rPr>
              <w:t>Semi-dinámica</w:t>
            </w:r>
          </w:p>
        </w:tc>
      </w:tr>
      <w:tr>
        <w:tc>
          <w:tcPr>
            <w:tcW w:type="dxa" w:w="2351"/>
          </w:tcPr>
          <w:p>
            <w:r/>
            <w:r>
              <w:rPr>
                <w:sz w:val="20"/>
              </w:rPr>
              <w:t>dist_cenote ★</w:t>
            </w:r>
          </w:p>
        </w:tc>
        <w:tc>
          <w:tcPr>
            <w:tcW w:type="dxa" w:w="2351"/>
          </w:tcPr>
          <w:p>
            <w:r/>
            <w:r>
              <w:rPr>
                <w:sz w:val="20"/>
              </w:rPr>
              <w:t>Distancia a cenote más cercano (m)</w:t>
            </w:r>
          </w:p>
        </w:tc>
        <w:tc>
          <w:tcPr>
            <w:tcW w:type="dxa" w:w="2351"/>
          </w:tcPr>
          <w:p>
            <w:r/>
            <w:r>
              <w:rPr>
                <w:sz w:val="20"/>
              </w:rPr>
              <w:t>SEDUMA Yucatán</w:t>
            </w:r>
          </w:p>
        </w:tc>
        <w:tc>
          <w:tcPr>
            <w:tcW w:type="dxa" w:w="2351"/>
          </w:tcPr>
          <w:p>
            <w:r/>
            <w:r>
              <w:rPr>
                <w:sz w:val="20"/>
              </w:rPr>
              <w:t>Estática</w:t>
            </w:r>
          </w:p>
        </w:tc>
      </w:tr>
      <w:tr>
        <w:tc>
          <w:tcPr>
            <w:tcW w:type="dxa" w:w="2351"/>
            <w:shd w:val="clear" w:color="auto" w:fill="F2F2F2"/>
          </w:tcPr>
          <w:p>
            <w:r/>
            <w:r>
              <w:rPr>
                <w:sz w:val="20"/>
              </w:rPr>
              <w:t>karst_vuln ★</w:t>
            </w:r>
          </w:p>
        </w:tc>
        <w:tc>
          <w:tcPr>
            <w:tcW w:type="dxa" w:w="2351"/>
            <w:shd w:val="clear" w:color="auto" w:fill="F2F2F2"/>
          </w:tcPr>
          <w:p>
            <w:r/>
            <w:r>
              <w:rPr>
                <w:sz w:val="20"/>
              </w:rPr>
              <w:t>Índice de vulnerabilidad kárstica 0–1</w:t>
            </w:r>
          </w:p>
        </w:tc>
        <w:tc>
          <w:tcPr>
            <w:tcW w:type="dxa" w:w="2351"/>
            <w:shd w:val="clear" w:color="auto" w:fill="F2F2F2"/>
          </w:tcPr>
          <w:p>
            <w:r/>
            <w:r>
              <w:rPr>
                <w:sz w:val="20"/>
              </w:rPr>
              <w:t>CONAGUA/IMTA</w:t>
            </w:r>
          </w:p>
        </w:tc>
        <w:tc>
          <w:tcPr>
            <w:tcW w:type="dxa" w:w="2351"/>
            <w:shd w:val="clear" w:color="auto" w:fill="F2F2F2"/>
          </w:tcPr>
          <w:p>
            <w:r/>
            <w:r>
              <w:rPr>
                <w:sz w:val="20"/>
              </w:rPr>
              <w:t>Estática</w:t>
            </w:r>
          </w:p>
        </w:tc>
      </w:tr>
    </w:tbl>
    <w:p>
      <w:r>
        <w:rPr>
          <w:rFonts w:ascii="Calibri" w:hAnsi="Calibri"/>
          <w:b w:val="0"/>
          <w:i/>
          <w:sz w:val="22"/>
        </w:rPr>
        <w:t>Las tres variables marcadas con ★ son la contribución original del proyecto.</w:t>
      </w:r>
    </w:p>
    <w:p>
      <w:r>
        <w:rPr>
          <w:rFonts w:ascii="Calibri" w:hAnsi="Calibri"/>
          <w:b w:val="0"/>
          <w:i w:val="0"/>
          <w:sz w:val="22"/>
        </w:rPr>
        <w:t>Reglas kársticas: exclusión total a menos de 200 m de un cenote, penalización hasta 500 m; penalización de zonas con LST &gt; 37 °C en el escenario IA; exclusión si karst_vuln &gt; 0.7 en el escenario IA.</w:t>
      </w:r>
    </w:p>
    <w:p>
      <w:r>
        <w:rPr>
          <w:rFonts w:ascii="Calibri" w:hAnsi="Calibri"/>
          <w:b w:val="0"/>
          <w:i w:val="0"/>
          <w:sz w:val="22"/>
        </w:rPr>
        <w:t>Validación: las cuatro métricas (AUC-ROC, FOM, Kappa, F1) se calculan sobre el año base de transición y se reportan en results/reports/metrics.csv.</w:t>
      </w:r>
    </w:p>
    <w:p>
      <w:r>
        <w:rPr>
          <w:rFonts w:ascii="Calibri" w:hAnsi="Calibri"/>
          <w:b/>
          <w:i w:val="0"/>
          <w:sz w:val="22"/>
        </w:rPr>
        <w:t>Comando de instalación y primera ejecución:</w:t>
      </w:r>
    </w:p>
    <w:p>
      <w:pPr>
        <w:spacing w:before="120" w:after="120"/>
        <w:ind w:left="340" w:right="340"/>
        <w:shd w:val="clear" w:color="auto" w:fill="F4F4F4"/>
      </w:pPr>
      <w:r>
        <w:rPr>
          <w:rFonts w:ascii="Consolas" w:hAnsi="Consolas"/>
          <w:sz w:val="19"/>
        </w:rPr>
        <w:t>pip install -r requirements.txt &amp;&amp; earthengine authenticate &amp;&amp; python scripts/01_download_data.py</w:t>
      </w:r>
    </w:p>
    <w:p>
      <w:pPr>
        <w:pStyle w:val="Heading1"/>
      </w:pPr>
      <w:r>
        <w:rPr>
          <w:color w:val="1F3A5F"/>
        </w:rPr>
        <w:t>Resultados y Diseño / Prototipo / Plataforma Software</w:t>
      </w:r>
    </w:p>
    <w:p>
      <w:pPr>
        <w:pStyle w:val="Heading2"/>
      </w:pPr>
      <w:r>
        <w:rPr>
          <w:color w:val="1F3A5F"/>
        </w:rPr>
        <w:t>Proyección de área urbana 2024–2030</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shd w:val="clear" w:color="auto" w:fill="1F3A5F"/>
          </w:tcPr>
          <w:p>
            <w:r/>
            <w:r>
              <w:rPr>
                <w:b/>
                <w:color w:val="FFFFFF"/>
                <w:sz w:val="20"/>
              </w:rPr>
              <w:t>Año</w:t>
            </w:r>
          </w:p>
        </w:tc>
        <w:tc>
          <w:tcPr>
            <w:tcW w:type="dxa" w:w="2351"/>
            <w:shd w:val="clear" w:color="auto" w:fill="1F3A5F"/>
          </w:tcPr>
          <w:p>
            <w:r/>
            <w:r>
              <w:rPr>
                <w:b/>
                <w:color w:val="FFFFFF"/>
                <w:sz w:val="20"/>
              </w:rPr>
              <w:t>Sin planificación</w:t>
            </w:r>
          </w:p>
        </w:tc>
        <w:tc>
          <w:tcPr>
            <w:tcW w:type="dxa" w:w="2351"/>
            <w:shd w:val="clear" w:color="auto" w:fill="1F3A5F"/>
          </w:tcPr>
          <w:p>
            <w:r/>
            <w:r>
              <w:rPr>
                <w:b/>
                <w:color w:val="FFFFFF"/>
                <w:sz w:val="20"/>
              </w:rPr>
              <w:t>Plan tradicional</w:t>
            </w:r>
          </w:p>
        </w:tc>
        <w:tc>
          <w:tcPr>
            <w:tcW w:type="dxa" w:w="2351"/>
            <w:shd w:val="clear" w:color="auto" w:fill="1F3A5F"/>
          </w:tcPr>
          <w:p>
            <w:r/>
            <w:r>
              <w:rPr>
                <w:b/>
                <w:color w:val="FFFFFF"/>
                <w:sz w:val="20"/>
              </w:rPr>
              <w:t>Gestión IA</w:t>
            </w:r>
          </w:p>
        </w:tc>
      </w:tr>
      <w:tr>
        <w:tc>
          <w:tcPr>
            <w:tcW w:type="dxa" w:w="2351"/>
          </w:tcPr>
          <w:p>
            <w:r/>
            <w:r>
              <w:rPr>
                <w:sz w:val="20"/>
              </w:rPr>
              <w:t>2024 (base)</w:t>
            </w:r>
          </w:p>
        </w:tc>
        <w:tc>
          <w:tcPr>
            <w:tcW w:type="dxa" w:w="2351"/>
          </w:tcPr>
          <w:p>
            <w:r/>
            <w:r>
              <w:rPr>
                <w:sz w:val="20"/>
              </w:rPr>
              <w:t>820 km²</w:t>
            </w:r>
          </w:p>
        </w:tc>
        <w:tc>
          <w:tcPr>
            <w:tcW w:type="dxa" w:w="2351"/>
          </w:tcPr>
          <w:p>
            <w:r/>
            <w:r>
              <w:rPr>
                <w:sz w:val="20"/>
              </w:rPr>
              <w:t>820 km²</w:t>
            </w:r>
          </w:p>
        </w:tc>
        <w:tc>
          <w:tcPr>
            <w:tcW w:type="dxa" w:w="2351"/>
          </w:tcPr>
          <w:p>
            <w:r/>
            <w:r>
              <w:rPr>
                <w:sz w:val="20"/>
              </w:rPr>
              <w:t>820 km²</w:t>
            </w:r>
          </w:p>
        </w:tc>
      </w:tr>
      <w:tr>
        <w:tc>
          <w:tcPr>
            <w:tcW w:type="dxa" w:w="2351"/>
            <w:shd w:val="clear" w:color="auto" w:fill="F2F2F2"/>
          </w:tcPr>
          <w:p>
            <w:r/>
            <w:r>
              <w:rPr>
                <w:sz w:val="20"/>
              </w:rPr>
              <w:t>2026</w:t>
            </w:r>
          </w:p>
        </w:tc>
        <w:tc>
          <w:tcPr>
            <w:tcW w:type="dxa" w:w="2351"/>
            <w:shd w:val="clear" w:color="auto" w:fill="F2F2F2"/>
          </w:tcPr>
          <w:p>
            <w:r/>
            <w:r>
              <w:rPr>
                <w:sz w:val="20"/>
              </w:rPr>
              <w:t>879 km²</w:t>
            </w:r>
          </w:p>
        </w:tc>
        <w:tc>
          <w:tcPr>
            <w:tcW w:type="dxa" w:w="2351"/>
            <w:shd w:val="clear" w:color="auto" w:fill="F2F2F2"/>
          </w:tcPr>
          <w:p>
            <w:r/>
            <w:r>
              <w:rPr>
                <w:sz w:val="20"/>
              </w:rPr>
              <w:t>866 km²</w:t>
            </w:r>
          </w:p>
        </w:tc>
        <w:tc>
          <w:tcPr>
            <w:tcW w:type="dxa" w:w="2351"/>
            <w:shd w:val="clear" w:color="auto" w:fill="F2F2F2"/>
          </w:tcPr>
          <w:p>
            <w:r/>
            <w:r>
              <w:rPr>
                <w:sz w:val="20"/>
              </w:rPr>
              <w:t>856 km²</w:t>
            </w:r>
          </w:p>
        </w:tc>
      </w:tr>
      <w:tr>
        <w:tc>
          <w:tcPr>
            <w:tcW w:type="dxa" w:w="2351"/>
          </w:tcPr>
          <w:p>
            <w:r/>
            <w:r>
              <w:rPr>
                <w:sz w:val="20"/>
              </w:rPr>
              <w:t>2028</w:t>
            </w:r>
          </w:p>
        </w:tc>
        <w:tc>
          <w:tcPr>
            <w:tcW w:type="dxa" w:w="2351"/>
          </w:tcPr>
          <w:p>
            <w:r/>
            <w:r>
              <w:rPr>
                <w:sz w:val="20"/>
              </w:rPr>
              <w:t>945 km²</w:t>
            </w:r>
          </w:p>
        </w:tc>
        <w:tc>
          <w:tcPr>
            <w:tcW w:type="dxa" w:w="2351"/>
          </w:tcPr>
          <w:p>
            <w:r/>
            <w:r>
              <w:rPr>
                <w:sz w:val="20"/>
              </w:rPr>
              <w:t>913 km²</w:t>
            </w:r>
          </w:p>
        </w:tc>
        <w:tc>
          <w:tcPr>
            <w:tcW w:type="dxa" w:w="2351"/>
          </w:tcPr>
          <w:p>
            <w:r/>
            <w:r>
              <w:rPr>
                <w:sz w:val="20"/>
              </w:rPr>
              <w:t>887 km²</w:t>
            </w:r>
          </w:p>
        </w:tc>
      </w:tr>
      <w:tr>
        <w:tc>
          <w:tcPr>
            <w:tcW w:type="dxa" w:w="2351"/>
            <w:shd w:val="clear" w:color="auto" w:fill="F2F2F2"/>
          </w:tcPr>
          <w:p>
            <w:r/>
            <w:r>
              <w:rPr>
                <w:sz w:val="20"/>
              </w:rPr>
              <w:t>2030</w:t>
            </w:r>
          </w:p>
        </w:tc>
        <w:tc>
          <w:tcPr>
            <w:tcW w:type="dxa" w:w="2351"/>
            <w:shd w:val="clear" w:color="auto" w:fill="F2F2F2"/>
          </w:tcPr>
          <w:p>
            <w:r/>
            <w:r>
              <w:rPr>
                <w:sz w:val="20"/>
              </w:rPr>
              <w:t>1,017 km²</w:t>
            </w:r>
          </w:p>
        </w:tc>
        <w:tc>
          <w:tcPr>
            <w:tcW w:type="dxa" w:w="2351"/>
            <w:shd w:val="clear" w:color="auto" w:fill="F2F2F2"/>
          </w:tcPr>
          <w:p>
            <w:r/>
            <w:r>
              <w:rPr>
                <w:sz w:val="20"/>
              </w:rPr>
              <w:t>958 km²</w:t>
            </w:r>
          </w:p>
        </w:tc>
        <w:tc>
          <w:tcPr>
            <w:tcW w:type="dxa" w:w="2351"/>
            <w:shd w:val="clear" w:color="auto" w:fill="F2F2F2"/>
          </w:tcPr>
          <w:p>
            <w:r/>
            <w:r>
              <w:rPr>
                <w:sz w:val="20"/>
              </w:rPr>
              <w:t>911 km²</w:t>
            </w:r>
          </w:p>
        </w:tc>
      </w:tr>
      <w:tr>
        <w:tc>
          <w:tcPr>
            <w:tcW w:type="dxa" w:w="2351"/>
          </w:tcPr>
          <w:p>
            <w:r/>
            <w:r>
              <w:rPr>
                <w:sz w:val="20"/>
              </w:rPr>
              <w:t>Crecimiento total</w:t>
            </w:r>
          </w:p>
        </w:tc>
        <w:tc>
          <w:tcPr>
            <w:tcW w:type="dxa" w:w="2351"/>
          </w:tcPr>
          <w:p>
            <w:r/>
            <w:r>
              <w:rPr>
                <w:sz w:val="20"/>
              </w:rPr>
              <w:t>+197 km² (+24 %)</w:t>
            </w:r>
          </w:p>
        </w:tc>
        <w:tc>
          <w:tcPr>
            <w:tcW w:type="dxa" w:w="2351"/>
          </w:tcPr>
          <w:p>
            <w:r/>
            <w:r>
              <w:rPr>
                <w:sz w:val="20"/>
              </w:rPr>
              <w:t>+138 km² (+17 %)</w:t>
            </w:r>
          </w:p>
        </w:tc>
        <w:tc>
          <w:tcPr>
            <w:tcW w:type="dxa" w:w="2351"/>
          </w:tcPr>
          <w:p>
            <w:r/>
            <w:r>
              <w:rPr>
                <w:sz w:val="20"/>
              </w:rPr>
              <w:t>+91 km² (+11 %)</w:t>
            </w:r>
          </w:p>
        </w:tc>
      </w:tr>
    </w:tbl>
    <w:p>
      <w:pPr>
        <w:pStyle w:val="Heading2"/>
      </w:pPr>
      <w:r>
        <w:rPr>
          <w:color w:val="1F3A5F"/>
        </w:rPr>
        <w:t>Indicadores comparativos a 2030</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shd w:val="clear" w:color="auto" w:fill="1F3A5F"/>
          </w:tcPr>
          <w:p>
            <w:r/>
            <w:r>
              <w:rPr>
                <w:b/>
                <w:color w:val="FFFFFF"/>
                <w:sz w:val="20"/>
              </w:rPr>
              <w:t>Indicador</w:t>
            </w:r>
          </w:p>
        </w:tc>
        <w:tc>
          <w:tcPr>
            <w:tcW w:type="dxa" w:w="2351"/>
            <w:shd w:val="clear" w:color="auto" w:fill="1F3A5F"/>
          </w:tcPr>
          <w:p>
            <w:r/>
            <w:r>
              <w:rPr>
                <w:b/>
                <w:color w:val="FFFFFF"/>
                <w:sz w:val="20"/>
              </w:rPr>
              <w:t>Sin planificación</w:t>
            </w:r>
          </w:p>
        </w:tc>
        <w:tc>
          <w:tcPr>
            <w:tcW w:type="dxa" w:w="2351"/>
            <w:shd w:val="clear" w:color="auto" w:fill="1F3A5F"/>
          </w:tcPr>
          <w:p>
            <w:r/>
            <w:r>
              <w:rPr>
                <w:b/>
                <w:color w:val="FFFFFF"/>
                <w:sz w:val="20"/>
              </w:rPr>
              <w:t>Plan tradicional</w:t>
            </w:r>
          </w:p>
        </w:tc>
        <w:tc>
          <w:tcPr>
            <w:tcW w:type="dxa" w:w="2351"/>
            <w:shd w:val="clear" w:color="auto" w:fill="1F3A5F"/>
          </w:tcPr>
          <w:p>
            <w:r/>
            <w:r>
              <w:rPr>
                <w:b/>
                <w:color w:val="FFFFFF"/>
                <w:sz w:val="20"/>
              </w:rPr>
              <w:t>Gestión IA</w:t>
            </w:r>
          </w:p>
        </w:tc>
      </w:tr>
      <w:tr>
        <w:tc>
          <w:tcPr>
            <w:tcW w:type="dxa" w:w="2351"/>
          </w:tcPr>
          <w:p>
            <w:r/>
            <w:r>
              <w:rPr>
                <w:sz w:val="20"/>
              </w:rPr>
              <w:t>Área urbana (km²)</w:t>
            </w:r>
          </w:p>
        </w:tc>
        <w:tc>
          <w:tcPr>
            <w:tcW w:type="dxa" w:w="2351"/>
          </w:tcPr>
          <w:p>
            <w:r/>
            <w:r>
              <w:rPr>
                <w:sz w:val="20"/>
              </w:rPr>
              <w:t>1,017</w:t>
            </w:r>
          </w:p>
        </w:tc>
        <w:tc>
          <w:tcPr>
            <w:tcW w:type="dxa" w:w="2351"/>
          </w:tcPr>
          <w:p>
            <w:r/>
            <w:r>
              <w:rPr>
                <w:sz w:val="20"/>
              </w:rPr>
              <w:t>958</w:t>
            </w:r>
          </w:p>
        </w:tc>
        <w:tc>
          <w:tcPr>
            <w:tcW w:type="dxa" w:w="2351"/>
          </w:tcPr>
          <w:p>
            <w:r/>
            <w:r>
              <w:rPr>
                <w:sz w:val="20"/>
              </w:rPr>
              <w:t>911</w:t>
            </w:r>
          </w:p>
        </w:tc>
      </w:tr>
      <w:tr>
        <w:tc>
          <w:tcPr>
            <w:tcW w:type="dxa" w:w="2351"/>
            <w:shd w:val="clear" w:color="auto" w:fill="F2F2F2"/>
          </w:tcPr>
          <w:p>
            <w:r/>
            <w:r>
              <w:rPr>
                <w:sz w:val="20"/>
              </w:rPr>
              <w:t>Índice de fragmentación</w:t>
            </w:r>
          </w:p>
        </w:tc>
        <w:tc>
          <w:tcPr>
            <w:tcW w:type="dxa" w:w="2351"/>
            <w:shd w:val="clear" w:color="auto" w:fill="F2F2F2"/>
          </w:tcPr>
          <w:p>
            <w:r/>
            <w:r>
              <w:rPr>
                <w:sz w:val="20"/>
              </w:rPr>
              <w:t>0.67 (alto)</w:t>
            </w:r>
          </w:p>
        </w:tc>
        <w:tc>
          <w:tcPr>
            <w:tcW w:type="dxa" w:w="2351"/>
            <w:shd w:val="clear" w:color="auto" w:fill="F2F2F2"/>
          </w:tcPr>
          <w:p>
            <w:r/>
            <w:r>
              <w:rPr>
                <w:sz w:val="20"/>
              </w:rPr>
              <w:t>0.26 (bajo)</w:t>
            </w:r>
          </w:p>
        </w:tc>
        <w:tc>
          <w:tcPr>
            <w:tcW w:type="dxa" w:w="2351"/>
            <w:shd w:val="clear" w:color="auto" w:fill="F2F2F2"/>
          </w:tcPr>
          <w:p>
            <w:r/>
            <w:r>
              <w:rPr>
                <w:sz w:val="20"/>
              </w:rPr>
              <w:t>0.20 (mínimo)</w:t>
            </w:r>
          </w:p>
        </w:tc>
      </w:tr>
      <w:tr>
        <w:tc>
          <w:tcPr>
            <w:tcW w:type="dxa" w:w="2351"/>
          </w:tcPr>
          <w:p>
            <w:r/>
            <w:r>
              <w:rPr>
                <w:sz w:val="20"/>
              </w:rPr>
              <w:t>Cobertura verde (%)</w:t>
            </w:r>
          </w:p>
        </w:tc>
        <w:tc>
          <w:tcPr>
            <w:tcW w:type="dxa" w:w="2351"/>
          </w:tcPr>
          <w:p>
            <w:r/>
            <w:r>
              <w:rPr>
                <w:sz w:val="20"/>
              </w:rPr>
              <w:t>5</w:t>
            </w:r>
          </w:p>
        </w:tc>
        <w:tc>
          <w:tcPr>
            <w:tcW w:type="dxa" w:w="2351"/>
          </w:tcPr>
          <w:p>
            <w:r/>
            <w:r>
              <w:rPr>
                <w:sz w:val="20"/>
              </w:rPr>
              <w:t>23</w:t>
            </w:r>
          </w:p>
        </w:tc>
        <w:tc>
          <w:tcPr>
            <w:tcW w:type="dxa" w:w="2351"/>
          </w:tcPr>
          <w:p>
            <w:r/>
            <w:r>
              <w:rPr>
                <w:sz w:val="20"/>
              </w:rPr>
              <w:t>29</w:t>
            </w:r>
          </w:p>
        </w:tc>
      </w:tr>
      <w:tr>
        <w:tc>
          <w:tcPr>
            <w:tcW w:type="dxa" w:w="2351"/>
            <w:shd w:val="clear" w:color="auto" w:fill="F2F2F2"/>
          </w:tcPr>
          <w:p>
            <w:r/>
            <w:r>
              <w:rPr>
                <w:sz w:val="20"/>
              </w:rPr>
              <w:t>Temperatura LST promedio</w:t>
            </w:r>
          </w:p>
        </w:tc>
        <w:tc>
          <w:tcPr>
            <w:tcW w:type="dxa" w:w="2351"/>
            <w:shd w:val="clear" w:color="auto" w:fill="F2F2F2"/>
          </w:tcPr>
          <w:p>
            <w:r/>
            <w:r>
              <w:rPr>
                <w:sz w:val="20"/>
              </w:rPr>
              <w:t>+3.6 °C</w:t>
            </w:r>
          </w:p>
        </w:tc>
        <w:tc>
          <w:tcPr>
            <w:tcW w:type="dxa" w:w="2351"/>
            <w:shd w:val="clear" w:color="auto" w:fill="F2F2F2"/>
          </w:tcPr>
          <w:p>
            <w:r/>
            <w:r>
              <w:rPr>
                <w:sz w:val="20"/>
              </w:rPr>
              <w:t>+0.4 °C</w:t>
            </w:r>
          </w:p>
        </w:tc>
        <w:tc>
          <w:tcPr>
            <w:tcW w:type="dxa" w:w="2351"/>
            <w:shd w:val="clear" w:color="auto" w:fill="F2F2F2"/>
          </w:tcPr>
          <w:p>
            <w:r/>
            <w:r>
              <w:rPr>
                <w:sz w:val="20"/>
              </w:rPr>
              <w:t>−1.1 °C</w:t>
            </w:r>
          </w:p>
        </w:tc>
      </w:tr>
      <w:tr>
        <w:tc>
          <w:tcPr>
            <w:tcW w:type="dxa" w:w="2351"/>
          </w:tcPr>
          <w:p>
            <w:r/>
            <w:r>
              <w:rPr>
                <w:sz w:val="20"/>
              </w:rPr>
              <w:t>Vulnerabilidad acuífero</w:t>
            </w:r>
          </w:p>
        </w:tc>
        <w:tc>
          <w:tcPr>
            <w:tcW w:type="dxa" w:w="2351"/>
          </w:tcPr>
          <w:p>
            <w:r/>
            <w:r>
              <w:rPr>
                <w:sz w:val="20"/>
              </w:rPr>
              <w:t>0.68 (crítica)</w:t>
            </w:r>
          </w:p>
        </w:tc>
        <w:tc>
          <w:tcPr>
            <w:tcW w:type="dxa" w:w="2351"/>
          </w:tcPr>
          <w:p>
            <w:r/>
            <w:r>
              <w:rPr>
                <w:sz w:val="20"/>
              </w:rPr>
              <w:t>0.36 (moderada)</w:t>
            </w:r>
          </w:p>
        </w:tc>
        <w:tc>
          <w:tcPr>
            <w:tcW w:type="dxa" w:w="2351"/>
          </w:tcPr>
          <w:p>
            <w:r/>
            <w:r>
              <w:rPr>
                <w:sz w:val="20"/>
              </w:rPr>
              <w:t>0.24 (controlada)</w:t>
            </w:r>
          </w:p>
        </w:tc>
      </w:tr>
      <w:tr>
        <w:tc>
          <w:tcPr>
            <w:tcW w:type="dxa" w:w="2351"/>
            <w:shd w:val="clear" w:color="auto" w:fill="F2F2F2"/>
          </w:tcPr>
          <w:p>
            <w:r/>
            <w:r>
              <w:rPr>
                <w:sz w:val="20"/>
              </w:rPr>
              <w:t>Calidad de vida (índice)</w:t>
            </w:r>
          </w:p>
        </w:tc>
        <w:tc>
          <w:tcPr>
            <w:tcW w:type="dxa" w:w="2351"/>
            <w:shd w:val="clear" w:color="auto" w:fill="F2F2F2"/>
          </w:tcPr>
          <w:p>
            <w:r/>
            <w:r>
              <w:rPr>
                <w:sz w:val="20"/>
              </w:rPr>
              <w:t>53</w:t>
            </w:r>
          </w:p>
        </w:tc>
        <w:tc>
          <w:tcPr>
            <w:tcW w:type="dxa" w:w="2351"/>
            <w:shd w:val="clear" w:color="auto" w:fill="F2F2F2"/>
          </w:tcPr>
          <w:p>
            <w:r/>
            <w:r>
              <w:rPr>
                <w:sz w:val="20"/>
              </w:rPr>
              <w:t>80</w:t>
            </w:r>
          </w:p>
        </w:tc>
        <w:tc>
          <w:tcPr>
            <w:tcW w:type="dxa" w:w="2351"/>
            <w:shd w:val="clear" w:color="auto" w:fill="F2F2F2"/>
          </w:tcPr>
          <w:p>
            <w:r/>
            <w:r>
              <w:rPr>
                <w:sz w:val="20"/>
              </w:rPr>
              <w:t>87</w:t>
            </w:r>
          </w:p>
        </w:tc>
      </w:tr>
    </w:tbl>
    <w:p>
      <w:r>
        <w:rPr>
          <w:rFonts w:ascii="Calibri" w:hAnsi="Calibri"/>
          <w:b w:val="0"/>
          <w:i w:val="0"/>
          <w:sz w:val="22"/>
        </w:rPr>
        <w:t>La gestión por IA ahorra 106 km² de expansión respecto al plan tradicional y 196 km² respecto al escenario sin planificación —aproximadamente el área de Kanasín y Umán juntos— y es la única alternativa que reduce la LST por debajo del valor base de 2024. En fragmentación, el escenario IA alcanza 0.20, umbral de ciudad compacta según métricas OECD.</w:t>
      </w:r>
    </w:p>
    <w:p>
      <w:pPr>
        <w:pStyle w:val="Heading2"/>
      </w:pPr>
      <w:r>
        <w:rPr>
          <w:color w:val="1F3A5F"/>
        </w:rPr>
        <w:t>Importancia de las variables kársticas (hallazgo clave)</w:t>
      </w:r>
    </w:p>
    <w:p>
      <w:r>
        <w:rPr>
          <w:rFonts w:ascii="Calibri" w:hAnsi="Calibri"/>
          <w:b w:val="0"/>
          <w:i w:val="0"/>
          <w:sz w:val="22"/>
        </w:rPr>
        <w:t>El análisis de importancia del LightGBM revela que dist_cenote es la segunda variable más importante del modelo (Gini split gain ≈ 0.18), solo detrás de neighbor_9x9. La variable lst_mean alcanza una importancia de ≈ 0.12. Estos valores confirman que la proximidad a cenotes ha sido un predictor histórico del crecimiento urbano y que su omisión en modelos previos ha contribuido a urbanizar zonas de recarga kárstica.</w:t>
      </w:r>
    </w:p>
    <w:p>
      <w:pPr>
        <w:pStyle w:val="Heading2"/>
      </w:pPr>
      <w:r>
        <w:rPr>
          <w:color w:val="1F3A5F"/>
        </w:rPr>
        <w:t>Prototipo — Arquitectura de la plataforma software</w:t>
      </w:r>
    </w:p>
    <w:p>
      <w:r>
        <w:rPr>
          <w:rFonts w:ascii="Calibri" w:hAnsi="Calibri"/>
          <w:b w:val="0"/>
          <w:i w:val="0"/>
          <w:sz w:val="22"/>
        </w:rPr>
        <w:t>La plataforma se entrega como un repositorio con la siguiente estructura:</w:t>
      </w:r>
    </w:p>
    <w:p>
      <w:pPr>
        <w:spacing w:before="120" w:after="120"/>
        <w:ind w:left="340" w:right="340"/>
        <w:shd w:val="clear" w:color="auto" w:fill="F4F4F4"/>
      </w:pPr>
      <w:r>
        <w:rPr>
          <w:rFonts w:ascii="Consolas" w:hAnsi="Consolas"/>
          <w:sz w:val="19"/>
        </w:rPr>
        <w:t>merida-urban-expansion/</w:t>
        <w:br/>
        <w:t>├── data/</w:t>
        <w:br/>
        <w:t>│   └── raw/</w:t>
        <w:br/>
        <w:t>│       └── instrucciones_descarga_manual.txt</w:t>
        <w:br/>
        <w:t>├── scripts/</w:t>
        <w:br/>
        <w:t>│   ├── 01_download_data.py</w:t>
        <w:br/>
        <w:t>│   ├── 02_preprocess.py</w:t>
        <w:br/>
        <w:t>│   ├── 03_train_model.py</w:t>
        <w:br/>
        <w:t>│   ├── 04_simulate_ca.py</w:t>
        <w:br/>
        <w:t>│   └── 05_visualize.py</w:t>
        <w:br/>
        <w:t>├── demo_merida.py              # Pipeline con datos sintéticos</w:t>
        <w:br/>
        <w:t>├── models/</w:t>
        <w:br/>
        <w:t>│   ├── lgbm_model.pkl</w:t>
        <w:br/>
        <w:t>│   └── ca_rules_model.pkl</w:t>
        <w:br/>
        <w:t>├── results/</w:t>
        <w:br/>
        <w:t>│   ├── maps/</w:t>
        <w:br/>
        <w:t>│   │   ├── prediction_{year}_{scenario}.tif</w:t>
        <w:br/>
        <w:t>│   │   ├── urban_extent_{year}_{scenario}.shp</w:t>
        <w:br/>
        <w:t>│   │   ├── expansion_maps.png</w:t>
        <w:br/>
        <w:t>│   │   └── comparison_2024_2030.png</w:t>
        <w:br/>
        <w:t>│   └── reports/</w:t>
        <w:br/>
        <w:t>│       ├── metrics.csv</w:t>
        <w:br/>
        <w:t>│       ├── area_statistics.csv</w:t>
        <w:br/>
        <w:t>│       └── lgbm_feature_importance.png</w:t>
        <w:br/>
        <w:t>└── requirements.txt</w:t>
      </w:r>
    </w:p>
    <w:p>
      <w:r>
        <w:rPr>
          <w:rFonts w:ascii="Calibri" w:hAnsi="Calibri"/>
          <w:b w:val="0"/>
          <w:i w:val="0"/>
          <w:sz w:val="22"/>
        </w:rPr>
        <w:t>El script demo_merida.py permite reproducir todo el pipeline con datos sintéticos generados en memoria, sin necesidad de autenticarse en GEE ni descargar insumos externos. Es la pieza central del prototipo: puede ejecutarse en un equipo estándar y produce el conjunto completo de mapas comparativos, métricas y reportes en minutos, lo que facilita la validación, la presentación a revisores y la transferencia a dependencias gubernamentales o académicas que requieran una demo reproducible.</w:t>
      </w:r>
    </w:p>
    <w:p>
      <w:pPr>
        <w:pStyle w:val="Heading2"/>
      </w:pPr>
      <w:r>
        <w:rPr>
          <w:color w:val="1F3A5F"/>
        </w:rPr>
        <w:t>Productos de salida</w:t>
      </w:r>
    </w:p>
    <w:p>
      <w:pPr>
        <w:pStyle w:val="ListBullet"/>
      </w:pPr>
      <w:r>
        <w:rPr>
          <w:sz w:val="22"/>
        </w:rPr>
        <w:t>Mapas de probabilidad prediction_{year}_{scenario}.tif: probabilidad de urbanización por celda, año y escenario.</w:t>
      </w:r>
    </w:p>
    <w:p>
      <w:pPr>
        <w:pStyle w:val="ListBullet"/>
      </w:pPr>
      <w:r>
        <w:rPr>
          <w:sz w:val="22"/>
        </w:rPr>
        <w:t>Shapefiles de área urbana urban_extent_{year}_{scenario}.shp: polígonos del área urbana proyectada.</w:t>
      </w:r>
    </w:p>
    <w:p>
      <w:pPr>
        <w:pStyle w:val="ListBullet"/>
      </w:pPr>
      <w:r>
        <w:rPr>
          <w:sz w:val="22"/>
        </w:rPr>
        <w:t>Panel comparativo expansion_maps.png: visualización de los tres escenarios.</w:t>
      </w:r>
    </w:p>
    <w:p>
      <w:pPr>
        <w:pStyle w:val="ListBullet"/>
      </w:pPr>
      <w:r>
        <w:rPr>
          <w:sz w:val="22"/>
        </w:rPr>
        <w:t>Mapa antes/después comparison_2024_2030.png: contraste 2024 frente a 2030.</w:t>
      </w:r>
    </w:p>
    <w:p>
      <w:pPr>
        <w:pStyle w:val="ListBullet"/>
      </w:pPr>
      <w:r>
        <w:rPr>
          <w:sz w:val="22"/>
        </w:rPr>
        <w:t>Reporte de métricas metrics.csv: AUC-ROC, FOM, Kappa y F1 de ambos modelos.</w:t>
      </w:r>
    </w:p>
    <w:p>
      <w:pPr>
        <w:pStyle w:val="ListBullet"/>
      </w:pPr>
      <w:r>
        <w:rPr>
          <w:sz w:val="22"/>
        </w:rPr>
        <w:t>Estadísticas de área area_statistics.csv: km² por año y escenario.</w:t>
      </w:r>
    </w:p>
    <w:p>
      <w:pPr>
        <w:pStyle w:val="ListBullet"/>
      </w:pPr>
      <w:r>
        <w:rPr>
          <w:sz w:val="22"/>
        </w:rPr>
        <w:t>Importancia de variables lgbm_feature_importance.png: ranking de las 10 features.</w:t>
      </w:r>
    </w:p>
    <w:p>
      <w:pPr>
        <w:pStyle w:val="ListBullet"/>
      </w:pPr>
      <w:r>
        <w:rPr>
          <w:sz w:val="22"/>
        </w:rPr>
        <w:t>Modelos serializados lgbm_model.pkl y ca_rules_model.pkl: listos para reentrenamiento o despliegue.</w:t>
      </w:r>
    </w:p>
    <w:p/>
    <w:p>
      <w:pPr>
        <w:jc w:val="center"/>
      </w:pPr>
      <w:r>
        <w:rPr>
          <w:i/>
          <w:color w:val="808080"/>
          <w:sz w:val="18"/>
        </w:rPr>
        <w:t>Nota: todo el contenido de Semana 4 está fundamentado exclusivamente en el documento documentacion_tecnica_merida_v2_1.docx (v2.0, junio 2025).</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